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54" w:rsidRDefault="00BC69BE">
      <w:pPr>
        <w:spacing w:after="0" w:line="259" w:lineRule="auto"/>
        <w:ind w:left="0" w:firstLine="0"/>
      </w:pPr>
      <w:bookmarkStart w:id="0" w:name="_GoBack"/>
      <w:bookmarkEnd w:id="0"/>
      <w:r>
        <w:t xml:space="preserve"> </w:t>
      </w:r>
    </w:p>
    <w:p w:rsidR="00976F54" w:rsidRDefault="00BC69BE">
      <w:pPr>
        <w:tabs>
          <w:tab w:val="center" w:pos="3966"/>
        </w:tabs>
        <w:spacing w:after="0" w:line="259" w:lineRule="auto"/>
        <w:ind w:left="-15" w:firstLine="0"/>
      </w:pPr>
      <w:r>
        <w:rPr>
          <w:b/>
        </w:rPr>
        <w:t xml:space="preserve">MICRO.KIT.8.0 </w:t>
      </w:r>
      <w:r>
        <w:rPr>
          <w:b/>
        </w:rPr>
        <w:tab/>
        <w:t xml:space="preserve">BACTERIAL VAGINOSIS (BV) RAPID TEST </w:t>
      </w:r>
    </w:p>
    <w:p w:rsidR="00976F54" w:rsidRDefault="00BC69BE">
      <w:pPr>
        <w:spacing w:after="0" w:line="259" w:lineRule="auto"/>
        <w:ind w:left="0" w:firstLine="0"/>
      </w:pPr>
      <w:r>
        <w:t xml:space="preserve"> </w:t>
      </w:r>
    </w:p>
    <w:p w:rsidR="00976F54" w:rsidRDefault="00BC69BE">
      <w:pPr>
        <w:pStyle w:val="Heading1"/>
        <w:ind w:left="-5"/>
      </w:pPr>
      <w:r>
        <w:t xml:space="preserve">PRINCIPLE </w:t>
      </w:r>
    </w:p>
    <w:p w:rsidR="00976F54" w:rsidRDefault="00BC69BE">
      <w:pPr>
        <w:ind w:left="-5"/>
      </w:pPr>
      <w:r>
        <w:t>Approximately 15-</w:t>
      </w:r>
      <w:r>
        <w:t>30% of the female population is affected by BV and reoccurring bouts of the disease are common. Although BV is the most common form of infectious vaginitis in adult women, it is the most benign in symptomology and is characterized by a relative lack of inf</w:t>
      </w:r>
      <w:r>
        <w:t xml:space="preserve">lammatory response. When present, the main symptoms of BV are vaginal discharge and genital malodor; however, not all patients exhibit noticeable symptoms.  </w:t>
      </w:r>
    </w:p>
    <w:p w:rsidR="00976F54" w:rsidRDefault="00BC69BE">
      <w:pPr>
        <w:spacing w:after="0" w:line="259" w:lineRule="auto"/>
        <w:ind w:left="0" w:firstLine="0"/>
      </w:pPr>
      <w:r>
        <w:t xml:space="preserve"> </w:t>
      </w:r>
    </w:p>
    <w:p w:rsidR="00976F54" w:rsidRDefault="00BC69BE">
      <w:pPr>
        <w:ind w:left="-5"/>
      </w:pPr>
      <w:r>
        <w:t>Complications associated with BV include salpingitis, endometritis, post-hysterectomy infections</w:t>
      </w:r>
      <w:r>
        <w:t>, and an increased risk of pelvic inflammatory disease and HIV. BV represents a serious danger in women due to its significant association with placental infection, premature rupture of membranes, and preterm birth as well as chorioamnionitis, amniotic flu</w:t>
      </w:r>
      <w:r>
        <w:t xml:space="preserve">id infections, post-partum endometritis and bacteremia. Other possible complications associated with untreated BV infections include adnexal tenderness and recurrent urinary tract infections.  </w:t>
      </w:r>
    </w:p>
    <w:p w:rsidR="00976F54" w:rsidRDefault="00BC69BE">
      <w:pPr>
        <w:spacing w:after="0" w:line="259" w:lineRule="auto"/>
        <w:ind w:left="0" w:firstLine="0"/>
      </w:pPr>
      <w:r>
        <w:t xml:space="preserve"> </w:t>
      </w:r>
    </w:p>
    <w:p w:rsidR="00976F54" w:rsidRDefault="00BC69BE">
      <w:pPr>
        <w:ind w:left="-5"/>
      </w:pPr>
      <w:r>
        <w:t>The diagnostic methods currently adopted as the “Gold Standa</w:t>
      </w:r>
      <w:r>
        <w:t xml:space="preserve">rds” in evaluations of patient Samples for BV are Amsel Criteria and Gram’s stain. Amsel Criteria involves the assessment of four clinical criteria for each patient sample. These clinical criteria include the following: </w:t>
      </w:r>
    </w:p>
    <w:p w:rsidR="00976F54" w:rsidRDefault="00BC69BE">
      <w:pPr>
        <w:numPr>
          <w:ilvl w:val="0"/>
          <w:numId w:val="1"/>
        </w:numPr>
        <w:ind w:hanging="720"/>
      </w:pPr>
      <w:r>
        <w:t>a milky homogenous vaginal discharg</w:t>
      </w:r>
      <w:r>
        <w:t xml:space="preserve">e </w:t>
      </w:r>
    </w:p>
    <w:p w:rsidR="00976F54" w:rsidRDefault="00BC69BE">
      <w:pPr>
        <w:numPr>
          <w:ilvl w:val="0"/>
          <w:numId w:val="1"/>
        </w:numPr>
        <w:ind w:hanging="720"/>
      </w:pPr>
      <w:r>
        <w:t xml:space="preserve">a vaginal pH of greater than 4.5,  </w:t>
      </w:r>
    </w:p>
    <w:p w:rsidR="00976F54" w:rsidRDefault="00BC69BE">
      <w:pPr>
        <w:numPr>
          <w:ilvl w:val="0"/>
          <w:numId w:val="1"/>
        </w:numPr>
        <w:ind w:hanging="720"/>
      </w:pPr>
      <w:r>
        <w:t xml:space="preserve">the presence of clue cells (i.e., epithelial cells with adherent coccobacilli). </w:t>
      </w:r>
    </w:p>
    <w:p w:rsidR="00976F54" w:rsidRDefault="00BC69BE">
      <w:pPr>
        <w:spacing w:after="0" w:line="259" w:lineRule="auto"/>
        <w:ind w:left="0" w:firstLine="0"/>
      </w:pPr>
      <w:r>
        <w:lastRenderedPageBreak/>
        <w:t xml:space="preserve"> </w:t>
      </w:r>
    </w:p>
    <w:p w:rsidR="00976F54" w:rsidRDefault="00BC69BE">
      <w:pPr>
        <w:ind w:left="-5"/>
      </w:pPr>
      <w:r>
        <w:t xml:space="preserve">Although the use of these clinical criteria is the most widely used method of diagnosing patients with BV, numerous published studies </w:t>
      </w:r>
      <w:r>
        <w:t xml:space="preserve">have reported on the subjectivity of the method.  Gram’s stain involves an objective identification and scoring of morphotypes present in patient vaginal fluid samples.  </w:t>
      </w:r>
    </w:p>
    <w:p w:rsidR="00976F54" w:rsidRDefault="00BC69BE">
      <w:pPr>
        <w:spacing w:after="0" w:line="259" w:lineRule="auto"/>
        <w:ind w:left="0" w:firstLine="0"/>
      </w:pPr>
      <w:r>
        <w:t xml:space="preserve"> </w:t>
      </w:r>
    </w:p>
    <w:p w:rsidR="00976F54" w:rsidRDefault="00BC69BE">
      <w:pPr>
        <w:ind w:left="-5"/>
      </w:pPr>
      <w:r>
        <w:t>The OSOM BVBlue Test is a test that detects sialidase activity in vaginal fluid spe</w:t>
      </w:r>
      <w:r>
        <w:t xml:space="preserve">cimens.  Sialidase is an enzyme produced by the causative bacterial agents of </w:t>
      </w:r>
      <w:r>
        <w:rPr>
          <w:i/>
        </w:rPr>
        <w:t>BV, Gardnerella</w:t>
      </w:r>
      <w:r>
        <w:t xml:space="preserve"> </w:t>
      </w:r>
      <w:r>
        <w:rPr>
          <w:i/>
        </w:rPr>
        <w:t>vaginalis, Bacteroides</w:t>
      </w:r>
      <w:r>
        <w:t xml:space="preserve"> spp., </w:t>
      </w:r>
      <w:r>
        <w:rPr>
          <w:i/>
        </w:rPr>
        <w:t>Prevotella</w:t>
      </w:r>
      <w:r>
        <w:t xml:space="preserve"> spp., and </w:t>
      </w:r>
      <w:r>
        <w:rPr>
          <w:i/>
        </w:rPr>
        <w:t>Mobiluncus</w:t>
      </w:r>
      <w:r>
        <w:t xml:space="preserve"> spp. </w:t>
      </w:r>
    </w:p>
    <w:p w:rsidR="00976F54" w:rsidRDefault="00BC69BE">
      <w:pPr>
        <w:spacing w:after="0" w:line="259" w:lineRule="auto"/>
        <w:ind w:left="0" w:firstLine="0"/>
      </w:pPr>
      <w:r>
        <w:t xml:space="preserve"> </w:t>
      </w:r>
    </w:p>
    <w:p w:rsidR="00976F54" w:rsidRDefault="00BC69BE">
      <w:pPr>
        <w:ind w:left="-5"/>
      </w:pPr>
      <w:r>
        <w:t xml:space="preserve">The OSOM BVBlue Test contains a chromogenic substrate of bacterial sialidase, IBX-4041.  The </w:t>
      </w:r>
      <w:r>
        <w:t>chromogenic substrate is provided in each of the BVBlue tests as a solution containing 0.25 mg IBX-4041 in 0.5 ml. aqueous potassium acetate solution (49 mg/ml.; 0.5 M; pH5.5-6.0). When the solution containing the solubilized chromogenic substrate is expos</w:t>
      </w:r>
      <w:r>
        <w:t>ed to bacterial sialidase, the substrate undergoes a chemical reaction to yield sialic acid and IBX-4050. Upon the addition of one drop of the Developer Solution (an aqueous sodium hydroxide solution (40 mg/ml.; 1.0M; pH&gt;11.0)), IBX-4050 exhibits an intens</w:t>
      </w:r>
      <w:r>
        <w:t xml:space="preserve">e blue color. In the absence of bacterial sialidase, the chromogenic substrate does not undergo the aforementioned chemical reaction and exhibits a yellow color upon the addition of one drop of the Developer Solution. </w:t>
      </w:r>
    </w:p>
    <w:p w:rsidR="00976F54" w:rsidRDefault="00BC69BE">
      <w:pPr>
        <w:spacing w:after="0" w:line="259" w:lineRule="auto"/>
        <w:ind w:left="0" w:firstLine="0"/>
      </w:pPr>
      <w:r>
        <w:t xml:space="preserve"> </w:t>
      </w:r>
    </w:p>
    <w:p w:rsidR="00976F54" w:rsidRDefault="00BC69BE">
      <w:pPr>
        <w:pStyle w:val="Heading1"/>
        <w:ind w:left="-5"/>
      </w:pPr>
      <w:r>
        <w:t>OWNERS</w:t>
      </w:r>
      <w:r>
        <w:rPr>
          <w:b w:val="0"/>
        </w:rPr>
        <w:t xml:space="preserve"> </w:t>
      </w:r>
    </w:p>
    <w:p w:rsidR="00976F54" w:rsidRDefault="00BC69BE">
      <w:pPr>
        <w:ind w:left="-5"/>
      </w:pPr>
      <w:r>
        <w:t>Supervisor, Regional Microb</w:t>
      </w:r>
      <w:r>
        <w:t xml:space="preserve">iology </w:t>
      </w:r>
    </w:p>
    <w:p w:rsidR="00976F54" w:rsidRDefault="00BC69BE">
      <w:pPr>
        <w:ind w:left="-5"/>
      </w:pPr>
      <w:r>
        <w:t xml:space="preserve">Microbiology Best Practice Team </w:t>
      </w:r>
    </w:p>
    <w:p w:rsidR="00976F54" w:rsidRDefault="00BC69BE">
      <w:pPr>
        <w:spacing w:after="0" w:line="259" w:lineRule="auto"/>
        <w:ind w:left="0" w:firstLine="0"/>
      </w:pPr>
      <w:r>
        <w:rPr>
          <w:b/>
        </w:rPr>
        <w:t xml:space="preserve"> </w:t>
      </w:r>
    </w:p>
    <w:p w:rsidR="00976F54" w:rsidRDefault="00BC69BE">
      <w:pPr>
        <w:pStyle w:val="Heading1"/>
        <w:ind w:left="-5"/>
      </w:pPr>
      <w:r>
        <w:lastRenderedPageBreak/>
        <w:t xml:space="preserve">RELATED DOCUMENTS </w:t>
      </w:r>
    </w:p>
    <w:p w:rsidR="00976F54" w:rsidRDefault="00BC69BE">
      <w:pPr>
        <w:ind w:left="-5"/>
      </w:pPr>
      <w:r>
        <w:t xml:space="preserve">MICRO.KIT.8.1 BV and TRICH Log </w:t>
      </w:r>
    </w:p>
    <w:p w:rsidR="00976F54" w:rsidRDefault="00BC69BE">
      <w:pPr>
        <w:tabs>
          <w:tab w:val="center" w:pos="2426"/>
        </w:tabs>
        <w:ind w:left="-15" w:firstLine="0"/>
      </w:pPr>
      <w:r>
        <w:t xml:space="preserve">QA.QC.1.1 </w:t>
      </w:r>
      <w:r>
        <w:tab/>
        <w:t xml:space="preserve">External QC Log Sheet </w:t>
      </w:r>
    </w:p>
    <w:p w:rsidR="00976F54" w:rsidRDefault="00BC69BE">
      <w:pPr>
        <w:spacing w:after="0" w:line="259" w:lineRule="auto"/>
        <w:ind w:left="0" w:firstLine="0"/>
      </w:pPr>
      <w:r>
        <w:rPr>
          <w:b/>
        </w:rPr>
        <w:t xml:space="preserve"> </w:t>
      </w:r>
    </w:p>
    <w:p w:rsidR="00976F54" w:rsidRDefault="00BC69BE">
      <w:pPr>
        <w:pStyle w:val="Heading1"/>
        <w:ind w:left="-5"/>
      </w:pPr>
      <w:r>
        <w:t xml:space="preserve">SPECIMEN </w:t>
      </w:r>
    </w:p>
    <w:p w:rsidR="00976F54" w:rsidRDefault="00BC69BE">
      <w:pPr>
        <w:spacing w:after="0" w:line="259" w:lineRule="auto"/>
        <w:ind w:left="0" w:firstLine="0"/>
      </w:pPr>
      <w:r>
        <w:t xml:space="preserve"> </w:t>
      </w:r>
    </w:p>
    <w:p w:rsidR="00976F54" w:rsidRDefault="00BC69BE">
      <w:pPr>
        <w:ind w:left="1440" w:hanging="720"/>
      </w:pPr>
      <w:r>
        <w:rPr>
          <w:b/>
        </w:rPr>
        <w:t xml:space="preserve">NOTE: </w:t>
      </w:r>
      <w:r>
        <w:t xml:space="preserve">Specimens should be processed as soon as possible after collection. A separate swab must be used if a culture is requested. </w:t>
      </w:r>
    </w:p>
    <w:p w:rsidR="00976F54" w:rsidRDefault="00BC69BE">
      <w:pPr>
        <w:spacing w:after="0" w:line="259" w:lineRule="auto"/>
        <w:ind w:left="0" w:firstLine="0"/>
      </w:pPr>
      <w:r>
        <w:t xml:space="preserve"> </w:t>
      </w:r>
    </w:p>
    <w:tbl>
      <w:tblPr>
        <w:tblStyle w:val="TableGrid"/>
        <w:tblW w:w="8102" w:type="dxa"/>
        <w:tblInd w:w="900" w:type="dxa"/>
        <w:tblCellMar>
          <w:top w:w="46" w:type="dxa"/>
          <w:left w:w="108" w:type="dxa"/>
          <w:bottom w:w="0" w:type="dxa"/>
          <w:right w:w="89" w:type="dxa"/>
        </w:tblCellMar>
        <w:tblLook w:val="04A0" w:firstRow="1" w:lastRow="0" w:firstColumn="1" w:lastColumn="0" w:noHBand="0" w:noVBand="1"/>
      </w:tblPr>
      <w:tblGrid>
        <w:gridCol w:w="3061"/>
        <w:gridCol w:w="1980"/>
        <w:gridCol w:w="3061"/>
      </w:tblGrid>
      <w:tr w:rsidR="00976F54">
        <w:trPr>
          <w:trHeight w:val="1085"/>
        </w:trPr>
        <w:tc>
          <w:tcPr>
            <w:tcW w:w="3061"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Vaginal fluid swab </w:t>
            </w:r>
          </w:p>
          <w:p w:rsidR="00976F54" w:rsidRDefault="00BC69BE">
            <w:pPr>
              <w:spacing w:after="0" w:line="259" w:lineRule="auto"/>
              <w:ind w:left="0" w:firstLine="0"/>
            </w:pPr>
            <w:r>
              <w:t xml:space="preserve">(from lower 1/3 of vaginal wall) </w:t>
            </w:r>
          </w:p>
        </w:tc>
        <w:tc>
          <w:tcPr>
            <w:tcW w:w="5041" w:type="dxa"/>
            <w:gridSpan w:val="2"/>
            <w:tcBorders>
              <w:top w:val="single" w:sz="4" w:space="0" w:color="000000"/>
              <w:left w:val="single" w:sz="4" w:space="0" w:color="000000"/>
              <w:bottom w:val="single" w:sz="4" w:space="0" w:color="000000"/>
              <w:right w:val="single" w:sz="4" w:space="0" w:color="000000"/>
            </w:tcBorders>
          </w:tcPr>
          <w:p w:rsidR="00976F54" w:rsidRDefault="00BC69BE">
            <w:pPr>
              <w:spacing w:after="0" w:line="239" w:lineRule="auto"/>
              <w:ind w:left="0" w:firstLine="0"/>
            </w:pPr>
            <w:r>
              <w:t>Dacron, rayon, or cotton tipped swab transported in sterile tube with no pr</w:t>
            </w:r>
            <w:r>
              <w:t xml:space="preserve">eservatives or swab in redcapped Liquid Stuarts culturette.   </w:t>
            </w:r>
          </w:p>
          <w:p w:rsidR="00976F54" w:rsidRDefault="00BC69BE">
            <w:pPr>
              <w:spacing w:after="0" w:line="259" w:lineRule="auto"/>
              <w:ind w:left="0" w:firstLine="0"/>
            </w:pPr>
            <w:r>
              <w:t xml:space="preserve">Swabs in saline are unacceptable. </w:t>
            </w:r>
          </w:p>
        </w:tc>
      </w:tr>
      <w:tr w:rsidR="00976F54">
        <w:trPr>
          <w:trHeight w:val="278"/>
        </w:trPr>
        <w:tc>
          <w:tcPr>
            <w:tcW w:w="3061" w:type="dxa"/>
            <w:vMerge w:val="restart"/>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 </w:t>
            </w:r>
          </w:p>
          <w:p w:rsidR="00976F54" w:rsidRDefault="00BC69BE">
            <w:pPr>
              <w:spacing w:after="0" w:line="259" w:lineRule="auto"/>
              <w:ind w:left="0" w:firstLine="0"/>
            </w:pPr>
            <w:r>
              <w:t xml:space="preserve">Storage requirement </w:t>
            </w:r>
          </w:p>
        </w:tc>
        <w:tc>
          <w:tcPr>
            <w:tcW w:w="198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If: </w:t>
            </w:r>
          </w:p>
        </w:tc>
        <w:tc>
          <w:tcPr>
            <w:tcW w:w="3061"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Then: </w:t>
            </w:r>
          </w:p>
        </w:tc>
      </w:tr>
      <w:tr w:rsidR="00976F54">
        <w:trPr>
          <w:trHeight w:val="278"/>
        </w:trPr>
        <w:tc>
          <w:tcPr>
            <w:tcW w:w="0" w:type="auto"/>
            <w:vMerge/>
            <w:tcBorders>
              <w:top w:val="nil"/>
              <w:left w:val="single" w:sz="4" w:space="0" w:color="000000"/>
              <w:bottom w:val="nil"/>
              <w:right w:val="single" w:sz="4" w:space="0" w:color="000000"/>
            </w:tcBorders>
          </w:tcPr>
          <w:p w:rsidR="00976F54" w:rsidRDefault="00976F54">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rPr>
                <w:u w:val="single" w:color="000000"/>
              </w:rPr>
              <w:t>&lt;</w:t>
            </w:r>
            <w:r>
              <w:t xml:space="preserve">48 hours </w:t>
            </w:r>
          </w:p>
        </w:tc>
        <w:tc>
          <w:tcPr>
            <w:tcW w:w="3061"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Room temperature (15-30ºC) </w:t>
            </w:r>
          </w:p>
        </w:tc>
      </w:tr>
      <w:tr w:rsidR="00976F54">
        <w:trPr>
          <w:trHeight w:val="278"/>
        </w:trPr>
        <w:tc>
          <w:tcPr>
            <w:tcW w:w="0" w:type="auto"/>
            <w:vMerge/>
            <w:tcBorders>
              <w:top w:val="nil"/>
              <w:left w:val="single" w:sz="4" w:space="0" w:color="000000"/>
              <w:bottom w:val="single" w:sz="4" w:space="0" w:color="000000"/>
              <w:right w:val="single" w:sz="4" w:space="0" w:color="000000"/>
            </w:tcBorders>
          </w:tcPr>
          <w:p w:rsidR="00976F54" w:rsidRDefault="00976F54">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&gt;48 hours – 7 days </w:t>
            </w:r>
          </w:p>
        </w:tc>
        <w:tc>
          <w:tcPr>
            <w:tcW w:w="3061"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Refrigerate (2º-8°C) </w:t>
            </w:r>
          </w:p>
        </w:tc>
      </w:tr>
    </w:tbl>
    <w:p w:rsidR="00976F54" w:rsidRDefault="00BC69BE">
      <w:pPr>
        <w:spacing w:after="0" w:line="259" w:lineRule="auto"/>
        <w:ind w:left="0" w:firstLine="0"/>
      </w:pPr>
      <w:r>
        <w:t xml:space="preserve"> </w:t>
      </w:r>
    </w:p>
    <w:p w:rsidR="00976F54" w:rsidRDefault="00BC69BE">
      <w:pPr>
        <w:pStyle w:val="Heading1"/>
        <w:ind w:left="-5"/>
      </w:pPr>
      <w:r>
        <w:t xml:space="preserve">REAGENTS </w:t>
      </w:r>
    </w:p>
    <w:p w:rsidR="00976F54" w:rsidRDefault="00BC69BE">
      <w:pPr>
        <w:ind w:left="-5"/>
      </w:pPr>
      <w:r>
        <w:t>Store test kit at 2-8</w:t>
      </w:r>
      <w:r>
        <w:rPr>
          <w:rFonts w:ascii="Segoe UI Symbol" w:eastAsia="Segoe UI Symbol" w:hAnsi="Segoe UI Symbol" w:cs="Segoe UI Symbol"/>
        </w:rPr>
        <w:t></w:t>
      </w:r>
      <w:r>
        <w:t xml:space="preserve">C. Vessels should be stored inside the box and prolonged exposure to light should be avoided.  </w:t>
      </w:r>
    </w:p>
    <w:p w:rsidR="00976F54" w:rsidRDefault="00BC69BE">
      <w:pPr>
        <w:spacing w:after="0" w:line="259" w:lineRule="auto"/>
        <w:ind w:left="0" w:firstLine="0"/>
      </w:pPr>
      <w:r>
        <w:t xml:space="preserve"> </w:t>
      </w:r>
    </w:p>
    <w:p w:rsidR="00976F54" w:rsidRDefault="00BC69BE">
      <w:pPr>
        <w:numPr>
          <w:ilvl w:val="0"/>
          <w:numId w:val="2"/>
        </w:numPr>
        <w:ind w:hanging="720"/>
      </w:pPr>
      <w:r>
        <w:t xml:space="preserve">25 Testing vessels each containing 0.25 mg IBX-4041 component in 0.5 ml. of an aqueous potassium acetate buffer solution (49 mg/ml.; 0.5M; pH5.5-6.0) </w:t>
      </w:r>
    </w:p>
    <w:p w:rsidR="00976F54" w:rsidRDefault="00BC69BE">
      <w:pPr>
        <w:numPr>
          <w:ilvl w:val="0"/>
          <w:numId w:val="2"/>
        </w:numPr>
        <w:ind w:hanging="720"/>
      </w:pPr>
      <w:r>
        <w:t>Develop</w:t>
      </w:r>
      <w:r>
        <w:t xml:space="preserve">er Solution containing 10.0 ml. of an aqueous sodium hydroxide solution (40.0 mg/ml.; </w:t>
      </w:r>
    </w:p>
    <w:p w:rsidR="00976F54" w:rsidRDefault="00BC69BE">
      <w:pPr>
        <w:ind w:left="730"/>
      </w:pPr>
      <w:r>
        <w:t xml:space="preserve">1.0M; pH&gt;11.0) </w:t>
      </w:r>
    </w:p>
    <w:p w:rsidR="00976F54" w:rsidRDefault="00BC69BE">
      <w:pPr>
        <w:numPr>
          <w:ilvl w:val="0"/>
          <w:numId w:val="2"/>
        </w:numPr>
        <w:ind w:hanging="720"/>
      </w:pPr>
      <w:r>
        <w:t xml:space="preserve">Sterile Swabs (Dacron, rayon, or cotton acceptable) </w:t>
      </w:r>
    </w:p>
    <w:p w:rsidR="00976F54" w:rsidRDefault="00BC69BE">
      <w:pPr>
        <w:numPr>
          <w:ilvl w:val="0"/>
          <w:numId w:val="2"/>
        </w:numPr>
        <w:ind w:hanging="720"/>
      </w:pPr>
      <w:r>
        <w:t>OSOM BVBlue Positive Control – aqueous solution containing 250U/mL sialidase enzyme, (neuraminidase)</w:t>
      </w:r>
      <w:r>
        <w:t xml:space="preserve"> (not included with kit, must be purchased separately). Refrigerate at 2-8°C. </w:t>
      </w:r>
    </w:p>
    <w:p w:rsidR="00976F54" w:rsidRDefault="00BC69BE">
      <w:pPr>
        <w:numPr>
          <w:ilvl w:val="0"/>
          <w:numId w:val="2"/>
        </w:numPr>
        <w:ind w:hanging="720"/>
      </w:pPr>
      <w:r>
        <w:t xml:space="preserve">Timer </w:t>
      </w:r>
    </w:p>
    <w:p w:rsidR="00976F54" w:rsidRDefault="00BC69BE">
      <w:pPr>
        <w:spacing w:after="0" w:line="259" w:lineRule="auto"/>
        <w:ind w:left="0" w:firstLine="0"/>
      </w:pPr>
      <w:r>
        <w:t xml:space="preserve"> </w:t>
      </w:r>
    </w:p>
    <w:p w:rsidR="00976F54" w:rsidRDefault="00BC69BE">
      <w:pPr>
        <w:ind w:left="2160" w:hanging="720"/>
      </w:pPr>
      <w:r>
        <w:rPr>
          <w:b/>
        </w:rPr>
        <w:lastRenderedPageBreak/>
        <w:t xml:space="preserve">Note: </w:t>
      </w:r>
      <w:r>
        <w:rPr>
          <w:b/>
        </w:rPr>
        <w:tab/>
      </w:r>
      <w:r>
        <w:t xml:space="preserve">The Developer Solution is a dilute alkaline solution, which may cause skin irritation.  If contact with exposed skin results, rinse contacted area with water.  </w:t>
      </w:r>
    </w:p>
    <w:p w:rsidR="00976F54" w:rsidRDefault="00BC69BE">
      <w:pPr>
        <w:spacing w:after="0" w:line="259" w:lineRule="auto"/>
        <w:ind w:left="0" w:firstLine="0"/>
      </w:pPr>
      <w:r>
        <w:t xml:space="preserve"> </w:t>
      </w:r>
    </w:p>
    <w:p w:rsidR="00976F54" w:rsidRDefault="00BC69BE">
      <w:pPr>
        <w:pStyle w:val="Heading1"/>
        <w:ind w:left="-5"/>
      </w:pPr>
      <w:r>
        <w:t xml:space="preserve">QUALITY CONTROL </w:t>
      </w:r>
    </w:p>
    <w:p w:rsidR="00976F54" w:rsidRDefault="00BC69BE">
      <w:pPr>
        <w:numPr>
          <w:ilvl w:val="0"/>
          <w:numId w:val="3"/>
        </w:numPr>
        <w:ind w:hanging="720"/>
      </w:pPr>
      <w:r>
        <w:t xml:space="preserve">Parallel testing of New Lots is performed and documented prior to the release of the lots to the Network Laboratories.  All tested lots are marked with a yellow sticker. </w:t>
      </w:r>
    </w:p>
    <w:p w:rsidR="00976F54" w:rsidRDefault="00BC69BE">
      <w:pPr>
        <w:numPr>
          <w:ilvl w:val="0"/>
          <w:numId w:val="3"/>
        </w:numPr>
        <w:ind w:hanging="720"/>
      </w:pPr>
      <w:r>
        <w:t>External QC must be performed with each New Lot or New Shipment, w</w:t>
      </w:r>
      <w:r>
        <w:t xml:space="preserve">hichever is most frequent. </w:t>
      </w:r>
    </w:p>
    <w:p w:rsidR="00976F54" w:rsidRDefault="00BC69BE">
      <w:pPr>
        <w:numPr>
          <w:ilvl w:val="0"/>
          <w:numId w:val="3"/>
        </w:numPr>
        <w:ind w:hanging="720"/>
      </w:pPr>
      <w:r>
        <w:t xml:space="preserve">External QC may also be performed at the discretion of the technologist. </w:t>
      </w:r>
    </w:p>
    <w:p w:rsidR="00976F54" w:rsidRDefault="00BC69BE">
      <w:pPr>
        <w:spacing w:after="0" w:line="259" w:lineRule="auto"/>
        <w:ind w:left="0" w:firstLine="0"/>
      </w:pPr>
      <w:r>
        <w:t xml:space="preserve"> </w:t>
      </w:r>
    </w:p>
    <w:tbl>
      <w:tblPr>
        <w:tblStyle w:val="TableGrid"/>
        <w:tblW w:w="8858" w:type="dxa"/>
        <w:tblInd w:w="612" w:type="dxa"/>
        <w:tblCellMar>
          <w:top w:w="46" w:type="dxa"/>
          <w:left w:w="108" w:type="dxa"/>
          <w:bottom w:w="0" w:type="dxa"/>
          <w:right w:w="115" w:type="dxa"/>
        </w:tblCellMar>
        <w:tblLook w:val="04A0" w:firstRow="1" w:lastRow="0" w:firstColumn="1" w:lastColumn="0" w:noHBand="0" w:noVBand="1"/>
      </w:tblPr>
      <w:tblGrid>
        <w:gridCol w:w="1260"/>
        <w:gridCol w:w="7598"/>
      </w:tblGrid>
      <w:tr w:rsidR="00976F54">
        <w:trPr>
          <w:trHeight w:val="278"/>
        </w:trPr>
        <w:tc>
          <w:tcPr>
            <w:tcW w:w="126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rPr>
                <w:b/>
              </w:rPr>
              <w:t xml:space="preserve">Step </w:t>
            </w:r>
          </w:p>
        </w:tc>
        <w:tc>
          <w:tcPr>
            <w:tcW w:w="759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rPr>
                <w:b/>
              </w:rPr>
              <w:t xml:space="preserve">Action </w:t>
            </w:r>
          </w:p>
        </w:tc>
      </w:tr>
      <w:tr w:rsidR="00976F54">
        <w:trPr>
          <w:trHeight w:val="547"/>
        </w:trPr>
        <w:tc>
          <w:tcPr>
            <w:tcW w:w="126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1. </w:t>
            </w:r>
          </w:p>
        </w:tc>
        <w:tc>
          <w:tcPr>
            <w:tcW w:w="759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Remove the OSOM BVBlue Positive Control and Developer from the refrigerator and let stand at room temperature for 20 minutes. </w:t>
            </w:r>
          </w:p>
        </w:tc>
      </w:tr>
      <w:tr w:rsidR="00976F54">
        <w:trPr>
          <w:trHeight w:val="816"/>
        </w:trPr>
        <w:tc>
          <w:tcPr>
            <w:tcW w:w="126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2. </w:t>
            </w:r>
          </w:p>
        </w:tc>
        <w:tc>
          <w:tcPr>
            <w:tcW w:w="759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Remove two testing vessels from the OSOM BVBlue Test kit immediately prior to use and bring to room temperature.  Label one vessel positive and the other negative. Remove the caps. </w:t>
            </w:r>
          </w:p>
        </w:tc>
      </w:tr>
      <w:tr w:rsidR="00976F54">
        <w:trPr>
          <w:trHeight w:val="816"/>
        </w:trPr>
        <w:tc>
          <w:tcPr>
            <w:tcW w:w="126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3. </w:t>
            </w:r>
          </w:p>
        </w:tc>
        <w:tc>
          <w:tcPr>
            <w:tcW w:w="759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39" w:lineRule="auto"/>
              <w:ind w:left="0" w:firstLine="0"/>
            </w:pPr>
            <w:r>
              <w:t>Positive Control:  Add one drop of the OSOM BVBlue Positive Control t</w:t>
            </w:r>
            <w:r>
              <w:t xml:space="preserve">o the testing vessel that is labeled positive. </w:t>
            </w:r>
          </w:p>
          <w:p w:rsidR="00976F54" w:rsidRDefault="00BC69BE">
            <w:pPr>
              <w:spacing w:after="0" w:line="259" w:lineRule="auto"/>
              <w:ind w:left="0" w:firstLine="0"/>
            </w:pPr>
            <w:r>
              <w:t xml:space="preserve">Negative Control:  Vessel that is labeled negative (nothing added) </w:t>
            </w:r>
          </w:p>
        </w:tc>
      </w:tr>
      <w:tr w:rsidR="00976F54">
        <w:trPr>
          <w:trHeight w:val="828"/>
        </w:trPr>
        <w:tc>
          <w:tcPr>
            <w:tcW w:w="126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4. </w:t>
            </w:r>
          </w:p>
        </w:tc>
        <w:tc>
          <w:tcPr>
            <w:tcW w:w="759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Immerse the head of a clean swab from the test kit into the solution in the testing vessel for each control. Gently swirl the swab. Let each testing vessel containing the swab stand at 17-37</w:t>
            </w:r>
            <w:r>
              <w:rPr>
                <w:rFonts w:ascii="Segoe UI Symbol" w:eastAsia="Segoe UI Symbol" w:hAnsi="Segoe UI Symbol" w:cs="Segoe UI Symbol"/>
              </w:rPr>
              <w:t></w:t>
            </w:r>
            <w:r>
              <w:t xml:space="preserve">C for 10 minutes. </w:t>
            </w:r>
          </w:p>
        </w:tc>
      </w:tr>
      <w:tr w:rsidR="00976F54">
        <w:trPr>
          <w:trHeight w:val="278"/>
        </w:trPr>
        <w:tc>
          <w:tcPr>
            <w:tcW w:w="126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5. </w:t>
            </w:r>
          </w:p>
        </w:tc>
        <w:tc>
          <w:tcPr>
            <w:tcW w:w="759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Continue with Test Procedure Step 3. </w:t>
            </w:r>
          </w:p>
        </w:tc>
      </w:tr>
    </w:tbl>
    <w:p w:rsidR="00976F54" w:rsidRDefault="00BC69BE">
      <w:pPr>
        <w:spacing w:after="0" w:line="259" w:lineRule="auto"/>
        <w:ind w:left="0" w:firstLine="0"/>
      </w:pPr>
      <w:r>
        <w:t xml:space="preserve"> </w:t>
      </w:r>
    </w:p>
    <w:p w:rsidR="00976F54" w:rsidRDefault="00BC69BE">
      <w:pPr>
        <w:spacing w:after="0" w:line="259" w:lineRule="auto"/>
        <w:ind w:left="0" w:firstLine="0"/>
      </w:pPr>
      <w:r>
        <w:t xml:space="preserve"> </w:t>
      </w:r>
      <w:r>
        <w:tab/>
        <w:t xml:space="preserve"> </w:t>
      </w:r>
    </w:p>
    <w:tbl>
      <w:tblPr>
        <w:tblStyle w:val="TableGrid"/>
        <w:tblW w:w="8822" w:type="dxa"/>
        <w:tblInd w:w="631" w:type="dxa"/>
        <w:tblCellMar>
          <w:top w:w="46" w:type="dxa"/>
          <w:left w:w="106" w:type="dxa"/>
          <w:bottom w:w="0" w:type="dxa"/>
          <w:right w:w="101" w:type="dxa"/>
        </w:tblCellMar>
        <w:tblLook w:val="04A0" w:firstRow="1" w:lastRow="0" w:firstColumn="1" w:lastColumn="0" w:noHBand="0" w:noVBand="1"/>
      </w:tblPr>
      <w:tblGrid>
        <w:gridCol w:w="1906"/>
        <w:gridCol w:w="6916"/>
      </w:tblGrid>
      <w:tr w:rsidR="00976F54">
        <w:trPr>
          <w:trHeight w:val="4575"/>
        </w:trPr>
        <w:tc>
          <w:tcPr>
            <w:tcW w:w="1906" w:type="dxa"/>
            <w:tcBorders>
              <w:top w:val="single" w:sz="4" w:space="0" w:color="000000"/>
              <w:left w:val="single" w:sz="4" w:space="0" w:color="000000"/>
              <w:bottom w:val="single" w:sz="4" w:space="0" w:color="000000"/>
              <w:right w:val="single" w:sz="4" w:space="0" w:color="000000"/>
            </w:tcBorders>
            <w:vAlign w:val="center"/>
          </w:tcPr>
          <w:p w:rsidR="00976F54" w:rsidRDefault="00BC69BE">
            <w:pPr>
              <w:spacing w:after="0" w:line="259" w:lineRule="auto"/>
              <w:ind w:left="0" w:firstLine="0"/>
            </w:pPr>
            <w:r>
              <w:lastRenderedPageBreak/>
              <w:t xml:space="preserve">Internal Control </w:t>
            </w:r>
          </w:p>
        </w:tc>
        <w:tc>
          <w:tcPr>
            <w:tcW w:w="6915"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rPr>
                <w:i/>
              </w:rPr>
              <w:t xml:space="preserve">The OSOM BVBlue test has two types of internal control with each run. </w:t>
            </w:r>
          </w:p>
          <w:p w:rsidR="00976F54" w:rsidRDefault="00BC69BE">
            <w:pPr>
              <w:spacing w:after="0" w:line="259" w:lineRule="auto"/>
              <w:ind w:left="2" w:firstLine="0"/>
            </w:pPr>
            <w:r>
              <w:rPr>
                <w:i/>
              </w:rPr>
              <w:t xml:space="preserve">  </w:t>
            </w:r>
          </w:p>
          <w:p w:rsidR="00976F54" w:rsidRDefault="00BC69BE">
            <w:pPr>
              <w:spacing w:after="1" w:line="239" w:lineRule="auto"/>
              <w:ind w:left="2" w:firstLine="0"/>
            </w:pPr>
            <w:r>
              <w:rPr>
                <w:i/>
              </w:rPr>
              <w:t>Type 1 Control: The testing vessel should contain a colorless testing solution without the appearance of a flocculent (i.e., a precipitate) upon first inspection of the test and prior to the addition of a patient sample. If the testing vessel contains prec</w:t>
            </w:r>
            <w:r>
              <w:rPr>
                <w:i/>
              </w:rPr>
              <w:t xml:space="preserve">ipitate, the test is invalid. Do not use the BV test vessel. </w:t>
            </w:r>
          </w:p>
          <w:p w:rsidR="00976F54" w:rsidRDefault="00BC69BE">
            <w:pPr>
              <w:spacing w:after="0" w:line="259" w:lineRule="auto"/>
              <w:ind w:left="2" w:firstLine="0"/>
            </w:pPr>
            <w:r>
              <w:rPr>
                <w:i/>
              </w:rPr>
              <w:t xml:space="preserve"> </w:t>
            </w:r>
          </w:p>
          <w:p w:rsidR="00976F54" w:rsidRDefault="00BC69BE">
            <w:pPr>
              <w:spacing w:after="0" w:line="240" w:lineRule="auto"/>
              <w:ind w:left="2" w:right="497" w:firstLine="0"/>
            </w:pPr>
            <w:r>
              <w:rPr>
                <w:i/>
              </w:rPr>
              <w:t xml:space="preserve">Type 2 Control:  The OSOM BVBlue Test has a two-color result format: Positive Control :  Blue/green is positive Negative Control:  Yellow is negative.  </w:t>
            </w:r>
          </w:p>
          <w:p w:rsidR="00976F54" w:rsidRDefault="00BC69BE">
            <w:pPr>
              <w:spacing w:after="0" w:line="259" w:lineRule="auto"/>
              <w:ind w:left="2" w:firstLine="0"/>
            </w:pPr>
            <w:r>
              <w:rPr>
                <w:i/>
              </w:rPr>
              <w:t xml:space="preserve"> </w:t>
            </w:r>
          </w:p>
          <w:p w:rsidR="00976F54" w:rsidRDefault="00BC69BE">
            <w:pPr>
              <w:spacing w:after="0" w:line="259" w:lineRule="auto"/>
              <w:ind w:left="2" w:firstLine="0"/>
            </w:pPr>
            <w:r>
              <w:rPr>
                <w:i/>
              </w:rPr>
              <w:t>The appearance of a uniform yellow, b</w:t>
            </w:r>
            <w:r>
              <w:rPr>
                <w:i/>
              </w:rPr>
              <w:t>lue, or green color in the testing vessel or a blue or green color on the swab assures proper mixing of the reagent and sample has occurred. If the test fails to provide either a blue, green, or a yellow color result the test is invalid. Do not report pati</w:t>
            </w:r>
            <w:r>
              <w:rPr>
                <w:i/>
              </w:rPr>
              <w:t xml:space="preserve">ent results if either type 1 or 2 control does not produce expected results. </w:t>
            </w:r>
          </w:p>
        </w:tc>
      </w:tr>
    </w:tbl>
    <w:p w:rsidR="00976F54" w:rsidRDefault="00BC69BE">
      <w:pPr>
        <w:spacing w:after="0" w:line="259" w:lineRule="auto"/>
        <w:ind w:left="0" w:firstLine="0"/>
      </w:pPr>
      <w:r>
        <w:t xml:space="preserve"> </w:t>
      </w:r>
    </w:p>
    <w:p w:rsidR="00976F54" w:rsidRDefault="00BC69BE">
      <w:pPr>
        <w:pStyle w:val="Heading1"/>
        <w:ind w:left="-5"/>
      </w:pPr>
      <w:r>
        <w:t xml:space="preserve">PROCEDURE </w:t>
      </w:r>
    </w:p>
    <w:p w:rsidR="00976F54" w:rsidRDefault="00BC69BE">
      <w:pPr>
        <w:spacing w:after="0" w:line="259" w:lineRule="auto"/>
        <w:ind w:left="1440" w:firstLine="0"/>
      </w:pPr>
      <w:r>
        <w:rPr>
          <w:b/>
        </w:rPr>
        <w:t xml:space="preserve"> </w:t>
      </w:r>
    </w:p>
    <w:p w:rsidR="00976F54" w:rsidRDefault="00BC69BE">
      <w:pPr>
        <w:spacing w:after="0" w:line="259" w:lineRule="auto"/>
        <w:ind w:left="0" w:right="2165" w:firstLine="0"/>
        <w:jc w:val="right"/>
      </w:pPr>
      <w:r>
        <w:rPr>
          <w:b/>
        </w:rPr>
        <w:t>NOTE</w:t>
      </w:r>
      <w:r>
        <w:t xml:space="preserve">:    Test performed by the Hospital-based Labs (Misys only) </w:t>
      </w:r>
    </w:p>
    <w:p w:rsidR="00976F54" w:rsidRDefault="00BC69BE">
      <w:pPr>
        <w:spacing w:after="0" w:line="259" w:lineRule="auto"/>
        <w:ind w:left="0" w:firstLine="0"/>
      </w:pPr>
      <w:r>
        <w:t xml:space="preserve"> </w:t>
      </w:r>
    </w:p>
    <w:tbl>
      <w:tblPr>
        <w:tblStyle w:val="TableGrid"/>
        <w:tblW w:w="8872" w:type="dxa"/>
        <w:tblInd w:w="271" w:type="dxa"/>
        <w:tblCellMar>
          <w:top w:w="46" w:type="dxa"/>
          <w:left w:w="106" w:type="dxa"/>
          <w:bottom w:w="0" w:type="dxa"/>
          <w:right w:w="115" w:type="dxa"/>
        </w:tblCellMar>
        <w:tblLook w:val="04A0" w:firstRow="1" w:lastRow="0" w:firstColumn="1" w:lastColumn="0" w:noHBand="0" w:noVBand="1"/>
      </w:tblPr>
      <w:tblGrid>
        <w:gridCol w:w="734"/>
        <w:gridCol w:w="8138"/>
      </w:tblGrid>
      <w:tr w:rsidR="00976F54">
        <w:trPr>
          <w:trHeight w:val="279"/>
        </w:trPr>
        <w:tc>
          <w:tcPr>
            <w:tcW w:w="734"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rPr>
                <w:b/>
              </w:rPr>
              <w:t xml:space="preserve">Step </w:t>
            </w:r>
          </w:p>
        </w:tc>
        <w:tc>
          <w:tcPr>
            <w:tcW w:w="813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rPr>
                <w:b/>
              </w:rPr>
              <w:t xml:space="preserve">Action </w:t>
            </w:r>
          </w:p>
        </w:tc>
      </w:tr>
      <w:tr w:rsidR="00976F54">
        <w:trPr>
          <w:trHeight w:val="816"/>
        </w:trPr>
        <w:tc>
          <w:tcPr>
            <w:tcW w:w="734" w:type="dxa"/>
            <w:tcBorders>
              <w:top w:val="single" w:sz="4" w:space="0" w:color="000000"/>
              <w:left w:val="single" w:sz="4" w:space="0" w:color="000000"/>
              <w:bottom w:val="single" w:sz="4" w:space="0" w:color="000000"/>
              <w:right w:val="single" w:sz="4" w:space="0" w:color="000000"/>
            </w:tcBorders>
            <w:vAlign w:val="center"/>
          </w:tcPr>
          <w:p w:rsidR="00976F54" w:rsidRDefault="00BC69BE">
            <w:pPr>
              <w:spacing w:after="0" w:line="259" w:lineRule="auto"/>
              <w:ind w:left="0" w:firstLine="0"/>
            </w:pPr>
            <w:r>
              <w:t xml:space="preserve">1. </w:t>
            </w:r>
          </w:p>
        </w:tc>
        <w:tc>
          <w:tcPr>
            <w:tcW w:w="813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t xml:space="preserve">Remove number of testing vessels needed for number of patients and the Developer Solution bottle from the test kit in the refrigerator and warm to room temperature at least 20 minutes. </w:t>
            </w:r>
          </w:p>
        </w:tc>
      </w:tr>
      <w:tr w:rsidR="00976F54">
        <w:trPr>
          <w:trHeight w:val="278"/>
        </w:trPr>
        <w:tc>
          <w:tcPr>
            <w:tcW w:w="734"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2. </w:t>
            </w:r>
          </w:p>
        </w:tc>
        <w:tc>
          <w:tcPr>
            <w:tcW w:w="813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t xml:space="preserve">Remove the cap from the testing vessel. </w:t>
            </w:r>
          </w:p>
        </w:tc>
      </w:tr>
      <w:tr w:rsidR="00976F54">
        <w:trPr>
          <w:trHeight w:val="547"/>
        </w:trPr>
        <w:tc>
          <w:tcPr>
            <w:tcW w:w="734" w:type="dxa"/>
            <w:tcBorders>
              <w:top w:val="single" w:sz="4" w:space="0" w:color="000000"/>
              <w:left w:val="single" w:sz="4" w:space="0" w:color="000000"/>
              <w:bottom w:val="single" w:sz="4" w:space="0" w:color="000000"/>
              <w:right w:val="single" w:sz="4" w:space="0" w:color="000000"/>
            </w:tcBorders>
            <w:vAlign w:val="center"/>
          </w:tcPr>
          <w:p w:rsidR="00976F54" w:rsidRDefault="00BC69BE">
            <w:pPr>
              <w:spacing w:after="0" w:line="259" w:lineRule="auto"/>
              <w:ind w:left="0" w:firstLine="0"/>
            </w:pPr>
            <w:r>
              <w:t xml:space="preserve">3. </w:t>
            </w:r>
          </w:p>
        </w:tc>
        <w:tc>
          <w:tcPr>
            <w:tcW w:w="813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t xml:space="preserve">Immerse the head of the vaginal swab into the solution in the vessel. Gently swirl the mixture.   </w:t>
            </w:r>
          </w:p>
        </w:tc>
      </w:tr>
      <w:tr w:rsidR="00976F54">
        <w:trPr>
          <w:trHeight w:val="290"/>
        </w:trPr>
        <w:tc>
          <w:tcPr>
            <w:tcW w:w="734"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4. </w:t>
            </w:r>
          </w:p>
        </w:tc>
        <w:tc>
          <w:tcPr>
            <w:tcW w:w="813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t xml:space="preserve"> Let the testing vessel containing the swab stand at 17-37</w:t>
            </w:r>
            <w:r>
              <w:rPr>
                <w:rFonts w:ascii="Segoe UI Symbol" w:eastAsia="Segoe UI Symbol" w:hAnsi="Segoe UI Symbol" w:cs="Segoe UI Symbol"/>
              </w:rPr>
              <w:t></w:t>
            </w:r>
            <w:r>
              <w:t xml:space="preserve">C for 10 minutes. </w:t>
            </w:r>
          </w:p>
        </w:tc>
      </w:tr>
      <w:tr w:rsidR="00976F54">
        <w:trPr>
          <w:trHeight w:val="547"/>
        </w:trPr>
        <w:tc>
          <w:tcPr>
            <w:tcW w:w="734" w:type="dxa"/>
            <w:tcBorders>
              <w:top w:val="single" w:sz="4" w:space="0" w:color="000000"/>
              <w:left w:val="single" w:sz="4" w:space="0" w:color="000000"/>
              <w:bottom w:val="single" w:sz="4" w:space="0" w:color="000000"/>
              <w:right w:val="single" w:sz="4" w:space="0" w:color="000000"/>
            </w:tcBorders>
            <w:vAlign w:val="center"/>
          </w:tcPr>
          <w:p w:rsidR="00976F54" w:rsidRDefault="00BC69BE">
            <w:pPr>
              <w:spacing w:after="0" w:line="259" w:lineRule="auto"/>
              <w:ind w:left="0" w:firstLine="0"/>
            </w:pPr>
            <w:r>
              <w:t xml:space="preserve">5. </w:t>
            </w:r>
          </w:p>
        </w:tc>
        <w:tc>
          <w:tcPr>
            <w:tcW w:w="813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t xml:space="preserve">At the end of 10 minutes, add one drop of the Developer Solution to the testing vessel containing the swab. Gently swirl the mixture.  </w:t>
            </w:r>
          </w:p>
        </w:tc>
      </w:tr>
      <w:tr w:rsidR="00976F54">
        <w:trPr>
          <w:trHeight w:val="547"/>
        </w:trPr>
        <w:tc>
          <w:tcPr>
            <w:tcW w:w="734" w:type="dxa"/>
            <w:tcBorders>
              <w:top w:val="single" w:sz="4" w:space="0" w:color="000000"/>
              <w:left w:val="single" w:sz="4" w:space="0" w:color="000000"/>
              <w:bottom w:val="single" w:sz="4" w:space="0" w:color="000000"/>
              <w:right w:val="single" w:sz="4" w:space="0" w:color="000000"/>
            </w:tcBorders>
            <w:vAlign w:val="center"/>
          </w:tcPr>
          <w:p w:rsidR="00976F54" w:rsidRDefault="00BC69BE">
            <w:pPr>
              <w:spacing w:after="0" w:line="259" w:lineRule="auto"/>
              <w:ind w:left="0" w:firstLine="0"/>
            </w:pPr>
            <w:r>
              <w:t xml:space="preserve">6. </w:t>
            </w:r>
          </w:p>
        </w:tc>
        <w:tc>
          <w:tcPr>
            <w:tcW w:w="813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t xml:space="preserve">Interpret the results immediately after adding the Developer Solution using the criteria in Interpretation Of Results (below).  </w:t>
            </w:r>
          </w:p>
        </w:tc>
      </w:tr>
      <w:tr w:rsidR="00976F54">
        <w:trPr>
          <w:trHeight w:val="290"/>
        </w:trPr>
        <w:tc>
          <w:tcPr>
            <w:tcW w:w="734"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7. </w:t>
            </w:r>
          </w:p>
        </w:tc>
        <w:tc>
          <w:tcPr>
            <w:tcW w:w="8138"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2" w:firstLine="0"/>
            </w:pPr>
            <w:r>
              <w:t>Return the Developer Solution to the refrigerator (2-8</w:t>
            </w:r>
            <w:r>
              <w:rPr>
                <w:rFonts w:ascii="Segoe UI Symbol" w:eastAsia="Segoe UI Symbol" w:hAnsi="Segoe UI Symbol" w:cs="Segoe UI Symbol"/>
              </w:rPr>
              <w:t></w:t>
            </w:r>
            <w:r>
              <w:t xml:space="preserve">C). </w:t>
            </w:r>
          </w:p>
        </w:tc>
      </w:tr>
    </w:tbl>
    <w:p w:rsidR="00976F54" w:rsidRDefault="00BC69BE">
      <w:pPr>
        <w:spacing w:after="0" w:line="259" w:lineRule="auto"/>
        <w:ind w:left="0" w:firstLine="0"/>
      </w:pPr>
      <w:r>
        <w:t xml:space="preserve"> </w:t>
      </w:r>
    </w:p>
    <w:p w:rsidR="00976F54" w:rsidRDefault="00BC69BE">
      <w:pPr>
        <w:pStyle w:val="Heading1"/>
        <w:ind w:left="-5"/>
      </w:pPr>
      <w:r>
        <w:t xml:space="preserve">INTERPRETATION OF RESULTS </w:t>
      </w:r>
    </w:p>
    <w:p w:rsidR="00976F54" w:rsidRDefault="00BC69BE">
      <w:pPr>
        <w:spacing w:after="0" w:line="259" w:lineRule="auto"/>
        <w:ind w:left="0" w:firstLine="0"/>
      </w:pPr>
      <w:r>
        <w:t xml:space="preserve"> </w:t>
      </w:r>
    </w:p>
    <w:p w:rsidR="00976F54" w:rsidRDefault="00BC69BE">
      <w:pPr>
        <w:ind w:left="1440" w:hanging="720"/>
      </w:pPr>
      <w:r>
        <w:rPr>
          <w:b/>
        </w:rPr>
        <w:t xml:space="preserve">NOTE: </w:t>
      </w:r>
      <w:r>
        <w:t xml:space="preserve">It may be necessary to remove the swab from the testing vessel to observe blue or green color.  </w:t>
      </w:r>
    </w:p>
    <w:p w:rsidR="00976F54" w:rsidRDefault="00BC69BE">
      <w:pPr>
        <w:spacing w:after="0" w:line="259" w:lineRule="auto"/>
        <w:ind w:left="0" w:firstLine="0"/>
      </w:pPr>
      <w:r>
        <w:t xml:space="preserve"> </w:t>
      </w:r>
    </w:p>
    <w:tbl>
      <w:tblPr>
        <w:tblStyle w:val="TableGrid"/>
        <w:tblW w:w="8301" w:type="dxa"/>
        <w:tblInd w:w="612" w:type="dxa"/>
        <w:tblCellMar>
          <w:top w:w="46" w:type="dxa"/>
          <w:left w:w="108" w:type="dxa"/>
          <w:bottom w:w="0" w:type="dxa"/>
          <w:right w:w="115" w:type="dxa"/>
        </w:tblCellMar>
        <w:tblLook w:val="04A0" w:firstRow="1" w:lastRow="0" w:firstColumn="1" w:lastColumn="0" w:noHBand="0" w:noVBand="1"/>
      </w:tblPr>
      <w:tblGrid>
        <w:gridCol w:w="6301"/>
        <w:gridCol w:w="2000"/>
      </w:tblGrid>
      <w:tr w:rsidR="00976F54">
        <w:trPr>
          <w:trHeight w:val="278"/>
        </w:trPr>
        <w:tc>
          <w:tcPr>
            <w:tcW w:w="6301"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Reaction: </w:t>
            </w:r>
          </w:p>
        </w:tc>
        <w:tc>
          <w:tcPr>
            <w:tcW w:w="200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Result: </w:t>
            </w:r>
          </w:p>
        </w:tc>
      </w:tr>
      <w:tr w:rsidR="00976F54">
        <w:trPr>
          <w:trHeight w:val="548"/>
        </w:trPr>
        <w:tc>
          <w:tcPr>
            <w:tcW w:w="6301"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lastRenderedPageBreak/>
              <w:t xml:space="preserve">The generation of a blue or green color in the testing vessel or on the head of the testing swab.  </w:t>
            </w:r>
          </w:p>
        </w:tc>
        <w:tc>
          <w:tcPr>
            <w:tcW w:w="200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Positive </w:t>
            </w:r>
          </w:p>
        </w:tc>
      </w:tr>
      <w:tr w:rsidR="00976F54">
        <w:trPr>
          <w:trHeight w:val="278"/>
        </w:trPr>
        <w:tc>
          <w:tcPr>
            <w:tcW w:w="6301"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The generation of a yellow color in the testing vessel. </w:t>
            </w:r>
          </w:p>
        </w:tc>
        <w:tc>
          <w:tcPr>
            <w:tcW w:w="200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Negative </w:t>
            </w:r>
          </w:p>
        </w:tc>
      </w:tr>
      <w:tr w:rsidR="00976F54">
        <w:trPr>
          <w:trHeight w:val="816"/>
        </w:trPr>
        <w:tc>
          <w:tcPr>
            <w:tcW w:w="6301"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No visible yellow, green, or blue color change in the testing vessel or on the head of the swab.  This could include color interference due to a bloody specimen. </w:t>
            </w:r>
          </w:p>
        </w:tc>
        <w:tc>
          <w:tcPr>
            <w:tcW w:w="2000"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0" w:firstLine="0"/>
            </w:pPr>
            <w:r>
              <w:t xml:space="preserve">Invalid </w:t>
            </w:r>
          </w:p>
          <w:p w:rsidR="00976F54" w:rsidRDefault="00BC69BE">
            <w:pPr>
              <w:spacing w:after="0" w:line="259" w:lineRule="auto"/>
              <w:ind w:left="0" w:firstLine="0"/>
            </w:pPr>
            <w:r>
              <w:t>(repeat test , o</w:t>
            </w:r>
            <w:r>
              <w:t xml:space="preserve">r recollect) </w:t>
            </w:r>
          </w:p>
        </w:tc>
      </w:tr>
    </w:tbl>
    <w:p w:rsidR="00976F54" w:rsidRDefault="00BC69BE">
      <w:pPr>
        <w:spacing w:after="0" w:line="259" w:lineRule="auto"/>
        <w:ind w:left="0" w:firstLine="0"/>
      </w:pPr>
      <w:r>
        <w:t xml:space="preserve"> </w:t>
      </w:r>
    </w:p>
    <w:p w:rsidR="00976F54" w:rsidRDefault="00BC69BE">
      <w:pPr>
        <w:pStyle w:val="Heading1"/>
        <w:ind w:left="-5"/>
      </w:pPr>
      <w:r>
        <w:t xml:space="preserve">REPORTING RESULTS </w:t>
      </w:r>
    </w:p>
    <w:p w:rsidR="00976F54" w:rsidRDefault="00BC69BE">
      <w:pPr>
        <w:tabs>
          <w:tab w:val="center" w:pos="1070"/>
        </w:tabs>
        <w:ind w:left="-15" w:firstLine="0"/>
      </w:pPr>
      <w:r>
        <w:t xml:space="preserve">POS: </w:t>
      </w:r>
      <w:r>
        <w:tab/>
        <w:t xml:space="preserve">Positive </w:t>
      </w:r>
    </w:p>
    <w:p w:rsidR="00976F54" w:rsidRDefault="00BC69BE">
      <w:pPr>
        <w:ind w:left="705" w:hanging="720"/>
      </w:pPr>
      <w:r>
        <w:t xml:space="preserve">NEG: </w:t>
      </w:r>
      <w:r>
        <w:tab/>
        <w:t xml:space="preserve">Negative – A negative result does not exclude the possibility of infection.  Diagnosis should be made in conjunction with clinical symptoms. </w:t>
      </w:r>
    </w:p>
    <w:p w:rsidR="00976F54" w:rsidRDefault="00BC69BE">
      <w:pPr>
        <w:spacing w:after="0" w:line="259" w:lineRule="auto"/>
        <w:ind w:left="0" w:firstLine="0"/>
      </w:pPr>
      <w:r>
        <w:t xml:space="preserve"> </w:t>
      </w:r>
    </w:p>
    <w:p w:rsidR="00976F54" w:rsidRDefault="00BC69BE">
      <w:pPr>
        <w:ind w:left="-5"/>
      </w:pPr>
      <w:r>
        <w:t xml:space="preserve">Misys (all sites) </w:t>
      </w:r>
    </w:p>
    <w:p w:rsidR="00976F54" w:rsidRDefault="00BC69BE">
      <w:pPr>
        <w:spacing w:after="0" w:line="259" w:lineRule="auto"/>
        <w:ind w:left="0" w:firstLine="0"/>
      </w:pPr>
      <w:r>
        <w:t xml:space="preserve"> </w:t>
      </w:r>
    </w:p>
    <w:tbl>
      <w:tblPr>
        <w:tblStyle w:val="TableGrid"/>
        <w:tblW w:w="9165" w:type="dxa"/>
        <w:tblInd w:w="557" w:type="dxa"/>
        <w:tblCellMar>
          <w:top w:w="22" w:type="dxa"/>
          <w:left w:w="0" w:type="dxa"/>
          <w:bottom w:w="6" w:type="dxa"/>
          <w:right w:w="154" w:type="dxa"/>
        </w:tblCellMar>
        <w:tblLook w:val="04A0" w:firstRow="1" w:lastRow="0" w:firstColumn="1" w:lastColumn="0" w:noHBand="0" w:noVBand="1"/>
      </w:tblPr>
      <w:tblGrid>
        <w:gridCol w:w="2449"/>
        <w:gridCol w:w="811"/>
        <w:gridCol w:w="5905"/>
      </w:tblGrid>
      <w:tr w:rsidR="00976F54">
        <w:trPr>
          <w:trHeight w:val="278"/>
        </w:trPr>
        <w:tc>
          <w:tcPr>
            <w:tcW w:w="2449" w:type="dxa"/>
            <w:tcBorders>
              <w:top w:val="single" w:sz="4" w:space="0" w:color="000000"/>
              <w:left w:val="single" w:sz="4" w:space="0" w:color="000000"/>
              <w:bottom w:val="single" w:sz="4" w:space="0" w:color="000000"/>
              <w:right w:val="single" w:sz="4" w:space="0" w:color="000000"/>
            </w:tcBorders>
          </w:tcPr>
          <w:p w:rsidR="00976F54" w:rsidRDefault="00BC69BE">
            <w:pPr>
              <w:spacing w:after="0" w:line="259" w:lineRule="auto"/>
              <w:ind w:left="108" w:firstLine="0"/>
            </w:pPr>
            <w:r>
              <w:rPr>
                <w:b/>
              </w:rPr>
              <w:t xml:space="preserve">IF </w:t>
            </w:r>
          </w:p>
        </w:tc>
        <w:tc>
          <w:tcPr>
            <w:tcW w:w="811" w:type="dxa"/>
            <w:tcBorders>
              <w:top w:val="single" w:sz="4" w:space="0" w:color="000000"/>
              <w:left w:val="single" w:sz="4" w:space="0" w:color="000000"/>
              <w:bottom w:val="single" w:sz="4" w:space="0" w:color="000000"/>
              <w:right w:val="nil"/>
            </w:tcBorders>
          </w:tcPr>
          <w:p w:rsidR="00976F54" w:rsidRDefault="00BC69BE">
            <w:pPr>
              <w:spacing w:after="0" w:line="259" w:lineRule="auto"/>
              <w:ind w:left="108" w:firstLine="0"/>
            </w:pPr>
            <w:r>
              <w:rPr>
                <w:b/>
              </w:rPr>
              <w:t xml:space="preserve">THEN </w:t>
            </w:r>
          </w:p>
        </w:tc>
        <w:tc>
          <w:tcPr>
            <w:tcW w:w="5905" w:type="dxa"/>
            <w:tcBorders>
              <w:top w:val="single" w:sz="4" w:space="0" w:color="000000"/>
              <w:left w:val="nil"/>
              <w:bottom w:val="single" w:sz="4" w:space="0" w:color="000000"/>
              <w:right w:val="single" w:sz="4" w:space="0" w:color="000000"/>
            </w:tcBorders>
          </w:tcPr>
          <w:p w:rsidR="00976F54" w:rsidRDefault="00976F54">
            <w:pPr>
              <w:spacing w:after="160" w:line="259" w:lineRule="auto"/>
              <w:ind w:left="0" w:firstLine="0"/>
            </w:pPr>
          </w:p>
        </w:tc>
      </w:tr>
      <w:tr w:rsidR="00976F54">
        <w:trPr>
          <w:trHeight w:val="1368"/>
        </w:trPr>
        <w:tc>
          <w:tcPr>
            <w:tcW w:w="2449" w:type="dxa"/>
            <w:tcBorders>
              <w:top w:val="single" w:sz="4" w:space="0" w:color="000000"/>
              <w:left w:val="single" w:sz="4" w:space="0" w:color="000000"/>
              <w:bottom w:val="nil"/>
              <w:right w:val="single" w:sz="4" w:space="0" w:color="000000"/>
            </w:tcBorders>
            <w:vAlign w:val="bottom"/>
          </w:tcPr>
          <w:p w:rsidR="00976F54" w:rsidRDefault="00BC69BE">
            <w:pPr>
              <w:spacing w:after="0" w:line="259" w:lineRule="auto"/>
              <w:ind w:left="108" w:firstLine="0"/>
            </w:pPr>
            <w:r>
              <w:t xml:space="preserve">Result is negative </w:t>
            </w:r>
          </w:p>
        </w:tc>
        <w:tc>
          <w:tcPr>
            <w:tcW w:w="811" w:type="dxa"/>
            <w:tcBorders>
              <w:top w:val="single" w:sz="4" w:space="0" w:color="000000"/>
              <w:left w:val="single" w:sz="4" w:space="0" w:color="000000"/>
              <w:bottom w:val="nil"/>
              <w:right w:val="nil"/>
            </w:tcBorders>
          </w:tcPr>
          <w:p w:rsidR="00976F54" w:rsidRDefault="00BC69BE">
            <w:pPr>
              <w:spacing w:after="0" w:line="259" w:lineRule="auto"/>
              <w:ind w:left="108" w:firstLine="0"/>
            </w:pPr>
            <w:r>
              <w:t xml:space="preserve">a. </w:t>
            </w:r>
          </w:p>
          <w:p w:rsidR="00976F54" w:rsidRDefault="00BC69BE">
            <w:pPr>
              <w:spacing w:after="0" w:line="259" w:lineRule="auto"/>
              <w:ind w:left="108" w:firstLine="0"/>
            </w:pPr>
            <w:r>
              <w:t xml:space="preserve">b. </w:t>
            </w:r>
          </w:p>
          <w:p w:rsidR="00976F54" w:rsidRDefault="00BC69BE">
            <w:pPr>
              <w:spacing w:after="0" w:line="259" w:lineRule="auto"/>
              <w:ind w:left="108" w:firstLine="0"/>
            </w:pPr>
            <w:r>
              <w:t xml:space="preserve">c. </w:t>
            </w:r>
          </w:p>
          <w:p w:rsidR="00976F54" w:rsidRDefault="00BC69BE">
            <w:pPr>
              <w:spacing w:after="0" w:line="259" w:lineRule="auto"/>
              <w:ind w:left="108" w:firstLine="0"/>
            </w:pPr>
            <w:r>
              <w:t xml:space="preserve">d. </w:t>
            </w:r>
          </w:p>
        </w:tc>
        <w:tc>
          <w:tcPr>
            <w:tcW w:w="5905" w:type="dxa"/>
            <w:tcBorders>
              <w:top w:val="single" w:sz="4" w:space="0" w:color="000000"/>
              <w:left w:val="nil"/>
              <w:bottom w:val="nil"/>
              <w:right w:val="single" w:sz="4" w:space="0" w:color="000000"/>
            </w:tcBorders>
          </w:tcPr>
          <w:p w:rsidR="00976F54" w:rsidRDefault="00BC69BE">
            <w:pPr>
              <w:spacing w:after="0" w:line="259" w:lineRule="auto"/>
              <w:ind w:left="0" w:firstLine="0"/>
            </w:pPr>
            <w:r>
              <w:t xml:space="preserve">Function MEM </w:t>
            </w:r>
          </w:p>
          <w:p w:rsidR="00976F54" w:rsidRDefault="00BC69BE">
            <w:pPr>
              <w:spacing w:after="0" w:line="259" w:lineRule="auto"/>
              <w:ind w:left="0" w:firstLine="0"/>
            </w:pPr>
            <w:r>
              <w:t xml:space="preserve">&lt;Enter&gt; to worksheet prompt </w:t>
            </w:r>
          </w:p>
          <w:p w:rsidR="00976F54" w:rsidRDefault="00BC69BE">
            <w:pPr>
              <w:spacing w:after="0" w:line="259" w:lineRule="auto"/>
              <w:ind w:left="0" w:firstLine="0"/>
            </w:pPr>
            <w:r>
              <w:t xml:space="preserve">At worksheet prompt, type site specific worksheet </w:t>
            </w:r>
          </w:p>
          <w:p w:rsidR="00976F54" w:rsidRDefault="00BC69BE">
            <w:pPr>
              <w:spacing w:after="0" w:line="259" w:lineRule="auto"/>
              <w:ind w:left="0" w:firstLine="0"/>
            </w:pPr>
            <w:r>
              <w:t xml:space="preserve">&lt;Enter&gt; to accession prompt.  Type accession number, and &lt;enter&gt; </w:t>
            </w:r>
          </w:p>
        </w:tc>
      </w:tr>
      <w:tr w:rsidR="00976F54">
        <w:trPr>
          <w:trHeight w:val="255"/>
        </w:trPr>
        <w:tc>
          <w:tcPr>
            <w:tcW w:w="2449" w:type="dxa"/>
            <w:tcBorders>
              <w:top w:val="nil"/>
              <w:left w:val="single" w:sz="4" w:space="0" w:color="000000"/>
              <w:bottom w:val="single" w:sz="4" w:space="0" w:color="000000"/>
              <w:right w:val="single" w:sz="4" w:space="0" w:color="000000"/>
            </w:tcBorders>
          </w:tcPr>
          <w:p w:rsidR="00976F54" w:rsidRDefault="00976F54">
            <w:pPr>
              <w:spacing w:after="160" w:line="259" w:lineRule="auto"/>
              <w:ind w:left="0" w:firstLine="0"/>
            </w:pPr>
          </w:p>
        </w:tc>
        <w:tc>
          <w:tcPr>
            <w:tcW w:w="811" w:type="dxa"/>
            <w:tcBorders>
              <w:top w:val="nil"/>
              <w:left w:val="single" w:sz="4" w:space="0" w:color="000000"/>
              <w:bottom w:val="single" w:sz="4" w:space="0" w:color="000000"/>
              <w:right w:val="nil"/>
            </w:tcBorders>
          </w:tcPr>
          <w:p w:rsidR="00976F54" w:rsidRDefault="00BC69BE">
            <w:pPr>
              <w:spacing w:after="0" w:line="259" w:lineRule="auto"/>
              <w:ind w:left="108" w:firstLine="0"/>
            </w:pPr>
            <w:r>
              <w:t xml:space="preserve">e. </w:t>
            </w:r>
          </w:p>
        </w:tc>
        <w:tc>
          <w:tcPr>
            <w:tcW w:w="5905" w:type="dxa"/>
            <w:tcBorders>
              <w:top w:val="nil"/>
              <w:left w:val="nil"/>
              <w:bottom w:val="single" w:sz="4" w:space="0" w:color="000000"/>
              <w:right w:val="single" w:sz="4" w:space="0" w:color="000000"/>
            </w:tcBorders>
          </w:tcPr>
          <w:p w:rsidR="00976F54" w:rsidRDefault="00BC69BE">
            <w:pPr>
              <w:spacing w:after="0" w:line="259" w:lineRule="auto"/>
              <w:ind w:left="0" w:firstLine="0"/>
            </w:pPr>
            <w:r>
              <w:t xml:space="preserve">Type NEG at the BVR prompt, &lt;enter&gt;, and accept </w:t>
            </w:r>
          </w:p>
        </w:tc>
      </w:tr>
      <w:tr w:rsidR="00976F54">
        <w:trPr>
          <w:trHeight w:val="1368"/>
        </w:trPr>
        <w:tc>
          <w:tcPr>
            <w:tcW w:w="2449" w:type="dxa"/>
            <w:tcBorders>
              <w:top w:val="single" w:sz="4" w:space="0" w:color="000000"/>
              <w:left w:val="single" w:sz="4" w:space="0" w:color="000000"/>
              <w:bottom w:val="nil"/>
              <w:right w:val="single" w:sz="4" w:space="0" w:color="000000"/>
            </w:tcBorders>
            <w:vAlign w:val="bottom"/>
          </w:tcPr>
          <w:p w:rsidR="00976F54" w:rsidRDefault="00BC69BE">
            <w:pPr>
              <w:spacing w:after="0" w:line="259" w:lineRule="auto"/>
              <w:ind w:left="108" w:firstLine="0"/>
            </w:pPr>
            <w:r>
              <w:t xml:space="preserve">Result is positive </w:t>
            </w:r>
          </w:p>
        </w:tc>
        <w:tc>
          <w:tcPr>
            <w:tcW w:w="811" w:type="dxa"/>
            <w:tcBorders>
              <w:top w:val="single" w:sz="4" w:space="0" w:color="000000"/>
              <w:left w:val="single" w:sz="4" w:space="0" w:color="000000"/>
              <w:bottom w:val="nil"/>
              <w:right w:val="nil"/>
            </w:tcBorders>
          </w:tcPr>
          <w:p w:rsidR="00976F54" w:rsidRDefault="00BC69BE">
            <w:pPr>
              <w:spacing w:after="0" w:line="259" w:lineRule="auto"/>
              <w:ind w:left="108" w:firstLine="0"/>
            </w:pPr>
            <w:r>
              <w:t xml:space="preserve">a. </w:t>
            </w:r>
          </w:p>
          <w:p w:rsidR="00976F54" w:rsidRDefault="00BC69BE">
            <w:pPr>
              <w:spacing w:after="0" w:line="259" w:lineRule="auto"/>
              <w:ind w:left="108" w:firstLine="0"/>
            </w:pPr>
            <w:r>
              <w:t xml:space="preserve">b. </w:t>
            </w:r>
          </w:p>
          <w:p w:rsidR="00976F54" w:rsidRDefault="00BC69BE">
            <w:pPr>
              <w:spacing w:after="0" w:line="259" w:lineRule="auto"/>
              <w:ind w:left="108" w:firstLine="0"/>
            </w:pPr>
            <w:r>
              <w:t xml:space="preserve">c. </w:t>
            </w:r>
          </w:p>
          <w:p w:rsidR="00976F54" w:rsidRDefault="00BC69BE">
            <w:pPr>
              <w:spacing w:after="0" w:line="259" w:lineRule="auto"/>
              <w:ind w:left="108" w:firstLine="0"/>
            </w:pPr>
            <w:r>
              <w:t xml:space="preserve">d. </w:t>
            </w:r>
          </w:p>
        </w:tc>
        <w:tc>
          <w:tcPr>
            <w:tcW w:w="5905" w:type="dxa"/>
            <w:tcBorders>
              <w:top w:val="single" w:sz="4" w:space="0" w:color="000000"/>
              <w:left w:val="nil"/>
              <w:bottom w:val="nil"/>
              <w:right w:val="single" w:sz="4" w:space="0" w:color="000000"/>
            </w:tcBorders>
          </w:tcPr>
          <w:p w:rsidR="00976F54" w:rsidRDefault="00BC69BE">
            <w:pPr>
              <w:spacing w:after="0" w:line="259" w:lineRule="auto"/>
              <w:ind w:left="0" w:firstLine="0"/>
            </w:pPr>
            <w:r>
              <w:t xml:space="preserve">Function MEM </w:t>
            </w:r>
          </w:p>
          <w:p w:rsidR="00976F54" w:rsidRDefault="00BC69BE">
            <w:pPr>
              <w:spacing w:after="0" w:line="259" w:lineRule="auto"/>
              <w:ind w:left="0" w:firstLine="0"/>
            </w:pPr>
            <w:r>
              <w:t xml:space="preserve">&lt;Enter&gt; to worksheet prompt </w:t>
            </w:r>
          </w:p>
          <w:p w:rsidR="00976F54" w:rsidRDefault="00BC69BE">
            <w:pPr>
              <w:spacing w:after="0" w:line="259" w:lineRule="auto"/>
              <w:ind w:left="0" w:firstLine="0"/>
            </w:pPr>
            <w:r>
              <w:t xml:space="preserve">At worksheet prompt, type site specific worksheet </w:t>
            </w:r>
          </w:p>
          <w:p w:rsidR="00976F54" w:rsidRDefault="00BC69BE">
            <w:pPr>
              <w:spacing w:after="0" w:line="259" w:lineRule="auto"/>
              <w:ind w:left="0" w:firstLine="0"/>
            </w:pPr>
            <w:r>
              <w:t xml:space="preserve">&lt;Enter&gt; to accession prompt.  Type accession number, and &lt;enter&gt; </w:t>
            </w:r>
          </w:p>
        </w:tc>
      </w:tr>
      <w:tr w:rsidR="00976F54">
        <w:trPr>
          <w:trHeight w:val="255"/>
        </w:trPr>
        <w:tc>
          <w:tcPr>
            <w:tcW w:w="2449" w:type="dxa"/>
            <w:tcBorders>
              <w:top w:val="nil"/>
              <w:left w:val="single" w:sz="4" w:space="0" w:color="000000"/>
              <w:bottom w:val="single" w:sz="4" w:space="0" w:color="000000"/>
              <w:right w:val="single" w:sz="4" w:space="0" w:color="000000"/>
            </w:tcBorders>
          </w:tcPr>
          <w:p w:rsidR="00976F54" w:rsidRDefault="00976F54">
            <w:pPr>
              <w:spacing w:after="160" w:line="259" w:lineRule="auto"/>
              <w:ind w:left="0" w:firstLine="0"/>
            </w:pPr>
          </w:p>
        </w:tc>
        <w:tc>
          <w:tcPr>
            <w:tcW w:w="811" w:type="dxa"/>
            <w:tcBorders>
              <w:top w:val="nil"/>
              <w:left w:val="single" w:sz="4" w:space="0" w:color="000000"/>
              <w:bottom w:val="single" w:sz="4" w:space="0" w:color="000000"/>
              <w:right w:val="nil"/>
            </w:tcBorders>
          </w:tcPr>
          <w:p w:rsidR="00976F54" w:rsidRDefault="00BC69BE">
            <w:pPr>
              <w:spacing w:after="0" w:line="259" w:lineRule="auto"/>
              <w:ind w:left="108" w:firstLine="0"/>
            </w:pPr>
            <w:r>
              <w:t xml:space="preserve">e. </w:t>
            </w:r>
          </w:p>
        </w:tc>
        <w:tc>
          <w:tcPr>
            <w:tcW w:w="5905" w:type="dxa"/>
            <w:tcBorders>
              <w:top w:val="nil"/>
              <w:left w:val="nil"/>
              <w:bottom w:val="single" w:sz="4" w:space="0" w:color="000000"/>
              <w:right w:val="single" w:sz="4" w:space="0" w:color="000000"/>
            </w:tcBorders>
          </w:tcPr>
          <w:p w:rsidR="00976F54" w:rsidRDefault="00BC69BE">
            <w:pPr>
              <w:spacing w:after="0" w:line="259" w:lineRule="auto"/>
              <w:ind w:left="0" w:firstLine="0"/>
            </w:pPr>
            <w:r>
              <w:t xml:space="preserve">Type POS at the BVR prompt, &lt;enter&gt;, and accept </w:t>
            </w:r>
          </w:p>
        </w:tc>
      </w:tr>
      <w:tr w:rsidR="00976F54">
        <w:trPr>
          <w:trHeight w:val="1889"/>
        </w:trPr>
        <w:tc>
          <w:tcPr>
            <w:tcW w:w="2449" w:type="dxa"/>
            <w:tcBorders>
              <w:top w:val="single" w:sz="4" w:space="0" w:color="000000"/>
              <w:left w:val="single" w:sz="4" w:space="0" w:color="000000"/>
              <w:bottom w:val="single" w:sz="4" w:space="0" w:color="000000"/>
              <w:right w:val="single" w:sz="4" w:space="0" w:color="000000"/>
            </w:tcBorders>
            <w:vAlign w:val="center"/>
          </w:tcPr>
          <w:p w:rsidR="00976F54" w:rsidRDefault="00BC69BE">
            <w:pPr>
              <w:spacing w:after="2" w:line="237" w:lineRule="auto"/>
              <w:ind w:left="108" w:firstLine="0"/>
              <w:jc w:val="both"/>
            </w:pPr>
            <w:r>
              <w:t xml:space="preserve">BVTRS (Bacterial vaginosis </w:t>
            </w:r>
            <w:r>
              <w:t xml:space="preserve">and </w:t>
            </w:r>
          </w:p>
          <w:p w:rsidR="00976F54" w:rsidRDefault="00BC69BE">
            <w:pPr>
              <w:spacing w:after="0" w:line="259" w:lineRule="auto"/>
              <w:ind w:left="108" w:firstLine="0"/>
            </w:pPr>
            <w:r>
              <w:t xml:space="preserve">Trichomonas Screen) is requested </w:t>
            </w:r>
          </w:p>
        </w:tc>
        <w:tc>
          <w:tcPr>
            <w:tcW w:w="811" w:type="dxa"/>
            <w:tcBorders>
              <w:top w:val="single" w:sz="4" w:space="0" w:color="000000"/>
              <w:left w:val="single" w:sz="4" w:space="0" w:color="000000"/>
              <w:bottom w:val="single" w:sz="4" w:space="0" w:color="000000"/>
              <w:right w:val="nil"/>
            </w:tcBorders>
          </w:tcPr>
          <w:p w:rsidR="00976F54" w:rsidRDefault="00BC69BE">
            <w:pPr>
              <w:spacing w:after="0" w:line="259" w:lineRule="auto"/>
              <w:ind w:left="108" w:firstLine="0"/>
            </w:pPr>
            <w:r>
              <w:t xml:space="preserve">a. </w:t>
            </w:r>
          </w:p>
          <w:p w:rsidR="00976F54" w:rsidRDefault="00BC69BE">
            <w:pPr>
              <w:spacing w:after="0" w:line="259" w:lineRule="auto"/>
              <w:ind w:left="108" w:firstLine="0"/>
            </w:pPr>
            <w:r>
              <w:t xml:space="preserve">b. </w:t>
            </w:r>
          </w:p>
          <w:p w:rsidR="00976F54" w:rsidRDefault="00BC69BE">
            <w:pPr>
              <w:spacing w:after="0" w:line="259" w:lineRule="auto"/>
              <w:ind w:left="108" w:firstLine="0"/>
            </w:pPr>
            <w:r>
              <w:t xml:space="preserve">c. </w:t>
            </w:r>
          </w:p>
          <w:p w:rsidR="00976F54" w:rsidRDefault="00BC69BE">
            <w:pPr>
              <w:spacing w:after="247" w:line="259" w:lineRule="auto"/>
              <w:ind w:left="108" w:firstLine="0"/>
            </w:pPr>
            <w:r>
              <w:t xml:space="preserve">d. </w:t>
            </w:r>
          </w:p>
          <w:p w:rsidR="00976F54" w:rsidRDefault="00BC69BE">
            <w:pPr>
              <w:spacing w:after="0" w:line="259" w:lineRule="auto"/>
              <w:ind w:left="108" w:firstLine="0"/>
            </w:pPr>
            <w:r>
              <w:t xml:space="preserve">e. </w:t>
            </w:r>
          </w:p>
        </w:tc>
        <w:tc>
          <w:tcPr>
            <w:tcW w:w="5905" w:type="dxa"/>
            <w:tcBorders>
              <w:top w:val="single" w:sz="4" w:space="0" w:color="000000"/>
              <w:left w:val="nil"/>
              <w:bottom w:val="single" w:sz="4" w:space="0" w:color="000000"/>
              <w:right w:val="single" w:sz="4" w:space="0" w:color="000000"/>
            </w:tcBorders>
          </w:tcPr>
          <w:p w:rsidR="00976F54" w:rsidRDefault="00BC69BE">
            <w:pPr>
              <w:spacing w:after="0" w:line="259" w:lineRule="auto"/>
              <w:ind w:left="0" w:firstLine="0"/>
            </w:pPr>
            <w:r>
              <w:t xml:space="preserve">Function MEM </w:t>
            </w:r>
          </w:p>
          <w:p w:rsidR="00976F54" w:rsidRDefault="00BC69BE">
            <w:pPr>
              <w:spacing w:after="0" w:line="259" w:lineRule="auto"/>
              <w:ind w:left="0" w:firstLine="0"/>
            </w:pPr>
            <w:r>
              <w:t xml:space="preserve">&lt;Enter&gt; to worksheet prompt </w:t>
            </w:r>
          </w:p>
          <w:p w:rsidR="00976F54" w:rsidRDefault="00BC69BE">
            <w:pPr>
              <w:spacing w:after="0" w:line="259" w:lineRule="auto"/>
              <w:ind w:left="0" w:firstLine="0"/>
            </w:pPr>
            <w:r>
              <w:t xml:space="preserve">At worksheet prompt, type site specific worksheet </w:t>
            </w:r>
          </w:p>
          <w:p w:rsidR="00976F54" w:rsidRDefault="00BC69BE">
            <w:pPr>
              <w:spacing w:after="0" w:line="239" w:lineRule="auto"/>
              <w:ind w:left="0" w:firstLine="0"/>
            </w:pPr>
            <w:r>
              <w:t xml:space="preserve">&lt;Enter&gt; to accession prompt.  Type accession number, and &lt;enter&gt; </w:t>
            </w:r>
          </w:p>
          <w:p w:rsidR="00976F54" w:rsidRDefault="00BC69BE">
            <w:pPr>
              <w:spacing w:after="0" w:line="259" w:lineRule="auto"/>
              <w:ind w:left="0" w:firstLine="0"/>
            </w:pPr>
            <w:r>
              <w:t xml:space="preserve">Type appropriate </w:t>
            </w:r>
            <w:r>
              <w:t xml:space="preserve">response, POS or NEG, at each test prompt, &lt;enter&gt;, and accept </w:t>
            </w:r>
          </w:p>
        </w:tc>
      </w:tr>
    </w:tbl>
    <w:p w:rsidR="00976F54" w:rsidRDefault="00BC69BE">
      <w:pPr>
        <w:spacing w:after="0" w:line="259" w:lineRule="auto"/>
        <w:ind w:left="0" w:firstLine="0"/>
      </w:pPr>
      <w:r>
        <w:t xml:space="preserve"> </w:t>
      </w:r>
    </w:p>
    <w:p w:rsidR="00976F54" w:rsidRDefault="00BC69BE">
      <w:pPr>
        <w:spacing w:after="0" w:line="259" w:lineRule="auto"/>
        <w:ind w:left="0" w:firstLine="0"/>
      </w:pPr>
      <w:r>
        <w:t xml:space="preserve"> </w:t>
      </w:r>
    </w:p>
    <w:p w:rsidR="00976F54" w:rsidRDefault="00BC69BE">
      <w:pPr>
        <w:pStyle w:val="Heading1"/>
        <w:ind w:left="-5"/>
      </w:pPr>
      <w:r>
        <w:t xml:space="preserve">LIMITATIONS </w:t>
      </w:r>
    </w:p>
    <w:p w:rsidR="00976F54" w:rsidRDefault="00BC69BE">
      <w:pPr>
        <w:numPr>
          <w:ilvl w:val="0"/>
          <w:numId w:val="4"/>
        </w:numPr>
        <w:ind w:hanging="720"/>
      </w:pPr>
      <w:r>
        <w:t xml:space="preserve">Do not use cervical samples. </w:t>
      </w:r>
    </w:p>
    <w:p w:rsidR="00976F54" w:rsidRDefault="00BC69BE">
      <w:pPr>
        <w:spacing w:after="0" w:line="259" w:lineRule="auto"/>
        <w:ind w:left="0" w:firstLine="0"/>
      </w:pPr>
      <w:r>
        <w:t xml:space="preserve"> </w:t>
      </w:r>
    </w:p>
    <w:p w:rsidR="00976F54" w:rsidRDefault="00BC69BE">
      <w:pPr>
        <w:numPr>
          <w:ilvl w:val="0"/>
          <w:numId w:val="4"/>
        </w:numPr>
        <w:ind w:hanging="720"/>
      </w:pPr>
      <w:r>
        <w:lastRenderedPageBreak/>
        <w:t xml:space="preserve">Mixed infections may occur. Therefore, a test indicating the presence of vaginal fluid sialidase activity does not rule out the presence of yeast, </w:t>
      </w:r>
      <w:r>
        <w:rPr>
          <w:i/>
        </w:rPr>
        <w:t>Trichomonas vaginalis</w:t>
      </w:r>
      <w:r>
        <w:t xml:space="preserve">, or other organisms.  </w:t>
      </w:r>
    </w:p>
    <w:p w:rsidR="00976F54" w:rsidRDefault="00BC69BE">
      <w:pPr>
        <w:spacing w:after="0" w:line="259" w:lineRule="auto"/>
        <w:ind w:left="0" w:firstLine="0"/>
      </w:pPr>
      <w:r>
        <w:t xml:space="preserve"> </w:t>
      </w:r>
    </w:p>
    <w:p w:rsidR="00976F54" w:rsidRDefault="00BC69BE">
      <w:pPr>
        <w:numPr>
          <w:ilvl w:val="0"/>
          <w:numId w:val="4"/>
        </w:numPr>
        <w:ind w:hanging="720"/>
      </w:pPr>
      <w:r>
        <w:t xml:space="preserve">OSOM BVBlue test results provide presumptive diagnostic information about the occurrence of BV and should be considered in conjunction with other clinical and patient information. </w:t>
      </w:r>
    </w:p>
    <w:p w:rsidR="00976F54" w:rsidRDefault="00BC69BE">
      <w:pPr>
        <w:spacing w:after="0" w:line="259" w:lineRule="auto"/>
        <w:ind w:left="0" w:firstLine="0"/>
      </w:pPr>
      <w:r>
        <w:t xml:space="preserve"> </w:t>
      </w:r>
    </w:p>
    <w:p w:rsidR="00976F54" w:rsidRDefault="00BC69BE">
      <w:pPr>
        <w:numPr>
          <w:ilvl w:val="0"/>
          <w:numId w:val="4"/>
        </w:numPr>
        <w:ind w:hanging="720"/>
      </w:pPr>
      <w:r>
        <w:t>Failure to follow instructions for specimen collection, storage and/or pr</w:t>
      </w:r>
      <w:r>
        <w:t xml:space="preserve">oper test procedure may adversely affect the performance of the OSOM BVBlue Test.  </w:t>
      </w:r>
    </w:p>
    <w:p w:rsidR="00976F54" w:rsidRDefault="00BC69BE">
      <w:pPr>
        <w:spacing w:after="0" w:line="259" w:lineRule="auto"/>
        <w:ind w:left="0" w:firstLine="0"/>
      </w:pPr>
      <w:r>
        <w:t xml:space="preserve"> </w:t>
      </w:r>
    </w:p>
    <w:p w:rsidR="00976F54" w:rsidRDefault="00BC69BE">
      <w:pPr>
        <w:pStyle w:val="Heading1"/>
        <w:ind w:left="-5"/>
      </w:pPr>
      <w:r>
        <w:t xml:space="preserve">REFERENCES </w:t>
      </w:r>
    </w:p>
    <w:p w:rsidR="00976F54" w:rsidRDefault="00BC69BE">
      <w:pPr>
        <w:numPr>
          <w:ilvl w:val="0"/>
          <w:numId w:val="5"/>
        </w:numPr>
        <w:ind w:hanging="720"/>
      </w:pPr>
      <w:r>
        <w:t xml:space="preserve">Package insert for the OSOM® BVBlue Test, July 2008. </w:t>
      </w:r>
    </w:p>
    <w:p w:rsidR="00976F54" w:rsidRDefault="00BC69BE">
      <w:pPr>
        <w:numPr>
          <w:ilvl w:val="0"/>
          <w:numId w:val="5"/>
        </w:numPr>
        <w:ind w:hanging="720"/>
      </w:pPr>
      <w:r>
        <w:t xml:space="preserve">Technical Bulletin 7/28/08. </w:t>
      </w:r>
    </w:p>
    <w:sectPr w:rsidR="00976F54">
      <w:headerReference w:type="even" r:id="rId7"/>
      <w:headerReference w:type="default" r:id="rId8"/>
      <w:footerReference w:type="even" r:id="rId9"/>
      <w:footerReference w:type="default" r:id="rId10"/>
      <w:headerReference w:type="first" r:id="rId11"/>
      <w:footerReference w:type="first" r:id="rId12"/>
      <w:pgSz w:w="12240" w:h="15840"/>
      <w:pgMar w:top="2223" w:right="1463" w:bottom="144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69BE">
      <w:pPr>
        <w:spacing w:after="0" w:line="240" w:lineRule="auto"/>
      </w:pPr>
      <w:r>
        <w:separator/>
      </w:r>
    </w:p>
  </w:endnote>
  <w:endnote w:type="continuationSeparator" w:id="0">
    <w:p w:rsidR="00000000" w:rsidRDefault="00BC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54" w:rsidRDefault="00BC69BE">
    <w:pPr>
      <w:tabs>
        <w:tab w:val="center" w:pos="4679"/>
        <w:tab w:val="right" w:pos="9336"/>
      </w:tabs>
      <w:spacing w:after="0" w:line="259" w:lineRule="auto"/>
      <w:ind w:left="0" w:right="-23" w:firstLine="0"/>
    </w:pPr>
    <w:r>
      <w:rPr>
        <w:color w:val="808080"/>
        <w:sz w:val="20"/>
      </w:rPr>
      <w:t xml:space="preserve">©MACL Confidential, for Internal Use Only  </w:t>
    </w:r>
    <w:r>
      <w:rPr>
        <w:color w:val="808080"/>
        <w:sz w:val="20"/>
      </w:rPr>
      <w:tab/>
      <w:t xml:space="preserve">Effective 10/30/2012 </w:t>
    </w:r>
    <w:r>
      <w:rPr>
        <w:color w:val="808080"/>
        <w:sz w:val="20"/>
      </w:rPr>
      <w:tab/>
      <w:t xml:space="preserve">Page </w:t>
    </w:r>
    <w:r>
      <w:fldChar w:fldCharType="begin"/>
    </w:r>
    <w:r>
      <w:instrText xml:space="preserve"> PAGE   \* MERGEFORMAT </w:instrText>
    </w:r>
    <w:r>
      <w:fldChar w:fldCharType="separate"/>
    </w:r>
    <w:r>
      <w:rPr>
        <w:b/>
        <w:color w:val="808080"/>
        <w:sz w:val="20"/>
      </w:rPr>
      <w:t>1</w:t>
    </w:r>
    <w:r>
      <w:rPr>
        <w:b/>
        <w:color w:val="808080"/>
        <w:sz w:val="20"/>
      </w:rPr>
      <w:fldChar w:fldCharType="end"/>
    </w:r>
    <w:r>
      <w:rPr>
        <w:color w:val="808080"/>
        <w:sz w:val="20"/>
      </w:rPr>
      <w:t xml:space="preserve"> of </w:t>
    </w:r>
    <w:r>
      <w:fldChar w:fldCharType="begin"/>
    </w:r>
    <w:r>
      <w:instrText xml:space="preserve"> NUMPAGES   \* MERGEFORMAT </w:instrText>
    </w:r>
    <w:r>
      <w:fldChar w:fldCharType="separate"/>
    </w:r>
    <w:r>
      <w:rPr>
        <w:b/>
        <w:color w:val="808080"/>
        <w:sz w:val="20"/>
      </w:rPr>
      <w:t>5</w:t>
    </w:r>
    <w:r>
      <w:rPr>
        <w:b/>
        <w:color w:val="808080"/>
        <w:sz w:val="20"/>
      </w:rPr>
      <w:fldChar w:fldCharType="end"/>
    </w:r>
    <w:r>
      <w:rPr>
        <w:b/>
        <w:color w:val="808080"/>
        <w:sz w:val="20"/>
      </w:rPr>
      <w:t xml:space="preserve"> </w:t>
    </w:r>
  </w:p>
  <w:p w:rsidR="00976F54" w:rsidRDefault="00BC69BE">
    <w:pPr>
      <w:tabs>
        <w:tab w:val="center" w:pos="4680"/>
      </w:tabs>
      <w:spacing w:after="0" w:line="259" w:lineRule="auto"/>
      <w:ind w:left="0" w:firstLine="0"/>
    </w:pPr>
    <w:r>
      <w:rPr>
        <w:b/>
        <w:color w:val="808080"/>
        <w:sz w:val="20"/>
      </w:rPr>
      <w:t xml:space="preserve"> </w:t>
    </w:r>
    <w:r>
      <w:rPr>
        <w:b/>
        <w:color w:val="808080"/>
        <w:sz w:val="20"/>
      </w:rPr>
      <w:tab/>
    </w:r>
    <w:r>
      <w:rPr>
        <w:color w:val="808080"/>
        <w:sz w:val="20"/>
      </w:rPr>
      <w:t xml:space="preserve">Document Version: 3.0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54" w:rsidRDefault="00BC69BE">
    <w:pPr>
      <w:tabs>
        <w:tab w:val="center" w:pos="4679"/>
        <w:tab w:val="right" w:pos="9336"/>
      </w:tabs>
      <w:spacing w:after="0" w:line="259" w:lineRule="auto"/>
      <w:ind w:left="0" w:right="-23" w:firstLine="0"/>
    </w:pPr>
    <w:r>
      <w:rPr>
        <w:color w:val="808080"/>
        <w:sz w:val="20"/>
      </w:rPr>
      <w:t xml:space="preserve">©MACL Confidential, for Internal Use Only  </w:t>
    </w:r>
    <w:r>
      <w:rPr>
        <w:color w:val="808080"/>
        <w:sz w:val="20"/>
      </w:rPr>
      <w:tab/>
      <w:t xml:space="preserve">Effective 10/30/2012 </w:t>
    </w:r>
    <w:r>
      <w:rPr>
        <w:color w:val="808080"/>
        <w:sz w:val="20"/>
      </w:rPr>
      <w:tab/>
      <w:t xml:space="preserve">Page </w:t>
    </w:r>
    <w:r>
      <w:fldChar w:fldCharType="begin"/>
    </w:r>
    <w:r>
      <w:instrText xml:space="preserve"> PAGE   \* MERGEFORMAT </w:instrText>
    </w:r>
    <w:r>
      <w:fldChar w:fldCharType="separate"/>
    </w:r>
    <w:r w:rsidRPr="00BC69BE">
      <w:rPr>
        <w:b/>
        <w:noProof/>
        <w:color w:val="808080"/>
        <w:sz w:val="20"/>
      </w:rPr>
      <w:t>2</w:t>
    </w:r>
    <w:r>
      <w:rPr>
        <w:b/>
        <w:color w:val="808080"/>
        <w:sz w:val="20"/>
      </w:rPr>
      <w:fldChar w:fldCharType="end"/>
    </w:r>
    <w:r>
      <w:rPr>
        <w:color w:val="808080"/>
        <w:sz w:val="20"/>
      </w:rPr>
      <w:t xml:space="preserve"> of </w:t>
    </w:r>
    <w:r>
      <w:fldChar w:fldCharType="begin"/>
    </w:r>
    <w:r>
      <w:instrText xml:space="preserve"> NUMPAGES   \* MERGEFORMAT </w:instrText>
    </w:r>
    <w:r>
      <w:fldChar w:fldCharType="separate"/>
    </w:r>
    <w:r w:rsidRPr="00BC69BE">
      <w:rPr>
        <w:b/>
        <w:noProof/>
        <w:color w:val="808080"/>
        <w:sz w:val="20"/>
      </w:rPr>
      <w:t>5</w:t>
    </w:r>
    <w:r>
      <w:rPr>
        <w:b/>
        <w:color w:val="808080"/>
        <w:sz w:val="20"/>
      </w:rPr>
      <w:fldChar w:fldCharType="end"/>
    </w:r>
    <w:r>
      <w:rPr>
        <w:b/>
        <w:color w:val="808080"/>
        <w:sz w:val="20"/>
      </w:rPr>
      <w:t xml:space="preserve"> </w:t>
    </w:r>
  </w:p>
  <w:p w:rsidR="00976F54" w:rsidRDefault="00BC69BE">
    <w:pPr>
      <w:tabs>
        <w:tab w:val="center" w:pos="4680"/>
      </w:tabs>
      <w:spacing w:after="0" w:line="259" w:lineRule="auto"/>
      <w:ind w:left="0" w:firstLine="0"/>
    </w:pPr>
    <w:r>
      <w:rPr>
        <w:b/>
        <w:color w:val="808080"/>
        <w:sz w:val="20"/>
      </w:rPr>
      <w:t xml:space="preserve"> </w:t>
    </w:r>
    <w:r>
      <w:rPr>
        <w:b/>
        <w:color w:val="808080"/>
        <w:sz w:val="20"/>
      </w:rPr>
      <w:tab/>
    </w:r>
    <w:r>
      <w:rPr>
        <w:color w:val="808080"/>
        <w:sz w:val="20"/>
      </w:rPr>
      <w:t xml:space="preserve">Document Version: 3.0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54" w:rsidRDefault="00BC69BE">
    <w:pPr>
      <w:tabs>
        <w:tab w:val="center" w:pos="4679"/>
        <w:tab w:val="right" w:pos="9336"/>
      </w:tabs>
      <w:spacing w:after="0" w:line="259" w:lineRule="auto"/>
      <w:ind w:left="0" w:right="-23" w:firstLine="0"/>
    </w:pPr>
    <w:r>
      <w:rPr>
        <w:color w:val="808080"/>
        <w:sz w:val="20"/>
      </w:rPr>
      <w:t>©MACL Confidential, for Internal Use Onl</w:t>
    </w:r>
    <w:r>
      <w:rPr>
        <w:color w:val="808080"/>
        <w:sz w:val="20"/>
      </w:rPr>
      <w:t xml:space="preserve">y  </w:t>
    </w:r>
    <w:r>
      <w:rPr>
        <w:color w:val="808080"/>
        <w:sz w:val="20"/>
      </w:rPr>
      <w:tab/>
      <w:t xml:space="preserve">Effective 10/30/2012 </w:t>
    </w:r>
    <w:r>
      <w:rPr>
        <w:color w:val="808080"/>
        <w:sz w:val="20"/>
      </w:rPr>
      <w:tab/>
      <w:t xml:space="preserve">Page </w:t>
    </w:r>
    <w:r>
      <w:fldChar w:fldCharType="begin"/>
    </w:r>
    <w:r>
      <w:instrText xml:space="preserve"> PAGE   \* MERGEFORMAT </w:instrText>
    </w:r>
    <w:r>
      <w:fldChar w:fldCharType="separate"/>
    </w:r>
    <w:r>
      <w:rPr>
        <w:b/>
        <w:color w:val="808080"/>
        <w:sz w:val="20"/>
      </w:rPr>
      <w:t>1</w:t>
    </w:r>
    <w:r>
      <w:rPr>
        <w:b/>
        <w:color w:val="808080"/>
        <w:sz w:val="20"/>
      </w:rPr>
      <w:fldChar w:fldCharType="end"/>
    </w:r>
    <w:r>
      <w:rPr>
        <w:color w:val="808080"/>
        <w:sz w:val="20"/>
      </w:rPr>
      <w:t xml:space="preserve"> of </w:t>
    </w:r>
    <w:r>
      <w:fldChar w:fldCharType="begin"/>
    </w:r>
    <w:r>
      <w:instrText xml:space="preserve"> NUMPAGES   \* MERGEFORMAT </w:instrText>
    </w:r>
    <w:r>
      <w:fldChar w:fldCharType="separate"/>
    </w:r>
    <w:r>
      <w:rPr>
        <w:b/>
        <w:color w:val="808080"/>
        <w:sz w:val="20"/>
      </w:rPr>
      <w:t>5</w:t>
    </w:r>
    <w:r>
      <w:rPr>
        <w:b/>
        <w:color w:val="808080"/>
        <w:sz w:val="20"/>
      </w:rPr>
      <w:fldChar w:fldCharType="end"/>
    </w:r>
    <w:r>
      <w:rPr>
        <w:b/>
        <w:color w:val="808080"/>
        <w:sz w:val="20"/>
      </w:rPr>
      <w:t xml:space="preserve"> </w:t>
    </w:r>
  </w:p>
  <w:p w:rsidR="00976F54" w:rsidRDefault="00BC69BE">
    <w:pPr>
      <w:tabs>
        <w:tab w:val="center" w:pos="4680"/>
      </w:tabs>
      <w:spacing w:after="0" w:line="259" w:lineRule="auto"/>
      <w:ind w:left="0" w:firstLine="0"/>
    </w:pPr>
    <w:r>
      <w:rPr>
        <w:b/>
        <w:color w:val="808080"/>
        <w:sz w:val="20"/>
      </w:rPr>
      <w:t xml:space="preserve"> </w:t>
    </w:r>
    <w:r>
      <w:rPr>
        <w:b/>
        <w:color w:val="808080"/>
        <w:sz w:val="20"/>
      </w:rPr>
      <w:tab/>
    </w:r>
    <w:r>
      <w:rPr>
        <w:color w:val="808080"/>
        <w:sz w:val="20"/>
      </w:rPr>
      <w:t xml:space="preserve">Document Version: 3.0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C69BE">
      <w:pPr>
        <w:spacing w:after="0" w:line="240" w:lineRule="auto"/>
      </w:pPr>
      <w:r>
        <w:separator/>
      </w:r>
    </w:p>
  </w:footnote>
  <w:footnote w:type="continuationSeparator" w:id="0">
    <w:p w:rsidR="00000000" w:rsidRDefault="00BC6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54" w:rsidRDefault="00BC69BE">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457200</wp:posOffset>
          </wp:positionV>
          <wp:extent cx="743712" cy="734568"/>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743712" cy="734568"/>
                  </a:xfrm>
                  <a:prstGeom prst="rect">
                    <a:avLst/>
                  </a:prstGeom>
                </pic:spPr>
              </pic:pic>
            </a:graphicData>
          </a:graphic>
        </wp:anchor>
      </w:drawing>
    </w:r>
    <w:r>
      <w:t xml:space="preserve">    </w:t>
    </w:r>
    <w:r>
      <w:t xml:space="preserve"> BACTERIAL VAGINOSIS (BV) RAPID TEST </w:t>
    </w:r>
  </w:p>
  <w:p w:rsidR="00976F54" w:rsidRDefault="00BC69BE">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54" w:rsidRDefault="00BC69BE">
    <w:pPr>
      <w:spacing w:after="0" w:line="259" w:lineRule="auto"/>
      <w:ind w:left="0" w:firstLine="0"/>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457200</wp:posOffset>
          </wp:positionV>
          <wp:extent cx="743712" cy="73456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743712" cy="734568"/>
                  </a:xfrm>
                  <a:prstGeom prst="rect">
                    <a:avLst/>
                  </a:prstGeom>
                </pic:spPr>
              </pic:pic>
            </a:graphicData>
          </a:graphic>
        </wp:anchor>
      </w:drawing>
    </w:r>
    <w:r>
      <w:t xml:space="preserve">     BACTERIAL VAGINOSIS (BV) RAPID TEST </w:t>
    </w:r>
  </w:p>
  <w:p w:rsidR="00976F54" w:rsidRDefault="00BC69BE">
    <w:pPr>
      <w:spacing w:after="0" w:line="259" w:lineRule="auto"/>
      <w:ind w:lef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54" w:rsidRDefault="00BC69BE">
    <w:pPr>
      <w:spacing w:after="0" w:line="259" w:lineRule="auto"/>
      <w:ind w:left="0" w:firstLine="0"/>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457200</wp:posOffset>
          </wp:positionV>
          <wp:extent cx="743712" cy="73456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743712" cy="734568"/>
                  </a:xfrm>
                  <a:prstGeom prst="rect">
                    <a:avLst/>
                  </a:prstGeom>
                </pic:spPr>
              </pic:pic>
            </a:graphicData>
          </a:graphic>
        </wp:anchor>
      </w:drawing>
    </w:r>
    <w:r>
      <w:t xml:space="preserve">     BACTERIAL VAGINOSIS (BV) RAPID TEST </w:t>
    </w:r>
  </w:p>
  <w:p w:rsidR="00976F54" w:rsidRDefault="00BC69BE">
    <w:pPr>
      <w:spacing w:after="0" w:line="259" w:lineRule="auto"/>
      <w:ind w:lef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23A0"/>
    <w:multiLevelType w:val="hybridMultilevel"/>
    <w:tmpl w:val="ADFC0AAE"/>
    <w:lvl w:ilvl="0" w:tplc="20BC1B26">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6242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FAE2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1075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FC9C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A6A3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E437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FC9C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426A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F73CC0"/>
    <w:multiLevelType w:val="hybridMultilevel"/>
    <w:tmpl w:val="919CA904"/>
    <w:lvl w:ilvl="0" w:tplc="A1DC1306">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E288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7875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08AF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EA00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D6BB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68DB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CE1D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9831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F6120"/>
    <w:multiLevelType w:val="hybridMultilevel"/>
    <w:tmpl w:val="A6383914"/>
    <w:lvl w:ilvl="0" w:tplc="007297B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76E64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16697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AAFBC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2915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32EB6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0619C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FA067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44115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84486F"/>
    <w:multiLevelType w:val="hybridMultilevel"/>
    <w:tmpl w:val="40FC6308"/>
    <w:lvl w:ilvl="0" w:tplc="9726F4C8">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60CB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B068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D4E1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EEB7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80DA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8E0F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F414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32E2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AA7E4E"/>
    <w:multiLevelType w:val="hybridMultilevel"/>
    <w:tmpl w:val="82FC66F6"/>
    <w:lvl w:ilvl="0" w:tplc="873A3DD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8A23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B83D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48C9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FAF8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ACE2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9657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9455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06D0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54"/>
    <w:rsid w:val="00976F54"/>
    <w:rsid w:val="00BC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7883"/>
  <w15:docId w15:val="{0586A969-A928-4967-8A42-87C8501E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BACTERIAL VAGINOSIS (BV) RAPID TEST</vt:lpstr>
    </vt:vector>
  </TitlesOfParts>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BACTERIAL VAGINOSIS (BV) RAPID TEST</dc:title>
  <dc:subject/>
  <dc:creator>Workman, Autumn</dc:creator>
  <cp:keywords/>
  <cp:lastModifiedBy>Beeler, Karolyn I</cp:lastModifiedBy>
  <cp:revision>2</cp:revision>
  <dcterms:created xsi:type="dcterms:W3CDTF">2016-02-18T18:08:00Z</dcterms:created>
  <dcterms:modified xsi:type="dcterms:W3CDTF">2016-02-18T18:08:00Z</dcterms:modified>
</cp:coreProperties>
</file>