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E2" w:rsidRDefault="00593D5B">
      <w:pPr>
        <w:spacing w:after="0" w:line="259" w:lineRule="auto"/>
        <w:ind w:left="0" w:firstLine="0"/>
      </w:pPr>
      <w:bookmarkStart w:id="0" w:name="_GoBack"/>
      <w:bookmarkEnd w:id="0"/>
      <w:r>
        <w:t xml:space="preserve"> </w:t>
      </w:r>
    </w:p>
    <w:p w:rsidR="00F97AE2" w:rsidRDefault="00593D5B">
      <w:pPr>
        <w:tabs>
          <w:tab w:val="center" w:pos="3419"/>
        </w:tabs>
        <w:spacing w:after="0" w:line="259" w:lineRule="auto"/>
        <w:ind w:left="-15" w:firstLine="0"/>
      </w:pPr>
      <w:r>
        <w:rPr>
          <w:b/>
        </w:rPr>
        <w:t xml:space="preserve">MICRO.KIT.11.0 </w:t>
      </w:r>
      <w:r>
        <w:rPr>
          <w:b/>
        </w:rPr>
        <w:tab/>
        <w:t xml:space="preserve">TRICHOMONAS RAPID TEST </w:t>
      </w:r>
    </w:p>
    <w:p w:rsidR="00F97AE2" w:rsidRDefault="00593D5B">
      <w:pPr>
        <w:spacing w:after="0" w:line="259" w:lineRule="auto"/>
        <w:ind w:left="0" w:firstLine="0"/>
      </w:pPr>
      <w:r>
        <w:t xml:space="preserve"> </w:t>
      </w:r>
    </w:p>
    <w:p w:rsidR="00F97AE2" w:rsidRDefault="00593D5B">
      <w:pPr>
        <w:pStyle w:val="Heading1"/>
        <w:ind w:left="-5"/>
      </w:pPr>
      <w:r>
        <w:t xml:space="preserve">PRINCIPLE </w:t>
      </w:r>
    </w:p>
    <w:p w:rsidR="00F97AE2" w:rsidRDefault="00593D5B">
      <w:pPr>
        <w:ind w:left="-5"/>
      </w:pPr>
      <w:r>
        <w:t>Trichomonas infection is responsible for the most common, non-</w:t>
      </w:r>
      <w:r>
        <w:t>viral sexually transmitted disease (vaginitis or trichomoniasis) worldwide. Trichomoniasis is a significant cause of morbidity among all infected patients. Effective diagnosis and treatment of Trichomonas infections have been shown to eliminate symptoms. C</w:t>
      </w:r>
      <w:r>
        <w:t>onventional identification procedures for Trichomonas from vaginal swabs or vaginal washes involve the isolation and subsequent identification of viable pathogens by wet mount or by culture, a process that can take 24-120 hours.  Wet mount microscopy has a</w:t>
      </w:r>
      <w:r>
        <w:t xml:space="preserve"> reported sensitivity of 58% versus culture. The OSOM® Trichomonas Rapid Test is an immunochromatographic assay that detects pathogen antigens directly from vaginal swabs in a decreased turnaround time.  </w:t>
      </w:r>
    </w:p>
    <w:p w:rsidR="00F97AE2" w:rsidRDefault="00593D5B">
      <w:pPr>
        <w:spacing w:after="0" w:line="259" w:lineRule="auto"/>
        <w:ind w:left="0" w:firstLine="0"/>
      </w:pPr>
      <w:r>
        <w:t xml:space="preserve"> </w:t>
      </w:r>
    </w:p>
    <w:p w:rsidR="00F97AE2" w:rsidRDefault="00593D5B">
      <w:pPr>
        <w:ind w:left="-5"/>
      </w:pPr>
      <w:r>
        <w:t>The OSOM® Trichomonas Rapid Test uses color immun</w:t>
      </w:r>
      <w:r>
        <w:t>ochromatographic, capillary flow, “dipstick” technology. The test procedure requires the solubilization of Trichomonas proteins from a vaginal swab by mixing the swab in Sample Buffer. The OSOM Trichomonas Rapid Test Stick is then placed in the sample mixt</w:t>
      </w:r>
      <w:r>
        <w:t>ure and the mixture migrates along the membrane surface. If Trichomonas is present in the sample, it will form a complex with the primary anti-Trichomonas antibody conjugated to colored particles  (blue). The complex will then be bound by a second anti-Tri</w:t>
      </w:r>
      <w:r>
        <w:t xml:space="preserve">chomonas antibody coated on the nitrocellulose membrane. The appearance of a visible blue test line along with the red control line will indicate a positive result. </w:t>
      </w:r>
    </w:p>
    <w:p w:rsidR="00F97AE2" w:rsidRDefault="00593D5B">
      <w:pPr>
        <w:spacing w:after="0" w:line="259" w:lineRule="auto"/>
        <w:ind w:left="0" w:firstLine="0"/>
      </w:pPr>
      <w:r>
        <w:t xml:space="preserve"> </w:t>
      </w:r>
    </w:p>
    <w:p w:rsidR="00F97AE2" w:rsidRDefault="00593D5B">
      <w:pPr>
        <w:pStyle w:val="Heading1"/>
        <w:ind w:left="-5"/>
      </w:pPr>
      <w:r>
        <w:lastRenderedPageBreak/>
        <w:t>OWNERS</w:t>
      </w:r>
      <w:r>
        <w:rPr>
          <w:b w:val="0"/>
        </w:rPr>
        <w:t xml:space="preserve"> </w:t>
      </w:r>
    </w:p>
    <w:p w:rsidR="00F97AE2" w:rsidRDefault="00593D5B">
      <w:pPr>
        <w:ind w:left="-5"/>
      </w:pPr>
      <w:r>
        <w:t xml:space="preserve">Supervisor, Regional Microbiology </w:t>
      </w:r>
    </w:p>
    <w:p w:rsidR="00F97AE2" w:rsidRDefault="00593D5B">
      <w:pPr>
        <w:ind w:left="-5"/>
      </w:pPr>
      <w:r>
        <w:t xml:space="preserve">Microbiology Best Practice Team </w:t>
      </w:r>
    </w:p>
    <w:p w:rsidR="00F97AE2" w:rsidRDefault="00593D5B">
      <w:pPr>
        <w:spacing w:after="0" w:line="259" w:lineRule="auto"/>
        <w:ind w:left="0" w:firstLine="0"/>
      </w:pPr>
      <w:r>
        <w:t xml:space="preserve"> </w:t>
      </w:r>
    </w:p>
    <w:p w:rsidR="00F97AE2" w:rsidRDefault="00593D5B">
      <w:pPr>
        <w:pStyle w:val="Heading1"/>
        <w:ind w:left="-5"/>
      </w:pPr>
      <w:r>
        <w:t>RELATED DO</w:t>
      </w:r>
      <w:r>
        <w:t xml:space="preserve">CUMENTS </w:t>
      </w:r>
    </w:p>
    <w:p w:rsidR="00F97AE2" w:rsidRDefault="00593D5B">
      <w:pPr>
        <w:ind w:left="-5"/>
      </w:pPr>
      <w:r>
        <w:t xml:space="preserve">MICRO.KIT.1.1 BV and TRICH Log </w:t>
      </w:r>
    </w:p>
    <w:p w:rsidR="00F97AE2" w:rsidRDefault="00593D5B">
      <w:pPr>
        <w:tabs>
          <w:tab w:val="center" w:pos="2426"/>
        </w:tabs>
        <w:ind w:left="-15" w:firstLine="0"/>
      </w:pPr>
      <w:r>
        <w:t xml:space="preserve">QA.QC.1.1 </w:t>
      </w:r>
      <w:r>
        <w:tab/>
        <w:t xml:space="preserve">External QC Log Sheet </w:t>
      </w:r>
    </w:p>
    <w:p w:rsidR="00F97AE2" w:rsidRDefault="00593D5B">
      <w:pPr>
        <w:spacing w:after="0" w:line="259" w:lineRule="auto"/>
        <w:ind w:left="0" w:firstLine="0"/>
      </w:pPr>
      <w:r>
        <w:t xml:space="preserve"> </w:t>
      </w:r>
    </w:p>
    <w:p w:rsidR="00F97AE2" w:rsidRDefault="00593D5B">
      <w:pPr>
        <w:pStyle w:val="Heading1"/>
        <w:ind w:left="-5"/>
      </w:pPr>
      <w:r>
        <w:t xml:space="preserve">SPECIMEN </w:t>
      </w:r>
    </w:p>
    <w:p w:rsidR="00F97AE2" w:rsidRDefault="00593D5B">
      <w:pPr>
        <w:spacing w:after="0" w:line="259" w:lineRule="auto"/>
        <w:ind w:left="0" w:firstLine="0"/>
      </w:pPr>
      <w:r>
        <w:t xml:space="preserve"> </w:t>
      </w:r>
    </w:p>
    <w:p w:rsidR="00F97AE2" w:rsidRDefault="00593D5B">
      <w:pPr>
        <w:ind w:left="1440" w:hanging="720"/>
      </w:pPr>
      <w:r>
        <w:rPr>
          <w:b/>
        </w:rPr>
        <w:t xml:space="preserve">NOTE: </w:t>
      </w:r>
      <w:r>
        <w:t xml:space="preserve">Specimens should be processed as soon as possible after collection. A separate swab must be used if a culture is requested. </w:t>
      </w:r>
    </w:p>
    <w:p w:rsidR="00F97AE2" w:rsidRDefault="00593D5B">
      <w:pPr>
        <w:spacing w:after="0" w:line="259" w:lineRule="auto"/>
        <w:ind w:left="0" w:firstLine="0"/>
      </w:pPr>
      <w:r>
        <w:t xml:space="preserve"> </w:t>
      </w:r>
    </w:p>
    <w:tbl>
      <w:tblPr>
        <w:tblStyle w:val="TableGrid"/>
        <w:tblW w:w="8013" w:type="dxa"/>
        <w:tblInd w:w="674" w:type="dxa"/>
        <w:tblCellMar>
          <w:top w:w="46" w:type="dxa"/>
          <w:left w:w="108" w:type="dxa"/>
          <w:bottom w:w="0" w:type="dxa"/>
          <w:right w:w="105" w:type="dxa"/>
        </w:tblCellMar>
        <w:tblLook w:val="04A0" w:firstRow="1" w:lastRow="0" w:firstColumn="1" w:lastColumn="0" w:noHBand="0" w:noVBand="1"/>
      </w:tblPr>
      <w:tblGrid>
        <w:gridCol w:w="2504"/>
        <w:gridCol w:w="2160"/>
        <w:gridCol w:w="3349"/>
      </w:tblGrid>
      <w:tr w:rsidR="00F97AE2">
        <w:trPr>
          <w:trHeight w:val="1085"/>
        </w:trPr>
        <w:tc>
          <w:tcPr>
            <w:tcW w:w="2504"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Vaginal swabs </w:t>
            </w:r>
          </w:p>
          <w:p w:rsidR="00F97AE2" w:rsidRDefault="00593D5B">
            <w:pPr>
              <w:spacing w:after="0" w:line="259" w:lineRule="auto"/>
              <w:ind w:left="0" w:firstLine="0"/>
            </w:pPr>
            <w:r>
              <w:t xml:space="preserve"> </w:t>
            </w:r>
          </w:p>
        </w:tc>
        <w:tc>
          <w:tcPr>
            <w:tcW w:w="5509" w:type="dxa"/>
            <w:gridSpan w:val="2"/>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Dacron or rayon tipped swab transported in sterile tube with no preservatives or swab in red-capped Liquid Stuarts culturette.  Swabs in saline are unacceptable. (Cotton swabs and wooden shafts are unacceptable.) </w:t>
            </w:r>
          </w:p>
        </w:tc>
      </w:tr>
      <w:tr w:rsidR="00F97AE2">
        <w:trPr>
          <w:trHeight w:val="278"/>
        </w:trPr>
        <w:tc>
          <w:tcPr>
            <w:tcW w:w="2504" w:type="dxa"/>
            <w:vMerge w:val="restart"/>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 </w:t>
            </w:r>
          </w:p>
          <w:p w:rsidR="00F97AE2" w:rsidRDefault="00593D5B">
            <w:pPr>
              <w:spacing w:after="0" w:line="259" w:lineRule="auto"/>
              <w:ind w:left="0" w:firstLine="0"/>
            </w:pPr>
            <w:r>
              <w:t xml:space="preserve">Storage requirement </w:t>
            </w:r>
          </w:p>
        </w:tc>
        <w:tc>
          <w:tcPr>
            <w:tcW w:w="216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If: </w:t>
            </w:r>
          </w:p>
        </w:tc>
        <w:tc>
          <w:tcPr>
            <w:tcW w:w="33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Then: </w:t>
            </w:r>
          </w:p>
        </w:tc>
      </w:tr>
      <w:tr w:rsidR="00F97AE2">
        <w:trPr>
          <w:trHeight w:val="278"/>
        </w:trPr>
        <w:tc>
          <w:tcPr>
            <w:tcW w:w="0" w:type="auto"/>
            <w:vMerge/>
            <w:tcBorders>
              <w:top w:val="nil"/>
              <w:left w:val="single" w:sz="4" w:space="0" w:color="000000"/>
              <w:bottom w:val="nil"/>
              <w:right w:val="single" w:sz="4" w:space="0" w:color="000000"/>
            </w:tcBorders>
          </w:tcPr>
          <w:p w:rsidR="00F97AE2" w:rsidRDefault="00F97AE2">
            <w:pPr>
              <w:spacing w:after="160" w:line="259" w:lineRule="auto"/>
              <w:ind w:left="0" w:firstLine="0"/>
            </w:pPr>
          </w:p>
        </w:tc>
        <w:tc>
          <w:tcPr>
            <w:tcW w:w="216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rPr>
                <w:u w:val="single" w:color="000000"/>
              </w:rPr>
              <w:t>&lt;</w:t>
            </w:r>
            <w:r>
              <w:t xml:space="preserve"> </w:t>
            </w:r>
            <w:r>
              <w:t xml:space="preserve">24 hours </w:t>
            </w:r>
          </w:p>
        </w:tc>
        <w:tc>
          <w:tcPr>
            <w:tcW w:w="33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Room temperature (15-30ºC)  </w:t>
            </w:r>
          </w:p>
        </w:tc>
      </w:tr>
      <w:tr w:rsidR="00F97AE2">
        <w:trPr>
          <w:trHeight w:val="547"/>
        </w:trPr>
        <w:tc>
          <w:tcPr>
            <w:tcW w:w="0" w:type="auto"/>
            <w:vMerge/>
            <w:tcBorders>
              <w:top w:val="nil"/>
              <w:left w:val="single" w:sz="4" w:space="0" w:color="000000"/>
              <w:bottom w:val="single" w:sz="4" w:space="0" w:color="000000"/>
              <w:right w:val="single" w:sz="4" w:space="0" w:color="000000"/>
            </w:tcBorders>
          </w:tcPr>
          <w:p w:rsidR="00F97AE2" w:rsidRDefault="00F97AE2">
            <w:pPr>
              <w:spacing w:after="160" w:line="259" w:lineRule="auto"/>
              <w:ind w:left="0" w:firstLine="0"/>
            </w:pPr>
          </w:p>
        </w:tc>
        <w:tc>
          <w:tcPr>
            <w:tcW w:w="216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&gt;24 - 36 hours </w:t>
            </w:r>
          </w:p>
        </w:tc>
        <w:tc>
          <w:tcPr>
            <w:tcW w:w="33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right="490" w:firstLine="0"/>
            </w:pPr>
            <w:r>
              <w:t xml:space="preserve">Refrigerate (2º-8°C) or Freeze (-20ºC) </w:t>
            </w:r>
          </w:p>
        </w:tc>
      </w:tr>
    </w:tbl>
    <w:p w:rsidR="00F97AE2" w:rsidRDefault="00593D5B">
      <w:pPr>
        <w:spacing w:after="0" w:line="259" w:lineRule="auto"/>
        <w:ind w:left="0" w:firstLine="0"/>
      </w:pPr>
      <w:r>
        <w:t xml:space="preserve"> </w:t>
      </w:r>
    </w:p>
    <w:p w:rsidR="00F97AE2" w:rsidRDefault="00593D5B">
      <w:pPr>
        <w:spacing w:after="0" w:line="259" w:lineRule="auto"/>
        <w:ind w:left="0" w:firstLine="0"/>
      </w:pPr>
      <w:r>
        <w:t xml:space="preserve"> </w:t>
      </w:r>
    </w:p>
    <w:p w:rsidR="00F97AE2" w:rsidRDefault="00593D5B">
      <w:pPr>
        <w:pStyle w:val="Heading1"/>
        <w:ind w:left="-5"/>
      </w:pPr>
      <w:r>
        <w:t xml:space="preserve">REAGENTS </w:t>
      </w:r>
    </w:p>
    <w:p w:rsidR="00F97AE2" w:rsidRDefault="00593D5B">
      <w:pPr>
        <w:ind w:left="-5"/>
      </w:pPr>
      <w:r>
        <w:t xml:space="preserve">Store Test Sticks and reagents tightly capped at room temperature (15-30ºC) until the expiration date on the test kit box. Do </w:t>
      </w:r>
      <w:r>
        <w:t xml:space="preserve">not freeze. Discard unused Test Sticks that have been removed from the canister after one hour. </w:t>
      </w:r>
    </w:p>
    <w:p w:rsidR="00F97AE2" w:rsidRDefault="00593D5B">
      <w:pPr>
        <w:spacing w:after="0" w:line="259" w:lineRule="auto"/>
        <w:ind w:left="0" w:firstLine="0"/>
      </w:pPr>
      <w:r>
        <w:t xml:space="preserve"> </w:t>
      </w:r>
    </w:p>
    <w:p w:rsidR="00F97AE2" w:rsidRDefault="00593D5B">
      <w:pPr>
        <w:numPr>
          <w:ilvl w:val="0"/>
          <w:numId w:val="1"/>
        </w:numPr>
        <w:ind w:hanging="720"/>
      </w:pPr>
      <w:r>
        <w:t xml:space="preserve">OSOM® Trichomonas Rapid Test Sticks </w:t>
      </w:r>
    </w:p>
    <w:p w:rsidR="00F97AE2" w:rsidRDefault="00593D5B">
      <w:pPr>
        <w:numPr>
          <w:ilvl w:val="0"/>
          <w:numId w:val="1"/>
        </w:numPr>
        <w:ind w:hanging="720"/>
      </w:pPr>
      <w:r>
        <w:t xml:space="preserve">Sterile Swabs (cotton and wooden shaft unacceptable) </w:t>
      </w:r>
    </w:p>
    <w:p w:rsidR="00F97AE2" w:rsidRDefault="00593D5B">
      <w:pPr>
        <w:numPr>
          <w:ilvl w:val="0"/>
          <w:numId w:val="1"/>
        </w:numPr>
        <w:ind w:hanging="720"/>
      </w:pPr>
      <w:r>
        <w:t xml:space="preserve">Test Tubes </w:t>
      </w:r>
    </w:p>
    <w:p w:rsidR="00F97AE2" w:rsidRDefault="00593D5B">
      <w:pPr>
        <w:numPr>
          <w:ilvl w:val="0"/>
          <w:numId w:val="1"/>
        </w:numPr>
        <w:ind w:hanging="720"/>
      </w:pPr>
      <w:r>
        <w:t xml:space="preserve">Sample Buffer (25 mL saline with 0.01 sodium azide) </w:t>
      </w:r>
    </w:p>
    <w:p w:rsidR="00F97AE2" w:rsidRDefault="00593D5B">
      <w:pPr>
        <w:numPr>
          <w:ilvl w:val="0"/>
          <w:numId w:val="1"/>
        </w:numPr>
        <w:ind w:hanging="720"/>
      </w:pPr>
      <w:r>
        <w:t>P</w:t>
      </w:r>
      <w:r>
        <w:t xml:space="preserve">ositive Control Swab (contains sodium azide) </w:t>
      </w:r>
    </w:p>
    <w:p w:rsidR="00F97AE2" w:rsidRDefault="00593D5B">
      <w:pPr>
        <w:spacing w:after="0" w:line="259" w:lineRule="auto"/>
        <w:ind w:left="0" w:firstLine="0"/>
      </w:pPr>
      <w:r>
        <w:lastRenderedPageBreak/>
        <w:t xml:space="preserve"> </w:t>
      </w:r>
    </w:p>
    <w:p w:rsidR="00F97AE2" w:rsidRDefault="00593D5B">
      <w:pPr>
        <w:ind w:left="1440" w:hanging="720"/>
      </w:pPr>
      <w:r>
        <w:rPr>
          <w:b/>
        </w:rPr>
        <w:t xml:space="preserve">Note: </w:t>
      </w:r>
      <w:r>
        <w:rPr>
          <w:b/>
        </w:rPr>
        <w:tab/>
      </w:r>
      <w:r>
        <w:t>The Sample Buffer contains a saline solution with a preservative (sodium azide) and a detergent at low concentrations. If solution comes in contact with the skin or eyes, flush with ample volumes of water. Solutions that contain sodium azide may react with</w:t>
      </w:r>
      <w:r>
        <w:t xml:space="preserve"> lead or copper plumbing to form potentially explosive metal azide. Large quantities of water must be used to flush discarded solutions down a sink.  </w:t>
      </w:r>
    </w:p>
    <w:p w:rsidR="00F97AE2" w:rsidRDefault="00593D5B">
      <w:pPr>
        <w:spacing w:after="0" w:line="259" w:lineRule="auto"/>
        <w:ind w:left="0" w:firstLine="0"/>
      </w:pPr>
      <w:r>
        <w:t xml:space="preserve"> </w:t>
      </w:r>
    </w:p>
    <w:p w:rsidR="00F97AE2" w:rsidRDefault="00593D5B">
      <w:pPr>
        <w:pStyle w:val="Heading1"/>
        <w:ind w:left="-5"/>
      </w:pPr>
      <w:r>
        <w:t xml:space="preserve">QUALITY CONTROL </w:t>
      </w:r>
    </w:p>
    <w:p w:rsidR="00F97AE2" w:rsidRDefault="00593D5B">
      <w:pPr>
        <w:numPr>
          <w:ilvl w:val="0"/>
          <w:numId w:val="2"/>
        </w:numPr>
        <w:ind w:hanging="720"/>
      </w:pPr>
      <w:r>
        <w:t xml:space="preserve">Parallel testing of New Lots is performed and documented prior to the release of the </w:t>
      </w:r>
      <w:r>
        <w:t xml:space="preserve">lots to the Network Laboratories.  All tested lots are marked with a yellow sticker. </w:t>
      </w:r>
    </w:p>
    <w:p w:rsidR="00F97AE2" w:rsidRDefault="00593D5B">
      <w:pPr>
        <w:numPr>
          <w:ilvl w:val="0"/>
          <w:numId w:val="2"/>
        </w:numPr>
        <w:ind w:hanging="720"/>
      </w:pPr>
      <w:r>
        <w:t xml:space="preserve">External QC must be performed with each New Lot or New Shipment, whichever is most frequent. </w:t>
      </w:r>
    </w:p>
    <w:p w:rsidR="00F97AE2" w:rsidRDefault="00593D5B">
      <w:pPr>
        <w:numPr>
          <w:ilvl w:val="0"/>
          <w:numId w:val="2"/>
        </w:numPr>
        <w:ind w:hanging="720"/>
      </w:pPr>
      <w:r>
        <w:t xml:space="preserve">External QC may be performed at the discretion of the technologist.  </w:t>
      </w:r>
    </w:p>
    <w:p w:rsidR="00F97AE2" w:rsidRDefault="00593D5B">
      <w:pPr>
        <w:spacing w:after="0" w:line="259" w:lineRule="auto"/>
        <w:ind w:left="0" w:firstLine="0"/>
      </w:pPr>
      <w:r>
        <w:t xml:space="preserve"> </w:t>
      </w:r>
    </w:p>
    <w:tbl>
      <w:tblPr>
        <w:tblStyle w:val="TableGrid"/>
        <w:tblW w:w="8030" w:type="dxa"/>
        <w:tblInd w:w="612" w:type="dxa"/>
        <w:tblCellMar>
          <w:top w:w="46" w:type="dxa"/>
          <w:left w:w="108" w:type="dxa"/>
          <w:bottom w:w="0" w:type="dxa"/>
          <w:right w:w="115" w:type="dxa"/>
        </w:tblCellMar>
        <w:tblLook w:val="04A0" w:firstRow="1" w:lastRow="0" w:firstColumn="1" w:lastColumn="0" w:noHBand="0" w:noVBand="1"/>
      </w:tblPr>
      <w:tblGrid>
        <w:gridCol w:w="1080"/>
        <w:gridCol w:w="6950"/>
      </w:tblGrid>
      <w:tr w:rsidR="00F97AE2">
        <w:trPr>
          <w:trHeight w:val="278"/>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rPr>
                <w:b/>
              </w:rPr>
              <w:t>Step</w:t>
            </w:r>
            <w:r>
              <w:rPr>
                <w:b/>
              </w:rPr>
              <w:t xml:space="preserve"> </w:t>
            </w:r>
          </w:p>
        </w:tc>
        <w:tc>
          <w:tcPr>
            <w:tcW w:w="695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rPr>
                <w:b/>
              </w:rPr>
              <w:t xml:space="preserve">Action </w:t>
            </w:r>
          </w:p>
        </w:tc>
      </w:tr>
      <w:tr w:rsidR="00F97AE2">
        <w:trPr>
          <w:trHeight w:val="1354"/>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       1. </w:t>
            </w:r>
          </w:p>
        </w:tc>
        <w:tc>
          <w:tcPr>
            <w:tcW w:w="695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Add 0.5 mL of Sample Buffer to two tubes, labeled positive and negative. </w:t>
            </w:r>
          </w:p>
          <w:p w:rsidR="00F97AE2" w:rsidRDefault="00593D5B">
            <w:pPr>
              <w:spacing w:after="0" w:line="252" w:lineRule="auto"/>
              <w:ind w:left="0" w:right="687" w:firstLine="0"/>
            </w:pPr>
            <w:r>
              <w:t xml:space="preserve">(0.5 mL fill line is indicated on the barrel of the dropper top.) </w:t>
            </w:r>
            <w:r>
              <w:rPr>
                <w:b/>
              </w:rPr>
              <w:t xml:space="preserve">Note: </w:t>
            </w:r>
            <w:r>
              <w:rPr>
                <w:b/>
              </w:rPr>
              <w:tab/>
            </w:r>
            <w:r>
              <w:t xml:space="preserve">Add Sample Buffer to the tubes before putting in the swabs   </w:t>
            </w:r>
            <w:r>
              <w:tab/>
            </w:r>
            <w:r>
              <w:t xml:space="preserve">to prevent contaminating the Sample Buffer vial.  </w:t>
            </w:r>
          </w:p>
          <w:p w:rsidR="00F97AE2" w:rsidRDefault="00593D5B">
            <w:pPr>
              <w:spacing w:after="0" w:line="259" w:lineRule="auto"/>
              <w:ind w:left="0" w:firstLine="0"/>
            </w:pPr>
            <w:r>
              <w:t xml:space="preserve"> </w:t>
            </w:r>
          </w:p>
        </w:tc>
      </w:tr>
      <w:tr w:rsidR="00F97AE2">
        <w:trPr>
          <w:trHeight w:val="1082"/>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       2. </w:t>
            </w:r>
          </w:p>
        </w:tc>
        <w:tc>
          <w:tcPr>
            <w:tcW w:w="695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39" w:lineRule="auto"/>
              <w:ind w:left="0" w:firstLine="0"/>
            </w:pPr>
            <w:r>
              <w:t xml:space="preserve">Place the Positive Control Swab (provided in kit) and a Negative Control Swab (sterile rayon swab supplied with kit) in the appropriately labeled tube.  </w:t>
            </w:r>
          </w:p>
          <w:p w:rsidR="00F97AE2" w:rsidRDefault="00593D5B">
            <w:pPr>
              <w:spacing w:after="0" w:line="259" w:lineRule="auto"/>
              <w:ind w:left="0" w:firstLine="0"/>
            </w:pPr>
            <w:r>
              <w:t xml:space="preserve"> </w:t>
            </w:r>
          </w:p>
        </w:tc>
      </w:tr>
      <w:tr w:rsidR="00F97AE2">
        <w:trPr>
          <w:trHeight w:val="550"/>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       3. </w:t>
            </w:r>
          </w:p>
        </w:tc>
        <w:tc>
          <w:tcPr>
            <w:tcW w:w="695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Continue with Test Procedure Step 2.  </w:t>
            </w:r>
          </w:p>
          <w:p w:rsidR="00F97AE2" w:rsidRDefault="00593D5B">
            <w:pPr>
              <w:spacing w:after="0" w:line="259" w:lineRule="auto"/>
              <w:ind w:left="0" w:firstLine="0"/>
            </w:pPr>
            <w:r>
              <w:t xml:space="preserve"> </w:t>
            </w:r>
          </w:p>
        </w:tc>
      </w:tr>
    </w:tbl>
    <w:p w:rsidR="00F97AE2" w:rsidRDefault="00593D5B">
      <w:pPr>
        <w:spacing w:after="0" w:line="259" w:lineRule="auto"/>
        <w:ind w:left="0" w:firstLine="0"/>
      </w:pPr>
      <w:r>
        <w:t xml:space="preserve"> </w:t>
      </w:r>
    </w:p>
    <w:p w:rsidR="00F97AE2" w:rsidRDefault="00593D5B">
      <w:pPr>
        <w:numPr>
          <w:ilvl w:val="0"/>
          <w:numId w:val="2"/>
        </w:numPr>
        <w:ind w:hanging="720"/>
      </w:pPr>
      <w:r>
        <w:t xml:space="preserve">Internal QC (test system and procedural controls; evaluated and recorded by Hospital-based Labs on each performed test). </w:t>
      </w:r>
    </w:p>
    <w:p w:rsidR="00F97AE2" w:rsidRDefault="00593D5B">
      <w:pPr>
        <w:spacing w:after="0" w:line="259" w:lineRule="auto"/>
        <w:ind w:left="0" w:firstLine="0"/>
      </w:pPr>
      <w:r>
        <w:t xml:space="preserve"> </w:t>
      </w:r>
    </w:p>
    <w:tbl>
      <w:tblPr>
        <w:tblStyle w:val="TableGrid"/>
        <w:tblW w:w="8030" w:type="dxa"/>
        <w:tblInd w:w="612" w:type="dxa"/>
        <w:tblCellMar>
          <w:top w:w="46" w:type="dxa"/>
          <w:left w:w="108" w:type="dxa"/>
          <w:bottom w:w="0" w:type="dxa"/>
          <w:right w:w="115" w:type="dxa"/>
        </w:tblCellMar>
        <w:tblLook w:val="04A0" w:firstRow="1" w:lastRow="0" w:firstColumn="1" w:lastColumn="0" w:noHBand="0" w:noVBand="1"/>
      </w:tblPr>
      <w:tblGrid>
        <w:gridCol w:w="1981"/>
        <w:gridCol w:w="6049"/>
      </w:tblGrid>
      <w:tr w:rsidR="00F97AE2">
        <w:trPr>
          <w:trHeight w:val="547"/>
        </w:trPr>
        <w:tc>
          <w:tcPr>
            <w:tcW w:w="198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lastRenderedPageBreak/>
              <w:t xml:space="preserve">Positive Control </w:t>
            </w:r>
          </w:p>
        </w:tc>
        <w:tc>
          <w:tcPr>
            <w:tcW w:w="60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Appearance of a red control band in the result area.  </w:t>
            </w:r>
          </w:p>
          <w:p w:rsidR="00F97AE2" w:rsidRDefault="00593D5B">
            <w:pPr>
              <w:spacing w:after="0" w:line="259" w:lineRule="auto"/>
              <w:ind w:left="0" w:firstLine="0"/>
            </w:pPr>
            <w:r>
              <w:t xml:space="preserve"> </w:t>
            </w:r>
          </w:p>
        </w:tc>
      </w:tr>
      <w:tr w:rsidR="00F97AE2">
        <w:trPr>
          <w:trHeight w:val="547"/>
        </w:trPr>
        <w:tc>
          <w:tcPr>
            <w:tcW w:w="198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Negative </w:t>
            </w:r>
            <w:r>
              <w:t xml:space="preserve">Control </w:t>
            </w:r>
          </w:p>
        </w:tc>
        <w:tc>
          <w:tcPr>
            <w:tcW w:w="60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A clear to light grey background in the result area.  </w:t>
            </w:r>
          </w:p>
          <w:p w:rsidR="00F97AE2" w:rsidRDefault="00593D5B">
            <w:pPr>
              <w:spacing w:after="0" w:line="259" w:lineRule="auto"/>
              <w:ind w:left="0" w:firstLine="0"/>
            </w:pPr>
            <w:r>
              <w:t xml:space="preserve"> </w:t>
            </w:r>
          </w:p>
        </w:tc>
      </w:tr>
    </w:tbl>
    <w:p w:rsidR="00F97AE2" w:rsidRDefault="00593D5B">
      <w:pPr>
        <w:spacing w:after="0" w:line="259" w:lineRule="auto"/>
        <w:ind w:left="0" w:firstLine="0"/>
      </w:pPr>
      <w:r>
        <w:t xml:space="preserve"> </w:t>
      </w:r>
    </w:p>
    <w:p w:rsidR="00F97AE2" w:rsidRDefault="00593D5B">
      <w:pPr>
        <w:pStyle w:val="Heading1"/>
        <w:ind w:left="-5"/>
      </w:pPr>
      <w:r>
        <w:t xml:space="preserve">PROCEDURE </w:t>
      </w:r>
    </w:p>
    <w:p w:rsidR="00F97AE2" w:rsidRDefault="00593D5B">
      <w:pPr>
        <w:spacing w:after="0" w:line="259" w:lineRule="auto"/>
        <w:ind w:left="0" w:firstLine="0"/>
      </w:pPr>
      <w:r>
        <w:t xml:space="preserve"> </w:t>
      </w:r>
    </w:p>
    <w:p w:rsidR="00F97AE2" w:rsidRDefault="00593D5B">
      <w:pPr>
        <w:spacing w:after="0" w:line="259" w:lineRule="auto"/>
        <w:ind w:left="0" w:right="2956" w:firstLine="0"/>
        <w:jc w:val="right"/>
      </w:pPr>
      <w:r>
        <w:rPr>
          <w:b/>
        </w:rPr>
        <w:t xml:space="preserve">NOTE: </w:t>
      </w:r>
      <w:r>
        <w:t xml:space="preserve">Test performed by the Hospital-based Labs (Misys only) </w:t>
      </w:r>
    </w:p>
    <w:p w:rsidR="00F97AE2" w:rsidRDefault="00593D5B">
      <w:pPr>
        <w:spacing w:after="0" w:line="259" w:lineRule="auto"/>
        <w:ind w:left="0" w:firstLine="0"/>
      </w:pPr>
      <w:r>
        <w:rPr>
          <w:b/>
        </w:rPr>
        <w:t xml:space="preserve"> </w:t>
      </w:r>
    </w:p>
    <w:tbl>
      <w:tblPr>
        <w:tblStyle w:val="TableGrid"/>
        <w:tblW w:w="9201" w:type="dxa"/>
        <w:tblInd w:w="-108" w:type="dxa"/>
        <w:tblCellMar>
          <w:top w:w="46" w:type="dxa"/>
          <w:left w:w="108" w:type="dxa"/>
          <w:bottom w:w="0" w:type="dxa"/>
          <w:right w:w="94" w:type="dxa"/>
        </w:tblCellMar>
        <w:tblLook w:val="04A0" w:firstRow="1" w:lastRow="0" w:firstColumn="1" w:lastColumn="0" w:noHBand="0" w:noVBand="1"/>
      </w:tblPr>
      <w:tblGrid>
        <w:gridCol w:w="1080"/>
        <w:gridCol w:w="8121"/>
      </w:tblGrid>
      <w:tr w:rsidR="00F97AE2">
        <w:trPr>
          <w:trHeight w:val="278"/>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rPr>
                <w:b/>
              </w:rPr>
              <w:t xml:space="preserve">Step </w:t>
            </w:r>
          </w:p>
        </w:tc>
        <w:tc>
          <w:tcPr>
            <w:tcW w:w="812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rPr>
                <w:b/>
              </w:rPr>
              <w:t xml:space="preserve">Action </w:t>
            </w:r>
          </w:p>
        </w:tc>
      </w:tr>
      <w:tr w:rsidR="00F97AE2">
        <w:trPr>
          <w:trHeight w:val="1354"/>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1. </w:t>
            </w:r>
          </w:p>
        </w:tc>
        <w:tc>
          <w:tcPr>
            <w:tcW w:w="812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39" w:lineRule="auto"/>
              <w:ind w:left="0" w:firstLine="0"/>
            </w:pPr>
            <w:r>
              <w:t xml:space="preserve">Using the supplied dropper top, add 0.5 mL of Sample Buffer to each test tube (0.5 mL fill line is indicated on the barrel of the dropper top.) </w:t>
            </w:r>
          </w:p>
          <w:p w:rsidR="00F97AE2" w:rsidRDefault="00593D5B">
            <w:pPr>
              <w:spacing w:after="0" w:line="239" w:lineRule="auto"/>
              <w:ind w:left="0" w:firstLine="0"/>
            </w:pPr>
            <w:r>
              <w:rPr>
                <w:b/>
              </w:rPr>
              <w:t xml:space="preserve">Note: </w:t>
            </w:r>
            <w:r>
              <w:t>Add Sample Buffer to the tube before putting in the specimen swab to prevent contaminating the Sample Buf</w:t>
            </w:r>
            <w:r>
              <w:t xml:space="preserve">fer vial.  </w:t>
            </w:r>
          </w:p>
          <w:p w:rsidR="00F97AE2" w:rsidRDefault="00593D5B">
            <w:pPr>
              <w:spacing w:after="0" w:line="259" w:lineRule="auto"/>
              <w:ind w:left="0" w:firstLine="0"/>
            </w:pPr>
            <w:r>
              <w:t xml:space="preserve"> </w:t>
            </w:r>
          </w:p>
        </w:tc>
      </w:tr>
      <w:tr w:rsidR="00F97AE2">
        <w:trPr>
          <w:trHeight w:val="1352"/>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2. </w:t>
            </w:r>
          </w:p>
        </w:tc>
        <w:tc>
          <w:tcPr>
            <w:tcW w:w="812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39" w:lineRule="auto"/>
              <w:ind w:left="0" w:firstLine="0"/>
            </w:pPr>
            <w:r>
              <w:t>Put the specimen swab into the tube. Vigorously mix the solution by rotating the swab forcefully against the side of the tube at least ten times (while submerged). Best results are obtained when the specimen is vigorously mixed in the solution. Allow the s</w:t>
            </w:r>
            <w:r>
              <w:t xml:space="preserve">wab to soak in the Sample Buffer for one minute prior to mixing again.  </w:t>
            </w:r>
          </w:p>
          <w:p w:rsidR="00F97AE2" w:rsidRDefault="00593D5B">
            <w:pPr>
              <w:spacing w:after="0" w:line="259" w:lineRule="auto"/>
              <w:ind w:left="0" w:firstLine="0"/>
            </w:pPr>
            <w:r>
              <w:t xml:space="preserve"> </w:t>
            </w:r>
          </w:p>
        </w:tc>
      </w:tr>
      <w:tr w:rsidR="00F97AE2">
        <w:trPr>
          <w:trHeight w:val="1354"/>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3. </w:t>
            </w:r>
          </w:p>
        </w:tc>
        <w:tc>
          <w:tcPr>
            <w:tcW w:w="812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39" w:lineRule="auto"/>
              <w:ind w:left="0" w:right="159" w:firstLine="0"/>
            </w:pPr>
            <w:r>
              <w:t>Express as much liquid as possible from the swab by squeezing the side of  the flexible test tube as the swab is withdrawn. At least 0.3 mL of Sample Buffer solution must remai</w:t>
            </w:r>
            <w:r>
              <w:t xml:space="preserve">n in the tube for adequate capillary migration to occur. Discard the swab in a biohazardous waste container.  </w:t>
            </w:r>
          </w:p>
          <w:p w:rsidR="00F97AE2" w:rsidRDefault="00593D5B">
            <w:pPr>
              <w:spacing w:after="0" w:line="259" w:lineRule="auto"/>
              <w:ind w:left="0" w:firstLine="0"/>
            </w:pPr>
            <w:r>
              <w:t xml:space="preserve"> </w:t>
            </w:r>
          </w:p>
        </w:tc>
      </w:tr>
      <w:tr w:rsidR="00F97AE2">
        <w:trPr>
          <w:trHeight w:val="1354"/>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4. </w:t>
            </w:r>
          </w:p>
        </w:tc>
        <w:tc>
          <w:tcPr>
            <w:tcW w:w="812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39" w:lineRule="auto"/>
              <w:ind w:left="0" w:firstLine="0"/>
            </w:pPr>
            <w:r>
              <w:t>Remove the Trichomonas Rapid Test Stick from the canister package. Recap the canister immediately. Place the absorbent end (indicated with arrows) of the Test Stick into the Sample Buffer solution in the tube. Unused sticks removed from the canister should</w:t>
            </w:r>
            <w:r>
              <w:t xml:space="preserve"> be discarded after 1 hour.  </w:t>
            </w:r>
          </w:p>
          <w:p w:rsidR="00F97AE2" w:rsidRDefault="00593D5B">
            <w:pPr>
              <w:spacing w:after="0" w:line="259" w:lineRule="auto"/>
              <w:ind w:left="0" w:firstLine="0"/>
            </w:pPr>
            <w:r>
              <w:t xml:space="preserve"> </w:t>
            </w:r>
          </w:p>
        </w:tc>
      </w:tr>
      <w:tr w:rsidR="00F97AE2">
        <w:trPr>
          <w:trHeight w:val="1085"/>
        </w:trPr>
        <w:tc>
          <w:tcPr>
            <w:tcW w:w="108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5. </w:t>
            </w:r>
          </w:p>
        </w:tc>
        <w:tc>
          <w:tcPr>
            <w:tcW w:w="812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39" w:lineRule="auto"/>
              <w:ind w:left="0" w:firstLine="0"/>
            </w:pPr>
            <w:r>
              <w:t xml:space="preserve">Read results at 10 minutes (some positive results may be seen earlier). Test is invalid beyond the stated read time. Interpret results following the criteria in Interpretation Of Results (below).  </w:t>
            </w:r>
          </w:p>
          <w:p w:rsidR="00F97AE2" w:rsidRDefault="00593D5B">
            <w:pPr>
              <w:spacing w:after="0" w:line="259" w:lineRule="auto"/>
              <w:ind w:left="0" w:firstLine="0"/>
            </w:pPr>
            <w:r>
              <w:t xml:space="preserve"> </w:t>
            </w:r>
          </w:p>
        </w:tc>
      </w:tr>
    </w:tbl>
    <w:p w:rsidR="00F97AE2" w:rsidRDefault="00593D5B">
      <w:pPr>
        <w:spacing w:after="0" w:line="259" w:lineRule="auto"/>
        <w:ind w:left="0" w:firstLine="0"/>
      </w:pPr>
      <w:r>
        <w:t xml:space="preserve"> </w:t>
      </w:r>
    </w:p>
    <w:p w:rsidR="00F97AE2" w:rsidRDefault="00593D5B">
      <w:pPr>
        <w:pStyle w:val="Heading1"/>
        <w:ind w:left="-5"/>
      </w:pPr>
      <w:r>
        <w:t xml:space="preserve">INTERPRETATION OF RESULTS </w:t>
      </w:r>
    </w:p>
    <w:p w:rsidR="00F97AE2" w:rsidRDefault="00593D5B">
      <w:pPr>
        <w:spacing w:after="0" w:line="259" w:lineRule="auto"/>
        <w:ind w:left="0" w:firstLine="0"/>
      </w:pPr>
      <w:r>
        <w:t xml:space="preserve"> </w:t>
      </w:r>
    </w:p>
    <w:tbl>
      <w:tblPr>
        <w:tblStyle w:val="TableGrid"/>
        <w:tblW w:w="8030" w:type="dxa"/>
        <w:tblInd w:w="612" w:type="dxa"/>
        <w:tblCellMar>
          <w:top w:w="46" w:type="dxa"/>
          <w:left w:w="108" w:type="dxa"/>
          <w:bottom w:w="0" w:type="dxa"/>
          <w:right w:w="63" w:type="dxa"/>
        </w:tblCellMar>
        <w:tblLook w:val="04A0" w:firstRow="1" w:lastRow="0" w:firstColumn="1" w:lastColumn="0" w:noHBand="0" w:noVBand="1"/>
      </w:tblPr>
      <w:tblGrid>
        <w:gridCol w:w="6481"/>
        <w:gridCol w:w="1549"/>
      </w:tblGrid>
      <w:tr w:rsidR="00F97AE2">
        <w:trPr>
          <w:trHeight w:val="278"/>
        </w:trPr>
        <w:tc>
          <w:tcPr>
            <w:tcW w:w="648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Reaction: </w:t>
            </w:r>
          </w:p>
        </w:tc>
        <w:tc>
          <w:tcPr>
            <w:tcW w:w="15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Result: </w:t>
            </w:r>
          </w:p>
        </w:tc>
      </w:tr>
      <w:tr w:rsidR="00F97AE2">
        <w:trPr>
          <w:trHeight w:val="817"/>
        </w:trPr>
        <w:tc>
          <w:tcPr>
            <w:tcW w:w="6481" w:type="dxa"/>
            <w:tcBorders>
              <w:top w:val="single" w:sz="4" w:space="0" w:color="000000"/>
              <w:left w:val="single" w:sz="4" w:space="0" w:color="000000"/>
              <w:bottom w:val="single" w:sz="4" w:space="0" w:color="000000"/>
              <w:right w:val="single" w:sz="4" w:space="0" w:color="000000"/>
            </w:tcBorders>
          </w:tcPr>
          <w:p w:rsidR="00F97AE2" w:rsidRDefault="00593D5B">
            <w:pPr>
              <w:spacing w:after="1" w:line="239" w:lineRule="auto"/>
              <w:ind w:left="0" w:firstLine="0"/>
            </w:pPr>
            <w:r>
              <w:t xml:space="preserve">The appearance of a blue Test Line and a red Control Line in the result area.  (The lines can be any shade or intensity of that color.) </w:t>
            </w:r>
          </w:p>
          <w:p w:rsidR="00F97AE2" w:rsidRDefault="00593D5B">
            <w:pPr>
              <w:spacing w:after="0" w:line="259" w:lineRule="auto"/>
              <w:ind w:left="0" w:firstLine="0"/>
            </w:pPr>
            <w:r>
              <w:t xml:space="preserve"> </w:t>
            </w:r>
          </w:p>
        </w:tc>
        <w:tc>
          <w:tcPr>
            <w:tcW w:w="15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Positive </w:t>
            </w:r>
          </w:p>
        </w:tc>
      </w:tr>
      <w:tr w:rsidR="00F97AE2">
        <w:trPr>
          <w:trHeight w:val="816"/>
        </w:trPr>
        <w:tc>
          <w:tcPr>
            <w:tcW w:w="648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39" w:lineRule="auto"/>
              <w:ind w:left="0" w:right="1914" w:firstLine="0"/>
            </w:pPr>
            <w:r>
              <w:t xml:space="preserve">A red Control Line is visible in the result area.  </w:t>
            </w:r>
            <w:r>
              <w:t xml:space="preserve">No blue Test Line is visible in the result area.  </w:t>
            </w:r>
          </w:p>
          <w:p w:rsidR="00F97AE2" w:rsidRDefault="00593D5B">
            <w:pPr>
              <w:spacing w:after="0" w:line="259" w:lineRule="auto"/>
              <w:ind w:left="0" w:firstLine="0"/>
            </w:pPr>
            <w:r>
              <w:t xml:space="preserve"> </w:t>
            </w:r>
          </w:p>
        </w:tc>
        <w:tc>
          <w:tcPr>
            <w:tcW w:w="15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Negative </w:t>
            </w:r>
          </w:p>
        </w:tc>
      </w:tr>
      <w:tr w:rsidR="00F97AE2">
        <w:trPr>
          <w:trHeight w:val="547"/>
        </w:trPr>
        <w:tc>
          <w:tcPr>
            <w:tcW w:w="6481"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lastRenderedPageBreak/>
              <w:t xml:space="preserve">No red Control Line is visible in the result area.  </w:t>
            </w:r>
          </w:p>
        </w:tc>
        <w:tc>
          <w:tcPr>
            <w:tcW w:w="1549"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0" w:firstLine="0"/>
            </w:pPr>
            <w:r>
              <w:t xml:space="preserve">Invalid </w:t>
            </w:r>
          </w:p>
          <w:p w:rsidR="00F97AE2" w:rsidRDefault="00593D5B">
            <w:pPr>
              <w:spacing w:after="0" w:line="259" w:lineRule="auto"/>
              <w:ind w:left="0" w:firstLine="0"/>
            </w:pPr>
            <w:r>
              <w:t xml:space="preserve">(repeat test) </w:t>
            </w:r>
          </w:p>
        </w:tc>
      </w:tr>
    </w:tbl>
    <w:p w:rsidR="00F97AE2" w:rsidRDefault="00593D5B">
      <w:pPr>
        <w:spacing w:after="0" w:line="259" w:lineRule="auto"/>
        <w:ind w:left="0" w:firstLine="0"/>
      </w:pPr>
      <w:r>
        <w:t xml:space="preserve"> </w:t>
      </w:r>
    </w:p>
    <w:p w:rsidR="00F97AE2" w:rsidRDefault="00593D5B">
      <w:pPr>
        <w:spacing w:after="0" w:line="259" w:lineRule="auto"/>
        <w:ind w:left="0" w:firstLine="0"/>
      </w:pPr>
      <w:r>
        <w:t xml:space="preserve"> </w:t>
      </w:r>
    </w:p>
    <w:p w:rsidR="00F97AE2" w:rsidRDefault="00593D5B">
      <w:pPr>
        <w:spacing w:after="0" w:line="259" w:lineRule="auto"/>
        <w:ind w:left="0" w:firstLine="0"/>
      </w:pPr>
      <w:r>
        <w:t xml:space="preserve"> </w:t>
      </w:r>
    </w:p>
    <w:p w:rsidR="00F97AE2" w:rsidRDefault="00593D5B">
      <w:pPr>
        <w:pStyle w:val="Heading1"/>
        <w:ind w:left="-5"/>
      </w:pPr>
      <w:r>
        <w:t>REPORTING RESULTS</w:t>
      </w:r>
      <w:r>
        <w:rPr>
          <w:b w:val="0"/>
        </w:rPr>
        <w:t xml:space="preserve"> </w:t>
      </w:r>
    </w:p>
    <w:p w:rsidR="00F97AE2" w:rsidRDefault="00593D5B">
      <w:pPr>
        <w:tabs>
          <w:tab w:val="center" w:pos="1070"/>
        </w:tabs>
        <w:ind w:left="-15" w:firstLine="0"/>
      </w:pPr>
      <w:r>
        <w:t xml:space="preserve">POS: </w:t>
      </w:r>
      <w:r>
        <w:tab/>
        <w:t xml:space="preserve">Positive  </w:t>
      </w:r>
    </w:p>
    <w:p w:rsidR="00F97AE2" w:rsidRDefault="00593D5B">
      <w:pPr>
        <w:ind w:left="705" w:hanging="720"/>
      </w:pPr>
      <w:r>
        <w:t xml:space="preserve">NEG:  </w:t>
      </w:r>
      <w:r>
        <w:tab/>
        <w:t>Negative—</w:t>
      </w:r>
      <w:r>
        <w:t xml:space="preserve">A negative result does not exclude the possibility of infection.  Diagnosis on Misys should be made in conjunction with clinical symptoms. </w:t>
      </w:r>
    </w:p>
    <w:p w:rsidR="00F97AE2" w:rsidRDefault="00593D5B">
      <w:pPr>
        <w:spacing w:after="0" w:line="259" w:lineRule="auto"/>
        <w:ind w:left="0" w:firstLine="0"/>
      </w:pPr>
      <w:r>
        <w:t xml:space="preserve"> </w:t>
      </w:r>
    </w:p>
    <w:tbl>
      <w:tblPr>
        <w:tblStyle w:val="TableGrid"/>
        <w:tblW w:w="8030" w:type="dxa"/>
        <w:tblInd w:w="612" w:type="dxa"/>
        <w:tblCellMar>
          <w:top w:w="21" w:type="dxa"/>
          <w:left w:w="0" w:type="dxa"/>
          <w:bottom w:w="0" w:type="dxa"/>
          <w:right w:w="107" w:type="dxa"/>
        </w:tblCellMar>
        <w:tblLook w:val="04A0" w:firstRow="1" w:lastRow="0" w:firstColumn="1" w:lastColumn="0" w:noHBand="0" w:noVBand="1"/>
      </w:tblPr>
      <w:tblGrid>
        <w:gridCol w:w="2360"/>
        <w:gridCol w:w="809"/>
        <w:gridCol w:w="4861"/>
      </w:tblGrid>
      <w:tr w:rsidR="00F97AE2">
        <w:trPr>
          <w:trHeight w:val="278"/>
        </w:trPr>
        <w:tc>
          <w:tcPr>
            <w:tcW w:w="2360" w:type="dxa"/>
            <w:tcBorders>
              <w:top w:val="single" w:sz="4" w:space="0" w:color="000000"/>
              <w:left w:val="single" w:sz="4" w:space="0" w:color="000000"/>
              <w:bottom w:val="single" w:sz="4" w:space="0" w:color="000000"/>
              <w:right w:val="single" w:sz="4" w:space="0" w:color="000000"/>
            </w:tcBorders>
          </w:tcPr>
          <w:p w:rsidR="00F97AE2" w:rsidRDefault="00593D5B">
            <w:pPr>
              <w:spacing w:after="0" w:line="259" w:lineRule="auto"/>
              <w:ind w:left="108" w:firstLine="0"/>
            </w:pPr>
            <w:r>
              <w:rPr>
                <w:b/>
              </w:rPr>
              <w:t xml:space="preserve">IF </w:t>
            </w:r>
          </w:p>
        </w:tc>
        <w:tc>
          <w:tcPr>
            <w:tcW w:w="809" w:type="dxa"/>
            <w:tcBorders>
              <w:top w:val="single" w:sz="4" w:space="0" w:color="000000"/>
              <w:left w:val="single" w:sz="4" w:space="0" w:color="000000"/>
              <w:bottom w:val="single" w:sz="4" w:space="0" w:color="000000"/>
              <w:right w:val="nil"/>
            </w:tcBorders>
          </w:tcPr>
          <w:p w:rsidR="00F97AE2" w:rsidRDefault="00593D5B">
            <w:pPr>
              <w:spacing w:after="0" w:line="259" w:lineRule="auto"/>
              <w:ind w:left="106" w:firstLine="0"/>
            </w:pPr>
            <w:r>
              <w:rPr>
                <w:b/>
              </w:rPr>
              <w:t xml:space="preserve">THEN </w:t>
            </w:r>
          </w:p>
        </w:tc>
        <w:tc>
          <w:tcPr>
            <w:tcW w:w="4861" w:type="dxa"/>
            <w:tcBorders>
              <w:top w:val="single" w:sz="4" w:space="0" w:color="000000"/>
              <w:left w:val="nil"/>
              <w:bottom w:val="single" w:sz="4" w:space="0" w:color="000000"/>
              <w:right w:val="single" w:sz="4" w:space="0" w:color="000000"/>
            </w:tcBorders>
          </w:tcPr>
          <w:p w:rsidR="00F97AE2" w:rsidRDefault="00F97AE2">
            <w:pPr>
              <w:spacing w:after="160" w:line="259" w:lineRule="auto"/>
              <w:ind w:left="0" w:firstLine="0"/>
            </w:pPr>
          </w:p>
        </w:tc>
      </w:tr>
      <w:tr w:rsidR="00F97AE2">
        <w:trPr>
          <w:trHeight w:val="292"/>
        </w:trPr>
        <w:tc>
          <w:tcPr>
            <w:tcW w:w="2360" w:type="dxa"/>
            <w:tcBorders>
              <w:top w:val="single" w:sz="4" w:space="0" w:color="000000"/>
              <w:left w:val="single" w:sz="4" w:space="0" w:color="000000"/>
              <w:bottom w:val="nil"/>
              <w:right w:val="single" w:sz="4" w:space="0" w:color="000000"/>
            </w:tcBorders>
          </w:tcPr>
          <w:p w:rsidR="00F97AE2" w:rsidRDefault="00593D5B">
            <w:pPr>
              <w:spacing w:after="0" w:line="259" w:lineRule="auto"/>
              <w:ind w:left="108" w:firstLine="0"/>
            </w:pPr>
            <w:r>
              <w:t xml:space="preserve">Result is negative </w:t>
            </w:r>
          </w:p>
        </w:tc>
        <w:tc>
          <w:tcPr>
            <w:tcW w:w="809" w:type="dxa"/>
            <w:tcBorders>
              <w:top w:val="single" w:sz="4" w:space="0" w:color="000000"/>
              <w:left w:val="single" w:sz="4" w:space="0" w:color="000000"/>
              <w:bottom w:val="nil"/>
              <w:right w:val="nil"/>
            </w:tcBorders>
          </w:tcPr>
          <w:p w:rsidR="00F97AE2" w:rsidRDefault="00593D5B">
            <w:pPr>
              <w:spacing w:after="0" w:line="259" w:lineRule="auto"/>
              <w:ind w:left="106" w:firstLine="0"/>
            </w:pPr>
            <w:r>
              <w:t xml:space="preserve">a. </w:t>
            </w:r>
          </w:p>
        </w:tc>
        <w:tc>
          <w:tcPr>
            <w:tcW w:w="4861" w:type="dxa"/>
            <w:tcBorders>
              <w:top w:val="single" w:sz="4" w:space="0" w:color="000000"/>
              <w:left w:val="nil"/>
              <w:bottom w:val="nil"/>
              <w:right w:val="single" w:sz="4" w:space="0" w:color="000000"/>
            </w:tcBorders>
          </w:tcPr>
          <w:p w:rsidR="00F97AE2" w:rsidRDefault="00593D5B">
            <w:pPr>
              <w:spacing w:after="0" w:line="259" w:lineRule="auto"/>
              <w:ind w:left="0" w:firstLine="0"/>
            </w:pPr>
            <w:r>
              <w:t xml:space="preserve">Function MEM </w:t>
            </w:r>
          </w:p>
        </w:tc>
      </w:tr>
      <w:tr w:rsidR="00F97AE2">
        <w:trPr>
          <w:trHeight w:val="269"/>
        </w:trPr>
        <w:tc>
          <w:tcPr>
            <w:tcW w:w="2360" w:type="dxa"/>
            <w:tcBorders>
              <w:top w:val="nil"/>
              <w:left w:val="single" w:sz="4" w:space="0" w:color="000000"/>
              <w:bottom w:val="nil"/>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nil"/>
              <w:right w:val="nil"/>
            </w:tcBorders>
          </w:tcPr>
          <w:p w:rsidR="00F97AE2" w:rsidRDefault="00593D5B">
            <w:pPr>
              <w:spacing w:after="0" w:line="259" w:lineRule="auto"/>
              <w:ind w:left="106" w:firstLine="0"/>
            </w:pPr>
            <w:r>
              <w:t xml:space="preserve">b. </w:t>
            </w:r>
          </w:p>
        </w:tc>
        <w:tc>
          <w:tcPr>
            <w:tcW w:w="4861" w:type="dxa"/>
            <w:tcBorders>
              <w:top w:val="nil"/>
              <w:left w:val="nil"/>
              <w:bottom w:val="nil"/>
              <w:right w:val="single" w:sz="4" w:space="0" w:color="000000"/>
            </w:tcBorders>
          </w:tcPr>
          <w:p w:rsidR="00F97AE2" w:rsidRDefault="00593D5B">
            <w:pPr>
              <w:spacing w:after="0" w:line="259" w:lineRule="auto"/>
              <w:ind w:left="0" w:firstLine="0"/>
            </w:pPr>
            <w:r>
              <w:t xml:space="preserve">&lt;Enter&gt; to worksheet prompt.  </w:t>
            </w:r>
          </w:p>
        </w:tc>
      </w:tr>
      <w:tr w:rsidR="00F97AE2">
        <w:trPr>
          <w:trHeight w:val="269"/>
        </w:trPr>
        <w:tc>
          <w:tcPr>
            <w:tcW w:w="2360" w:type="dxa"/>
            <w:tcBorders>
              <w:top w:val="nil"/>
              <w:left w:val="single" w:sz="4" w:space="0" w:color="000000"/>
              <w:bottom w:val="nil"/>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nil"/>
              <w:right w:val="nil"/>
            </w:tcBorders>
          </w:tcPr>
          <w:p w:rsidR="00F97AE2" w:rsidRDefault="00593D5B">
            <w:pPr>
              <w:spacing w:after="0" w:line="259" w:lineRule="auto"/>
              <w:ind w:left="106" w:firstLine="0"/>
            </w:pPr>
            <w:r>
              <w:t xml:space="preserve">c. </w:t>
            </w:r>
          </w:p>
        </w:tc>
        <w:tc>
          <w:tcPr>
            <w:tcW w:w="4861" w:type="dxa"/>
            <w:tcBorders>
              <w:top w:val="nil"/>
              <w:left w:val="nil"/>
              <w:bottom w:val="nil"/>
              <w:right w:val="single" w:sz="4" w:space="0" w:color="000000"/>
            </w:tcBorders>
          </w:tcPr>
          <w:p w:rsidR="00F97AE2" w:rsidRDefault="00593D5B">
            <w:pPr>
              <w:spacing w:after="0" w:line="259" w:lineRule="auto"/>
              <w:ind w:left="0" w:firstLine="0"/>
            </w:pPr>
            <w:r>
              <w:t xml:space="preserve">At worksheet prompt, type site specific worksheet. </w:t>
            </w:r>
          </w:p>
        </w:tc>
      </w:tr>
      <w:tr w:rsidR="00F97AE2">
        <w:trPr>
          <w:trHeight w:val="538"/>
        </w:trPr>
        <w:tc>
          <w:tcPr>
            <w:tcW w:w="2360" w:type="dxa"/>
            <w:tcBorders>
              <w:top w:val="nil"/>
              <w:left w:val="single" w:sz="4" w:space="0" w:color="000000"/>
              <w:bottom w:val="nil"/>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nil"/>
              <w:right w:val="nil"/>
            </w:tcBorders>
          </w:tcPr>
          <w:p w:rsidR="00F97AE2" w:rsidRDefault="00593D5B">
            <w:pPr>
              <w:spacing w:after="0" w:line="259" w:lineRule="auto"/>
              <w:ind w:left="106" w:firstLine="0"/>
            </w:pPr>
            <w:r>
              <w:t xml:space="preserve">d. </w:t>
            </w:r>
          </w:p>
        </w:tc>
        <w:tc>
          <w:tcPr>
            <w:tcW w:w="4861" w:type="dxa"/>
            <w:tcBorders>
              <w:top w:val="nil"/>
              <w:left w:val="nil"/>
              <w:bottom w:val="nil"/>
              <w:right w:val="single" w:sz="4" w:space="0" w:color="000000"/>
            </w:tcBorders>
          </w:tcPr>
          <w:p w:rsidR="00F97AE2" w:rsidRDefault="00593D5B">
            <w:pPr>
              <w:spacing w:after="0" w:line="259" w:lineRule="auto"/>
              <w:ind w:left="0" w:firstLine="0"/>
            </w:pPr>
            <w:r>
              <w:t xml:space="preserve">&lt;Enter&gt; to accession prompt.  Type accession number, and &lt;enter&gt;. </w:t>
            </w:r>
          </w:p>
        </w:tc>
      </w:tr>
      <w:tr w:rsidR="00F97AE2">
        <w:trPr>
          <w:trHeight w:val="252"/>
        </w:trPr>
        <w:tc>
          <w:tcPr>
            <w:tcW w:w="2360" w:type="dxa"/>
            <w:tcBorders>
              <w:top w:val="nil"/>
              <w:left w:val="single" w:sz="4" w:space="0" w:color="000000"/>
              <w:bottom w:val="single" w:sz="4" w:space="0" w:color="000000"/>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single" w:sz="4" w:space="0" w:color="000000"/>
              <w:right w:val="nil"/>
            </w:tcBorders>
          </w:tcPr>
          <w:p w:rsidR="00F97AE2" w:rsidRDefault="00593D5B">
            <w:pPr>
              <w:spacing w:after="0" w:line="259" w:lineRule="auto"/>
              <w:ind w:left="106" w:firstLine="0"/>
            </w:pPr>
            <w:r>
              <w:t xml:space="preserve">e. </w:t>
            </w:r>
          </w:p>
        </w:tc>
        <w:tc>
          <w:tcPr>
            <w:tcW w:w="4861" w:type="dxa"/>
            <w:tcBorders>
              <w:top w:val="nil"/>
              <w:left w:val="nil"/>
              <w:bottom w:val="single" w:sz="4" w:space="0" w:color="000000"/>
              <w:right w:val="single" w:sz="4" w:space="0" w:color="000000"/>
            </w:tcBorders>
          </w:tcPr>
          <w:p w:rsidR="00F97AE2" w:rsidRDefault="00593D5B">
            <w:pPr>
              <w:spacing w:after="0" w:line="259" w:lineRule="auto"/>
              <w:ind w:left="0" w:firstLine="0"/>
            </w:pPr>
            <w:r>
              <w:t xml:space="preserve">Type NEG at the TRR prompt, &lt;enter&gt;, and accept. </w:t>
            </w:r>
          </w:p>
        </w:tc>
      </w:tr>
      <w:tr w:rsidR="00F97AE2">
        <w:trPr>
          <w:trHeight w:val="295"/>
        </w:trPr>
        <w:tc>
          <w:tcPr>
            <w:tcW w:w="2360" w:type="dxa"/>
            <w:tcBorders>
              <w:top w:val="single" w:sz="4" w:space="0" w:color="000000"/>
              <w:left w:val="single" w:sz="4" w:space="0" w:color="000000"/>
              <w:bottom w:val="nil"/>
              <w:right w:val="single" w:sz="4" w:space="0" w:color="000000"/>
            </w:tcBorders>
          </w:tcPr>
          <w:p w:rsidR="00F97AE2" w:rsidRDefault="00593D5B">
            <w:pPr>
              <w:spacing w:after="0" w:line="259" w:lineRule="auto"/>
              <w:ind w:left="108" w:firstLine="0"/>
            </w:pPr>
            <w:r>
              <w:t xml:space="preserve">Result is positive  </w:t>
            </w:r>
          </w:p>
        </w:tc>
        <w:tc>
          <w:tcPr>
            <w:tcW w:w="809" w:type="dxa"/>
            <w:tcBorders>
              <w:top w:val="single" w:sz="4" w:space="0" w:color="000000"/>
              <w:left w:val="single" w:sz="4" w:space="0" w:color="000000"/>
              <w:bottom w:val="nil"/>
              <w:right w:val="nil"/>
            </w:tcBorders>
          </w:tcPr>
          <w:p w:rsidR="00F97AE2" w:rsidRDefault="00593D5B">
            <w:pPr>
              <w:spacing w:after="0" w:line="259" w:lineRule="auto"/>
              <w:ind w:left="106" w:firstLine="0"/>
            </w:pPr>
            <w:r>
              <w:t xml:space="preserve">a. </w:t>
            </w:r>
          </w:p>
        </w:tc>
        <w:tc>
          <w:tcPr>
            <w:tcW w:w="4861" w:type="dxa"/>
            <w:tcBorders>
              <w:top w:val="single" w:sz="4" w:space="0" w:color="000000"/>
              <w:left w:val="nil"/>
              <w:bottom w:val="nil"/>
              <w:right w:val="single" w:sz="4" w:space="0" w:color="000000"/>
            </w:tcBorders>
          </w:tcPr>
          <w:p w:rsidR="00F97AE2" w:rsidRDefault="00593D5B">
            <w:pPr>
              <w:spacing w:after="0" w:line="259" w:lineRule="auto"/>
              <w:ind w:left="0" w:firstLine="0"/>
            </w:pPr>
            <w:r>
              <w:t xml:space="preserve">Function MEM </w:t>
            </w:r>
          </w:p>
        </w:tc>
      </w:tr>
      <w:tr w:rsidR="00F97AE2">
        <w:trPr>
          <w:trHeight w:val="268"/>
        </w:trPr>
        <w:tc>
          <w:tcPr>
            <w:tcW w:w="2360" w:type="dxa"/>
            <w:tcBorders>
              <w:top w:val="nil"/>
              <w:left w:val="single" w:sz="4" w:space="0" w:color="000000"/>
              <w:bottom w:val="nil"/>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nil"/>
              <w:right w:val="nil"/>
            </w:tcBorders>
          </w:tcPr>
          <w:p w:rsidR="00F97AE2" w:rsidRDefault="00593D5B">
            <w:pPr>
              <w:spacing w:after="0" w:line="259" w:lineRule="auto"/>
              <w:ind w:left="106" w:firstLine="0"/>
            </w:pPr>
            <w:r>
              <w:t xml:space="preserve">b. </w:t>
            </w:r>
          </w:p>
        </w:tc>
        <w:tc>
          <w:tcPr>
            <w:tcW w:w="4861" w:type="dxa"/>
            <w:tcBorders>
              <w:top w:val="nil"/>
              <w:left w:val="nil"/>
              <w:bottom w:val="nil"/>
              <w:right w:val="single" w:sz="4" w:space="0" w:color="000000"/>
            </w:tcBorders>
          </w:tcPr>
          <w:p w:rsidR="00F97AE2" w:rsidRDefault="00593D5B">
            <w:pPr>
              <w:spacing w:after="0" w:line="259" w:lineRule="auto"/>
              <w:ind w:left="0" w:firstLine="0"/>
            </w:pPr>
            <w:r>
              <w:t xml:space="preserve">&lt;Enter&gt; to worksheet prompt. </w:t>
            </w:r>
          </w:p>
        </w:tc>
      </w:tr>
      <w:tr w:rsidR="00F97AE2">
        <w:trPr>
          <w:trHeight w:val="268"/>
        </w:trPr>
        <w:tc>
          <w:tcPr>
            <w:tcW w:w="2360" w:type="dxa"/>
            <w:tcBorders>
              <w:top w:val="nil"/>
              <w:left w:val="single" w:sz="4" w:space="0" w:color="000000"/>
              <w:bottom w:val="nil"/>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nil"/>
              <w:right w:val="nil"/>
            </w:tcBorders>
          </w:tcPr>
          <w:p w:rsidR="00F97AE2" w:rsidRDefault="00593D5B">
            <w:pPr>
              <w:spacing w:after="0" w:line="259" w:lineRule="auto"/>
              <w:ind w:left="106" w:firstLine="0"/>
            </w:pPr>
            <w:r>
              <w:t xml:space="preserve">c. </w:t>
            </w:r>
          </w:p>
        </w:tc>
        <w:tc>
          <w:tcPr>
            <w:tcW w:w="4861" w:type="dxa"/>
            <w:tcBorders>
              <w:top w:val="nil"/>
              <w:left w:val="nil"/>
              <w:bottom w:val="nil"/>
              <w:right w:val="single" w:sz="4" w:space="0" w:color="000000"/>
            </w:tcBorders>
          </w:tcPr>
          <w:p w:rsidR="00F97AE2" w:rsidRDefault="00593D5B">
            <w:pPr>
              <w:spacing w:after="0" w:line="259" w:lineRule="auto"/>
              <w:ind w:left="0" w:firstLine="0"/>
            </w:pPr>
            <w:r>
              <w:t xml:space="preserve">At worksheet prompt, type site specific worksheet. </w:t>
            </w:r>
          </w:p>
        </w:tc>
      </w:tr>
      <w:tr w:rsidR="00F97AE2">
        <w:trPr>
          <w:trHeight w:val="538"/>
        </w:trPr>
        <w:tc>
          <w:tcPr>
            <w:tcW w:w="2360" w:type="dxa"/>
            <w:tcBorders>
              <w:top w:val="nil"/>
              <w:left w:val="single" w:sz="4" w:space="0" w:color="000000"/>
              <w:bottom w:val="nil"/>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nil"/>
              <w:right w:val="nil"/>
            </w:tcBorders>
          </w:tcPr>
          <w:p w:rsidR="00F97AE2" w:rsidRDefault="00593D5B">
            <w:pPr>
              <w:spacing w:after="0" w:line="259" w:lineRule="auto"/>
              <w:ind w:left="106" w:firstLine="0"/>
            </w:pPr>
            <w:r>
              <w:t xml:space="preserve">d. </w:t>
            </w:r>
          </w:p>
        </w:tc>
        <w:tc>
          <w:tcPr>
            <w:tcW w:w="4861" w:type="dxa"/>
            <w:tcBorders>
              <w:top w:val="nil"/>
              <w:left w:val="nil"/>
              <w:bottom w:val="nil"/>
              <w:right w:val="single" w:sz="4" w:space="0" w:color="000000"/>
            </w:tcBorders>
          </w:tcPr>
          <w:p w:rsidR="00F97AE2" w:rsidRDefault="00593D5B">
            <w:pPr>
              <w:spacing w:after="0" w:line="259" w:lineRule="auto"/>
              <w:ind w:left="0" w:firstLine="0"/>
            </w:pPr>
            <w:r>
              <w:t xml:space="preserve">&lt;Enter&gt; to accession prompt.  Type accession number, and &lt;enter&gt;. </w:t>
            </w:r>
          </w:p>
        </w:tc>
      </w:tr>
      <w:tr w:rsidR="00F97AE2">
        <w:trPr>
          <w:trHeight w:val="255"/>
        </w:trPr>
        <w:tc>
          <w:tcPr>
            <w:tcW w:w="2360" w:type="dxa"/>
            <w:tcBorders>
              <w:top w:val="nil"/>
              <w:left w:val="single" w:sz="4" w:space="0" w:color="000000"/>
              <w:bottom w:val="single" w:sz="4" w:space="0" w:color="000000"/>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single" w:sz="4" w:space="0" w:color="000000"/>
              <w:right w:val="nil"/>
            </w:tcBorders>
          </w:tcPr>
          <w:p w:rsidR="00F97AE2" w:rsidRDefault="00593D5B">
            <w:pPr>
              <w:spacing w:after="0" w:line="259" w:lineRule="auto"/>
              <w:ind w:left="106" w:firstLine="0"/>
            </w:pPr>
            <w:r>
              <w:t xml:space="preserve">e. </w:t>
            </w:r>
          </w:p>
        </w:tc>
        <w:tc>
          <w:tcPr>
            <w:tcW w:w="4861" w:type="dxa"/>
            <w:tcBorders>
              <w:top w:val="nil"/>
              <w:left w:val="nil"/>
              <w:bottom w:val="single" w:sz="4" w:space="0" w:color="000000"/>
              <w:right w:val="single" w:sz="4" w:space="0" w:color="000000"/>
            </w:tcBorders>
          </w:tcPr>
          <w:p w:rsidR="00F97AE2" w:rsidRDefault="00593D5B">
            <w:pPr>
              <w:spacing w:after="0" w:line="259" w:lineRule="auto"/>
              <w:ind w:left="0" w:firstLine="0"/>
            </w:pPr>
            <w:r>
              <w:t xml:space="preserve">Type POS at the TRR prompt, &lt;enter&gt;, and accept.  </w:t>
            </w:r>
          </w:p>
        </w:tc>
      </w:tr>
      <w:tr w:rsidR="00F97AE2">
        <w:trPr>
          <w:trHeight w:val="1368"/>
        </w:trPr>
        <w:tc>
          <w:tcPr>
            <w:tcW w:w="2360" w:type="dxa"/>
            <w:tcBorders>
              <w:top w:val="single" w:sz="4" w:space="0" w:color="000000"/>
              <w:left w:val="single" w:sz="4" w:space="0" w:color="000000"/>
              <w:bottom w:val="nil"/>
              <w:right w:val="single" w:sz="4" w:space="0" w:color="000000"/>
            </w:tcBorders>
          </w:tcPr>
          <w:p w:rsidR="00F97AE2" w:rsidRDefault="00593D5B">
            <w:pPr>
              <w:spacing w:after="0" w:line="259" w:lineRule="auto"/>
              <w:ind w:left="108" w:firstLine="0"/>
            </w:pPr>
            <w:r>
              <w:t xml:space="preserve">BVTRS (Bacterial </w:t>
            </w:r>
          </w:p>
          <w:p w:rsidR="00F97AE2" w:rsidRDefault="00593D5B">
            <w:pPr>
              <w:spacing w:after="0" w:line="259" w:lineRule="auto"/>
              <w:ind w:left="108" w:firstLine="0"/>
            </w:pPr>
            <w:r>
              <w:t xml:space="preserve">Vaginosis and </w:t>
            </w:r>
          </w:p>
          <w:p w:rsidR="00F97AE2" w:rsidRDefault="00593D5B">
            <w:pPr>
              <w:spacing w:after="0" w:line="259" w:lineRule="auto"/>
              <w:ind w:left="108" w:firstLine="0"/>
            </w:pPr>
            <w:r>
              <w:t xml:space="preserve">Trichomonas Screen) is requested </w:t>
            </w:r>
          </w:p>
        </w:tc>
        <w:tc>
          <w:tcPr>
            <w:tcW w:w="809" w:type="dxa"/>
            <w:tcBorders>
              <w:top w:val="single" w:sz="4" w:space="0" w:color="000000"/>
              <w:left w:val="single" w:sz="4" w:space="0" w:color="000000"/>
              <w:bottom w:val="nil"/>
              <w:right w:val="nil"/>
            </w:tcBorders>
          </w:tcPr>
          <w:p w:rsidR="00F97AE2" w:rsidRDefault="00593D5B">
            <w:pPr>
              <w:spacing w:after="0" w:line="259" w:lineRule="auto"/>
              <w:ind w:left="106" w:firstLine="0"/>
            </w:pPr>
            <w:r>
              <w:t xml:space="preserve">a. </w:t>
            </w:r>
          </w:p>
          <w:p w:rsidR="00F97AE2" w:rsidRDefault="00593D5B">
            <w:pPr>
              <w:spacing w:after="0" w:line="259" w:lineRule="auto"/>
              <w:ind w:left="106" w:firstLine="0"/>
            </w:pPr>
            <w:r>
              <w:t xml:space="preserve">b. </w:t>
            </w:r>
          </w:p>
          <w:p w:rsidR="00F97AE2" w:rsidRDefault="00593D5B">
            <w:pPr>
              <w:spacing w:after="0" w:line="259" w:lineRule="auto"/>
              <w:ind w:left="106" w:firstLine="0"/>
            </w:pPr>
            <w:r>
              <w:t xml:space="preserve">c. </w:t>
            </w:r>
          </w:p>
          <w:p w:rsidR="00F97AE2" w:rsidRDefault="00593D5B">
            <w:pPr>
              <w:spacing w:after="0" w:line="259" w:lineRule="auto"/>
              <w:ind w:left="106" w:firstLine="0"/>
            </w:pPr>
            <w:r>
              <w:t xml:space="preserve">d. </w:t>
            </w:r>
          </w:p>
        </w:tc>
        <w:tc>
          <w:tcPr>
            <w:tcW w:w="4861" w:type="dxa"/>
            <w:tcBorders>
              <w:top w:val="single" w:sz="4" w:space="0" w:color="000000"/>
              <w:left w:val="nil"/>
              <w:bottom w:val="nil"/>
              <w:right w:val="single" w:sz="4" w:space="0" w:color="000000"/>
            </w:tcBorders>
          </w:tcPr>
          <w:p w:rsidR="00F97AE2" w:rsidRDefault="00593D5B">
            <w:pPr>
              <w:spacing w:after="0" w:line="259" w:lineRule="auto"/>
              <w:ind w:left="0" w:firstLine="0"/>
            </w:pPr>
            <w:r>
              <w:t xml:space="preserve">Function MEM </w:t>
            </w:r>
          </w:p>
          <w:p w:rsidR="00F97AE2" w:rsidRDefault="00593D5B">
            <w:pPr>
              <w:spacing w:after="0" w:line="259" w:lineRule="auto"/>
              <w:ind w:left="0" w:firstLine="0"/>
            </w:pPr>
            <w:r>
              <w:t xml:space="preserve">&lt;Enter&gt; to worksheet prompt. </w:t>
            </w:r>
          </w:p>
          <w:p w:rsidR="00F97AE2" w:rsidRDefault="00593D5B">
            <w:pPr>
              <w:spacing w:after="0" w:line="259" w:lineRule="auto"/>
              <w:ind w:left="0" w:firstLine="0"/>
            </w:pPr>
            <w:r>
              <w:t xml:space="preserve">At worksheet prompt, type site specific worksheet. &lt;Enter&gt; to accession prompt.  Type accession number, and &lt;enter&gt;. </w:t>
            </w:r>
          </w:p>
        </w:tc>
      </w:tr>
      <w:tr w:rsidR="00F97AE2">
        <w:trPr>
          <w:trHeight w:val="524"/>
        </w:trPr>
        <w:tc>
          <w:tcPr>
            <w:tcW w:w="2360" w:type="dxa"/>
            <w:tcBorders>
              <w:top w:val="nil"/>
              <w:left w:val="single" w:sz="4" w:space="0" w:color="000000"/>
              <w:bottom w:val="single" w:sz="4" w:space="0" w:color="000000"/>
              <w:right w:val="single" w:sz="4" w:space="0" w:color="000000"/>
            </w:tcBorders>
          </w:tcPr>
          <w:p w:rsidR="00F97AE2" w:rsidRDefault="00F97AE2">
            <w:pPr>
              <w:spacing w:after="160" w:line="259" w:lineRule="auto"/>
              <w:ind w:left="0" w:firstLine="0"/>
            </w:pPr>
          </w:p>
        </w:tc>
        <w:tc>
          <w:tcPr>
            <w:tcW w:w="809" w:type="dxa"/>
            <w:tcBorders>
              <w:top w:val="nil"/>
              <w:left w:val="single" w:sz="4" w:space="0" w:color="000000"/>
              <w:bottom w:val="single" w:sz="4" w:space="0" w:color="000000"/>
              <w:right w:val="nil"/>
            </w:tcBorders>
          </w:tcPr>
          <w:p w:rsidR="00F97AE2" w:rsidRDefault="00593D5B">
            <w:pPr>
              <w:spacing w:after="0" w:line="259" w:lineRule="auto"/>
              <w:ind w:left="106" w:firstLine="0"/>
            </w:pPr>
            <w:r>
              <w:t xml:space="preserve">e. </w:t>
            </w:r>
          </w:p>
        </w:tc>
        <w:tc>
          <w:tcPr>
            <w:tcW w:w="4861" w:type="dxa"/>
            <w:tcBorders>
              <w:top w:val="nil"/>
              <w:left w:val="nil"/>
              <w:bottom w:val="single" w:sz="4" w:space="0" w:color="000000"/>
              <w:right w:val="single" w:sz="4" w:space="0" w:color="000000"/>
            </w:tcBorders>
          </w:tcPr>
          <w:p w:rsidR="00F97AE2" w:rsidRDefault="00593D5B">
            <w:pPr>
              <w:spacing w:after="0" w:line="259" w:lineRule="auto"/>
              <w:ind w:left="0" w:firstLine="0"/>
            </w:pPr>
            <w:r>
              <w:t>Type appropriate response, POS or NEG, at each test prompt, &lt;enter&gt;</w:t>
            </w:r>
            <w:r>
              <w:t xml:space="preserve">, and accept.  </w:t>
            </w:r>
          </w:p>
        </w:tc>
      </w:tr>
    </w:tbl>
    <w:p w:rsidR="00F97AE2" w:rsidRDefault="00593D5B">
      <w:pPr>
        <w:spacing w:after="0" w:line="259" w:lineRule="auto"/>
        <w:ind w:left="0" w:firstLine="0"/>
      </w:pPr>
      <w:r>
        <w:t xml:space="preserve"> </w:t>
      </w:r>
    </w:p>
    <w:p w:rsidR="00F97AE2" w:rsidRDefault="00593D5B">
      <w:pPr>
        <w:pStyle w:val="Heading1"/>
        <w:ind w:left="-5"/>
      </w:pPr>
      <w:r>
        <w:t xml:space="preserve">LIMITATIONS </w:t>
      </w:r>
    </w:p>
    <w:p w:rsidR="00F97AE2" w:rsidRDefault="00593D5B">
      <w:pPr>
        <w:numPr>
          <w:ilvl w:val="0"/>
          <w:numId w:val="3"/>
        </w:numPr>
        <w:ind w:hanging="720"/>
      </w:pPr>
      <w:r>
        <w:t xml:space="preserve">The OSOM® Trichomonas Rapid Test is only for the qualitative detection of </w:t>
      </w:r>
      <w:r>
        <w:rPr>
          <w:i/>
        </w:rPr>
        <w:t>T. vaginalis</w:t>
      </w:r>
      <w:r>
        <w:t xml:space="preserve"> antigen from vaginal swabs. </w:t>
      </w:r>
    </w:p>
    <w:p w:rsidR="00F97AE2" w:rsidRDefault="00593D5B">
      <w:pPr>
        <w:spacing w:after="0" w:line="259" w:lineRule="auto"/>
        <w:ind w:left="0" w:firstLine="0"/>
      </w:pPr>
      <w:r>
        <w:t xml:space="preserve"> </w:t>
      </w:r>
    </w:p>
    <w:p w:rsidR="00F97AE2" w:rsidRDefault="00593D5B">
      <w:pPr>
        <w:numPr>
          <w:ilvl w:val="0"/>
          <w:numId w:val="3"/>
        </w:numPr>
        <w:ind w:hanging="720"/>
      </w:pPr>
      <w:r>
        <w:lastRenderedPageBreak/>
        <w:t xml:space="preserve">The performance of the OSOM® Trichomonas Rapid Test with specimens other than vaginal fluid has not been established.  </w:t>
      </w:r>
    </w:p>
    <w:p w:rsidR="00F97AE2" w:rsidRDefault="00593D5B">
      <w:pPr>
        <w:spacing w:after="0" w:line="259" w:lineRule="auto"/>
        <w:ind w:left="0" w:firstLine="0"/>
      </w:pPr>
      <w:r>
        <w:t xml:space="preserve"> </w:t>
      </w:r>
    </w:p>
    <w:p w:rsidR="00F97AE2" w:rsidRDefault="00593D5B">
      <w:pPr>
        <w:numPr>
          <w:ilvl w:val="0"/>
          <w:numId w:val="3"/>
        </w:numPr>
        <w:ind w:hanging="720"/>
      </w:pPr>
      <w:r>
        <w:t xml:space="preserve">The results obtained with this kit yield data that must be used only as an adjunct to other information available to the physician. </w:t>
      </w:r>
    </w:p>
    <w:p w:rsidR="00F97AE2" w:rsidRDefault="00593D5B">
      <w:pPr>
        <w:spacing w:after="0" w:line="259" w:lineRule="auto"/>
        <w:ind w:left="0" w:firstLine="0"/>
      </w:pPr>
      <w:r>
        <w:t xml:space="preserve"> </w:t>
      </w:r>
    </w:p>
    <w:p w:rsidR="00F97AE2" w:rsidRDefault="00593D5B">
      <w:pPr>
        <w:numPr>
          <w:ilvl w:val="0"/>
          <w:numId w:val="3"/>
        </w:numPr>
        <w:ind w:hanging="720"/>
      </w:pPr>
      <w:r>
        <w:t xml:space="preserve">This test does not differentiate between viable and non-viable organisms. </w:t>
      </w:r>
    </w:p>
    <w:p w:rsidR="00F97AE2" w:rsidRDefault="00593D5B">
      <w:pPr>
        <w:spacing w:after="0" w:line="259" w:lineRule="auto"/>
        <w:ind w:left="0" w:firstLine="0"/>
      </w:pPr>
      <w:r>
        <w:t xml:space="preserve"> </w:t>
      </w:r>
    </w:p>
    <w:p w:rsidR="00F97AE2" w:rsidRDefault="00593D5B">
      <w:pPr>
        <w:numPr>
          <w:ilvl w:val="0"/>
          <w:numId w:val="3"/>
        </w:numPr>
        <w:ind w:hanging="720"/>
      </w:pPr>
      <w:r>
        <w:t xml:space="preserve">This test does not differentiate between individuals that are carriers and individuals that have an acute infection. </w:t>
      </w:r>
    </w:p>
    <w:p w:rsidR="00F97AE2" w:rsidRDefault="00593D5B">
      <w:pPr>
        <w:spacing w:after="0" w:line="259" w:lineRule="auto"/>
        <w:ind w:left="0" w:firstLine="0"/>
      </w:pPr>
      <w:r>
        <w:t xml:space="preserve"> </w:t>
      </w:r>
    </w:p>
    <w:p w:rsidR="00F97AE2" w:rsidRDefault="00593D5B">
      <w:pPr>
        <w:numPr>
          <w:ilvl w:val="0"/>
          <w:numId w:val="3"/>
        </w:numPr>
        <w:ind w:hanging="720"/>
      </w:pPr>
      <w:r>
        <w:t xml:space="preserve">Patients with vaginitis /vaginosis symptoms may have mixed infections. Therefore a test indicating the presence of </w:t>
      </w:r>
      <w:r>
        <w:rPr>
          <w:i/>
        </w:rPr>
        <w:t>T. vaginalis</w:t>
      </w:r>
      <w:r>
        <w:t xml:space="preserve"> does not rule out the presence of Candida vulvo-vaginitis or Bacterial vaginosis.  </w:t>
      </w:r>
    </w:p>
    <w:p w:rsidR="00F97AE2" w:rsidRDefault="00593D5B">
      <w:pPr>
        <w:spacing w:after="0" w:line="259" w:lineRule="auto"/>
        <w:ind w:left="0" w:firstLine="0"/>
      </w:pPr>
      <w:r>
        <w:t xml:space="preserve"> </w:t>
      </w:r>
    </w:p>
    <w:p w:rsidR="00F97AE2" w:rsidRDefault="00593D5B">
      <w:pPr>
        <w:numPr>
          <w:ilvl w:val="0"/>
          <w:numId w:val="3"/>
        </w:numPr>
        <w:ind w:hanging="720"/>
      </w:pPr>
      <w:r>
        <w:t>A negative result may be obtained if the s</w:t>
      </w:r>
      <w:r>
        <w:t xml:space="preserve">pecimen collection is inadequate or if antigen concentration is below the sensitivity of the test. A negative OSOM® Trichomonas Rapid Test result may warrant additional patient follow up. </w:t>
      </w:r>
    </w:p>
    <w:p w:rsidR="00F97AE2" w:rsidRDefault="00593D5B">
      <w:pPr>
        <w:spacing w:after="0" w:line="259" w:lineRule="auto"/>
        <w:ind w:left="0" w:firstLine="0"/>
      </w:pPr>
      <w:r>
        <w:t xml:space="preserve"> </w:t>
      </w:r>
    </w:p>
    <w:p w:rsidR="00F97AE2" w:rsidRDefault="00593D5B">
      <w:pPr>
        <w:numPr>
          <w:ilvl w:val="0"/>
          <w:numId w:val="3"/>
        </w:numPr>
        <w:ind w:hanging="720"/>
      </w:pPr>
      <w:r>
        <w:t>Women with vaginal discharge should be evaluated for risk factors</w:t>
      </w:r>
      <w:r>
        <w:t xml:space="preserve"> of cervicitis and pelvic inflammatory disease and for other organisms including </w:t>
      </w:r>
      <w:r>
        <w:rPr>
          <w:i/>
        </w:rPr>
        <w:t>Neisseria gonorrhoeae</w:t>
      </w:r>
      <w:r>
        <w:t xml:space="preserve"> and </w:t>
      </w:r>
      <w:r>
        <w:rPr>
          <w:i/>
        </w:rPr>
        <w:t xml:space="preserve">Chlamydia trachomatis. </w:t>
      </w:r>
    </w:p>
    <w:p w:rsidR="00F97AE2" w:rsidRDefault="00593D5B">
      <w:pPr>
        <w:spacing w:after="0" w:line="259" w:lineRule="auto"/>
        <w:ind w:left="0" w:firstLine="0"/>
      </w:pPr>
      <w:r>
        <w:t xml:space="preserve"> </w:t>
      </w:r>
    </w:p>
    <w:p w:rsidR="00F97AE2" w:rsidRDefault="00593D5B">
      <w:pPr>
        <w:numPr>
          <w:ilvl w:val="0"/>
          <w:numId w:val="3"/>
        </w:numPr>
        <w:ind w:hanging="720"/>
      </w:pPr>
      <w:r>
        <w:t>Samples contaminated with preparations containing iodine or by the immediate or prior use of vaginal lubricants are not rec</w:t>
      </w:r>
      <w:r>
        <w:t xml:space="preserve">ommended. </w:t>
      </w:r>
    </w:p>
    <w:p w:rsidR="00F97AE2" w:rsidRDefault="00593D5B">
      <w:pPr>
        <w:spacing w:after="4" w:line="259" w:lineRule="auto"/>
        <w:ind w:left="0" w:firstLine="0"/>
      </w:pPr>
      <w:r>
        <w:lastRenderedPageBreak/>
        <w:t xml:space="preserve"> </w:t>
      </w:r>
    </w:p>
    <w:p w:rsidR="00F97AE2" w:rsidRDefault="00593D5B">
      <w:pPr>
        <w:numPr>
          <w:ilvl w:val="0"/>
          <w:numId w:val="3"/>
        </w:numPr>
        <w:ind w:hanging="720"/>
      </w:pPr>
      <w:r>
        <w:rPr>
          <w:i/>
        </w:rPr>
        <w:t xml:space="preserve">Staphylococcus aureus </w:t>
      </w:r>
      <w:r>
        <w:t>in specimens at concentrations higher than 1 x 10</w:t>
      </w:r>
      <w:r>
        <w:rPr>
          <w:vertAlign w:val="superscript"/>
        </w:rPr>
        <w:t>8</w:t>
      </w:r>
      <w:r>
        <w:t xml:space="preserve"> organisms per ml. </w:t>
      </w:r>
    </w:p>
    <w:p w:rsidR="00F97AE2" w:rsidRDefault="00593D5B">
      <w:pPr>
        <w:ind w:left="730"/>
      </w:pPr>
      <w:r>
        <w:t xml:space="preserve">may interfere with the test results in negative samples. These concentrations of </w:t>
      </w:r>
      <w:r>
        <w:rPr>
          <w:i/>
        </w:rPr>
        <w:t>S. aureus</w:t>
      </w:r>
      <w:r>
        <w:t xml:space="preserve"> are higher than would be expected to be present in normal pa</w:t>
      </w:r>
      <w:r>
        <w:t xml:space="preserve">tient samples. </w:t>
      </w:r>
    </w:p>
    <w:p w:rsidR="00F97AE2" w:rsidRDefault="00593D5B">
      <w:pPr>
        <w:spacing w:after="0" w:line="259" w:lineRule="auto"/>
        <w:ind w:left="0" w:firstLine="0"/>
      </w:pPr>
      <w:r>
        <w:t xml:space="preserve"> </w:t>
      </w:r>
    </w:p>
    <w:p w:rsidR="00F97AE2" w:rsidRDefault="00593D5B">
      <w:pPr>
        <w:pStyle w:val="Heading1"/>
        <w:ind w:left="-5"/>
      </w:pPr>
      <w:r>
        <w:t xml:space="preserve">REFERENCES </w:t>
      </w:r>
    </w:p>
    <w:p w:rsidR="00F97AE2" w:rsidRDefault="00593D5B">
      <w:pPr>
        <w:tabs>
          <w:tab w:val="center" w:pos="3727"/>
        </w:tabs>
        <w:ind w:left="-15" w:firstLine="0"/>
      </w:pPr>
      <w:r>
        <w:t xml:space="preserve">A. </w:t>
      </w:r>
      <w:r>
        <w:tab/>
        <w:t xml:space="preserve">Package insert for the OSOM® Trichomonas Rapid Test, April, 2005. </w:t>
      </w:r>
    </w:p>
    <w:p w:rsidR="00F97AE2" w:rsidRDefault="00593D5B">
      <w:pPr>
        <w:spacing w:after="0" w:line="259" w:lineRule="auto"/>
        <w:ind w:left="0" w:firstLine="0"/>
      </w:pPr>
      <w:r>
        <w:t xml:space="preserve"> </w:t>
      </w:r>
    </w:p>
    <w:sectPr w:rsidR="00F97AE2">
      <w:headerReference w:type="even" r:id="rId7"/>
      <w:headerReference w:type="default" r:id="rId8"/>
      <w:footerReference w:type="even" r:id="rId9"/>
      <w:footerReference w:type="default" r:id="rId10"/>
      <w:headerReference w:type="first" r:id="rId11"/>
      <w:footerReference w:type="first" r:id="rId12"/>
      <w:pgSz w:w="12240" w:h="15840"/>
      <w:pgMar w:top="2259" w:right="1444" w:bottom="145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3D5B">
      <w:pPr>
        <w:spacing w:after="0" w:line="240" w:lineRule="auto"/>
      </w:pPr>
      <w:r>
        <w:separator/>
      </w:r>
    </w:p>
  </w:endnote>
  <w:endnote w:type="continuationSeparator" w:id="0">
    <w:p w:rsidR="00000000" w:rsidRDefault="0059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E2" w:rsidRDefault="00593D5B">
    <w:pPr>
      <w:tabs>
        <w:tab w:val="center" w:pos="4680"/>
        <w:tab w:val="right" w:pos="9356"/>
      </w:tabs>
      <w:spacing w:after="0" w:line="259" w:lineRule="auto"/>
      <w:ind w:left="0" w:right="-3" w:firstLine="0"/>
    </w:pPr>
    <w:r>
      <w:rPr>
        <w:color w:val="808080"/>
        <w:sz w:val="20"/>
      </w:rPr>
      <w:t xml:space="preserve">©MACL Confidential, for Internal Use Only  </w:t>
    </w:r>
    <w:r>
      <w:rPr>
        <w:color w:val="808080"/>
        <w:sz w:val="20"/>
      </w:rPr>
      <w:tab/>
      <w:t xml:space="preserve">Effective 10/30/2012 </w:t>
    </w:r>
    <w:r>
      <w:rPr>
        <w:color w:val="808080"/>
        <w:sz w:val="20"/>
      </w:rPr>
      <w:tab/>
      <w:t xml:space="preserve">Page </w:t>
    </w:r>
    <w:r>
      <w:fldChar w:fldCharType="begin"/>
    </w:r>
    <w:r>
      <w:instrText xml:space="preserve"> PAGE   \* MERGEFORMAT </w:instrText>
    </w:r>
    <w:r>
      <w:fldChar w:fldCharType="separate"/>
    </w:r>
    <w:r>
      <w:rPr>
        <w:b/>
        <w:color w:val="808080"/>
        <w:sz w:val="20"/>
      </w:rPr>
      <w:t>1</w:t>
    </w:r>
    <w:r>
      <w:rPr>
        <w:b/>
        <w:color w:val="808080"/>
        <w:sz w:val="20"/>
      </w:rPr>
      <w:fldChar w:fldCharType="end"/>
    </w:r>
    <w:r>
      <w:rPr>
        <w:color w:val="808080"/>
        <w:sz w:val="20"/>
      </w:rPr>
      <w:t xml:space="preserve"> of </w:t>
    </w:r>
    <w:r>
      <w:fldChar w:fldCharType="begin"/>
    </w:r>
    <w:r>
      <w:instrText xml:space="preserve"> NUMPAGES   \* MERGEFORMAT </w:instrText>
    </w:r>
    <w:r>
      <w:fldChar w:fldCharType="separate"/>
    </w:r>
    <w:r>
      <w:rPr>
        <w:b/>
        <w:color w:val="808080"/>
        <w:sz w:val="20"/>
      </w:rPr>
      <w:t>5</w:t>
    </w:r>
    <w:r>
      <w:rPr>
        <w:b/>
        <w:color w:val="808080"/>
        <w:sz w:val="20"/>
      </w:rPr>
      <w:fldChar w:fldCharType="end"/>
    </w:r>
    <w:r>
      <w:rPr>
        <w:b/>
        <w:color w:val="808080"/>
        <w:sz w:val="20"/>
      </w:rPr>
      <w:t xml:space="preserve"> </w:t>
    </w:r>
  </w:p>
  <w:p w:rsidR="00F97AE2" w:rsidRDefault="00593D5B">
    <w:pPr>
      <w:tabs>
        <w:tab w:val="center" w:pos="4680"/>
      </w:tabs>
      <w:spacing w:after="0" w:line="259" w:lineRule="auto"/>
      <w:ind w:left="0" w:firstLine="0"/>
    </w:pPr>
    <w:r>
      <w:rPr>
        <w:b/>
        <w:color w:val="808080"/>
        <w:sz w:val="20"/>
      </w:rPr>
      <w:t xml:space="preserve"> </w:t>
    </w:r>
    <w:r>
      <w:rPr>
        <w:b/>
        <w:color w:val="808080"/>
        <w:sz w:val="20"/>
      </w:rPr>
      <w:tab/>
    </w:r>
    <w:r>
      <w:rPr>
        <w:color w:val="808080"/>
        <w:sz w:val="20"/>
      </w:rPr>
      <w:t xml:space="preserve">Document Version: 4.0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E2" w:rsidRDefault="00593D5B">
    <w:pPr>
      <w:tabs>
        <w:tab w:val="center" w:pos="4680"/>
        <w:tab w:val="right" w:pos="9356"/>
      </w:tabs>
      <w:spacing w:after="0" w:line="259" w:lineRule="auto"/>
      <w:ind w:left="0" w:right="-3" w:firstLine="0"/>
    </w:pPr>
    <w:r>
      <w:rPr>
        <w:color w:val="808080"/>
        <w:sz w:val="20"/>
      </w:rPr>
      <w:t xml:space="preserve">©MACL Confidential, for Internal Use Only  </w:t>
    </w:r>
    <w:r>
      <w:rPr>
        <w:color w:val="808080"/>
        <w:sz w:val="20"/>
      </w:rPr>
      <w:tab/>
      <w:t xml:space="preserve">Effective 10/30/2012 </w:t>
    </w:r>
    <w:r>
      <w:rPr>
        <w:color w:val="808080"/>
        <w:sz w:val="20"/>
      </w:rPr>
      <w:tab/>
      <w:t>Page</w:t>
    </w:r>
    <w:r>
      <w:rPr>
        <w:color w:val="808080"/>
        <w:sz w:val="20"/>
      </w:rPr>
      <w:t xml:space="preserve"> </w:t>
    </w:r>
    <w:r>
      <w:fldChar w:fldCharType="begin"/>
    </w:r>
    <w:r>
      <w:instrText xml:space="preserve"> PAGE   \* MERGEFORMAT </w:instrText>
    </w:r>
    <w:r>
      <w:fldChar w:fldCharType="separate"/>
    </w:r>
    <w:r w:rsidRPr="00593D5B">
      <w:rPr>
        <w:b/>
        <w:noProof/>
        <w:color w:val="808080"/>
        <w:sz w:val="20"/>
      </w:rPr>
      <w:t>5</w:t>
    </w:r>
    <w:r>
      <w:rPr>
        <w:b/>
        <w:color w:val="808080"/>
        <w:sz w:val="20"/>
      </w:rPr>
      <w:fldChar w:fldCharType="end"/>
    </w:r>
    <w:r>
      <w:rPr>
        <w:color w:val="808080"/>
        <w:sz w:val="20"/>
      </w:rPr>
      <w:t xml:space="preserve"> of </w:t>
    </w:r>
    <w:r>
      <w:fldChar w:fldCharType="begin"/>
    </w:r>
    <w:r>
      <w:instrText xml:space="preserve"> NUMPAGES   \* MERGEFORMAT </w:instrText>
    </w:r>
    <w:r>
      <w:fldChar w:fldCharType="separate"/>
    </w:r>
    <w:r w:rsidRPr="00593D5B">
      <w:rPr>
        <w:b/>
        <w:noProof/>
        <w:color w:val="808080"/>
        <w:sz w:val="20"/>
      </w:rPr>
      <w:t>5</w:t>
    </w:r>
    <w:r>
      <w:rPr>
        <w:b/>
        <w:color w:val="808080"/>
        <w:sz w:val="20"/>
      </w:rPr>
      <w:fldChar w:fldCharType="end"/>
    </w:r>
    <w:r>
      <w:rPr>
        <w:b/>
        <w:color w:val="808080"/>
        <w:sz w:val="20"/>
      </w:rPr>
      <w:t xml:space="preserve"> </w:t>
    </w:r>
  </w:p>
  <w:p w:rsidR="00F97AE2" w:rsidRDefault="00593D5B">
    <w:pPr>
      <w:tabs>
        <w:tab w:val="center" w:pos="4680"/>
      </w:tabs>
      <w:spacing w:after="0" w:line="259" w:lineRule="auto"/>
      <w:ind w:left="0" w:firstLine="0"/>
    </w:pPr>
    <w:r>
      <w:rPr>
        <w:b/>
        <w:color w:val="808080"/>
        <w:sz w:val="20"/>
      </w:rPr>
      <w:t xml:space="preserve"> </w:t>
    </w:r>
    <w:r>
      <w:rPr>
        <w:b/>
        <w:color w:val="808080"/>
        <w:sz w:val="20"/>
      </w:rPr>
      <w:tab/>
    </w:r>
    <w:r>
      <w:rPr>
        <w:color w:val="808080"/>
        <w:sz w:val="20"/>
      </w:rPr>
      <w:t xml:space="preserve">Document Version: 4.0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E2" w:rsidRDefault="00593D5B">
    <w:pPr>
      <w:tabs>
        <w:tab w:val="center" w:pos="4680"/>
        <w:tab w:val="right" w:pos="9356"/>
      </w:tabs>
      <w:spacing w:after="0" w:line="259" w:lineRule="auto"/>
      <w:ind w:left="0" w:right="-3" w:firstLine="0"/>
    </w:pPr>
    <w:r>
      <w:rPr>
        <w:color w:val="808080"/>
        <w:sz w:val="20"/>
      </w:rPr>
      <w:t xml:space="preserve">©MACL Confidential, for Internal Use Only  </w:t>
    </w:r>
    <w:r>
      <w:rPr>
        <w:color w:val="808080"/>
        <w:sz w:val="20"/>
      </w:rPr>
      <w:tab/>
      <w:t xml:space="preserve">Effective 10/30/2012 </w:t>
    </w:r>
    <w:r>
      <w:rPr>
        <w:color w:val="808080"/>
        <w:sz w:val="20"/>
      </w:rPr>
      <w:tab/>
      <w:t xml:space="preserve">Page </w:t>
    </w:r>
    <w:r>
      <w:fldChar w:fldCharType="begin"/>
    </w:r>
    <w:r>
      <w:instrText xml:space="preserve"> PAGE   \* MERGEFORMAT </w:instrText>
    </w:r>
    <w:r>
      <w:fldChar w:fldCharType="separate"/>
    </w:r>
    <w:r>
      <w:rPr>
        <w:b/>
        <w:color w:val="808080"/>
        <w:sz w:val="20"/>
      </w:rPr>
      <w:t>1</w:t>
    </w:r>
    <w:r>
      <w:rPr>
        <w:b/>
        <w:color w:val="808080"/>
        <w:sz w:val="20"/>
      </w:rPr>
      <w:fldChar w:fldCharType="end"/>
    </w:r>
    <w:r>
      <w:rPr>
        <w:color w:val="808080"/>
        <w:sz w:val="20"/>
      </w:rPr>
      <w:t xml:space="preserve"> of </w:t>
    </w:r>
    <w:r>
      <w:fldChar w:fldCharType="begin"/>
    </w:r>
    <w:r>
      <w:instrText xml:space="preserve"> NUMPAGES   \* MERGEFORMAT </w:instrText>
    </w:r>
    <w:r>
      <w:fldChar w:fldCharType="separate"/>
    </w:r>
    <w:r>
      <w:rPr>
        <w:b/>
        <w:color w:val="808080"/>
        <w:sz w:val="20"/>
      </w:rPr>
      <w:t>5</w:t>
    </w:r>
    <w:r>
      <w:rPr>
        <w:b/>
        <w:color w:val="808080"/>
        <w:sz w:val="20"/>
      </w:rPr>
      <w:fldChar w:fldCharType="end"/>
    </w:r>
    <w:r>
      <w:rPr>
        <w:b/>
        <w:color w:val="808080"/>
        <w:sz w:val="20"/>
      </w:rPr>
      <w:t xml:space="preserve"> </w:t>
    </w:r>
  </w:p>
  <w:p w:rsidR="00F97AE2" w:rsidRDefault="00593D5B">
    <w:pPr>
      <w:tabs>
        <w:tab w:val="center" w:pos="4680"/>
      </w:tabs>
      <w:spacing w:after="0" w:line="259" w:lineRule="auto"/>
      <w:ind w:left="0" w:firstLine="0"/>
    </w:pPr>
    <w:r>
      <w:rPr>
        <w:b/>
        <w:color w:val="808080"/>
        <w:sz w:val="20"/>
      </w:rPr>
      <w:t xml:space="preserve"> </w:t>
    </w:r>
    <w:r>
      <w:rPr>
        <w:b/>
        <w:color w:val="808080"/>
        <w:sz w:val="20"/>
      </w:rPr>
      <w:tab/>
    </w:r>
    <w:r>
      <w:rPr>
        <w:color w:val="808080"/>
        <w:sz w:val="20"/>
      </w:rPr>
      <w:t xml:space="preserve">Document Version: 4.0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3D5B">
      <w:pPr>
        <w:spacing w:after="0" w:line="240" w:lineRule="auto"/>
      </w:pPr>
      <w:r>
        <w:separator/>
      </w:r>
    </w:p>
  </w:footnote>
  <w:footnote w:type="continuationSeparator" w:id="0">
    <w:p w:rsidR="00000000" w:rsidRDefault="00593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E2" w:rsidRDefault="00593D5B">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457200</wp:posOffset>
          </wp:positionV>
          <wp:extent cx="743712" cy="734568"/>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43712" cy="734568"/>
                  </a:xfrm>
                  <a:prstGeom prst="rect">
                    <a:avLst/>
                  </a:prstGeom>
                </pic:spPr>
              </pic:pic>
            </a:graphicData>
          </a:graphic>
        </wp:anchor>
      </w:drawing>
    </w:r>
    <w:r>
      <w:t xml:space="preserve">     TRICHOMONAS RAPID TEST </w:t>
    </w:r>
  </w:p>
  <w:p w:rsidR="00F97AE2" w:rsidRDefault="00593D5B">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E2" w:rsidRDefault="00593D5B">
    <w:pPr>
      <w:spacing w:after="0" w:line="259" w:lineRule="auto"/>
      <w:ind w:left="0" w:firstLine="0"/>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457200</wp:posOffset>
          </wp:positionV>
          <wp:extent cx="743712" cy="73456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43712" cy="734568"/>
                  </a:xfrm>
                  <a:prstGeom prst="rect">
                    <a:avLst/>
                  </a:prstGeom>
                </pic:spPr>
              </pic:pic>
            </a:graphicData>
          </a:graphic>
        </wp:anchor>
      </w:drawing>
    </w:r>
    <w:r>
      <w:t xml:space="preserve">     TRICHOMONAS RAPID TEST </w:t>
    </w:r>
  </w:p>
  <w:p w:rsidR="00F97AE2" w:rsidRDefault="00593D5B">
    <w:pPr>
      <w:spacing w:after="0" w:line="259" w:lineRule="auto"/>
      <w:ind w:lef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E2" w:rsidRDefault="00593D5B">
    <w:pPr>
      <w:spacing w:after="0" w:line="259" w:lineRule="auto"/>
      <w:ind w:left="0" w:firstLine="0"/>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457200</wp:posOffset>
          </wp:positionV>
          <wp:extent cx="743712" cy="73456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743712" cy="734568"/>
                  </a:xfrm>
                  <a:prstGeom prst="rect">
                    <a:avLst/>
                  </a:prstGeom>
                </pic:spPr>
              </pic:pic>
            </a:graphicData>
          </a:graphic>
        </wp:anchor>
      </w:drawing>
    </w:r>
    <w:r>
      <w:t xml:space="preserve">     </w:t>
    </w:r>
    <w:r>
      <w:t xml:space="preserve">TRICHOMONAS RAPID TEST </w:t>
    </w:r>
  </w:p>
  <w:p w:rsidR="00F97AE2" w:rsidRDefault="00593D5B">
    <w:pPr>
      <w:spacing w:after="0" w:line="259" w:lineRule="auto"/>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A4DDD"/>
    <w:multiLevelType w:val="hybridMultilevel"/>
    <w:tmpl w:val="9D10E4A0"/>
    <w:lvl w:ilvl="0" w:tplc="4CC0ED5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72FA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EEB6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964B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A2DD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968A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8C71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448D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1E90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3B7A23"/>
    <w:multiLevelType w:val="hybridMultilevel"/>
    <w:tmpl w:val="E5FC7526"/>
    <w:lvl w:ilvl="0" w:tplc="D36E9C38">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4C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6A34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F689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A01F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8A5D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F4CA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C4F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AAA0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EE0C2A"/>
    <w:multiLevelType w:val="hybridMultilevel"/>
    <w:tmpl w:val="A2EE04B2"/>
    <w:lvl w:ilvl="0" w:tplc="8384CF7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C67A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CA6A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ECBF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D015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98AE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5817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3067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8E4F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E2"/>
    <w:rsid w:val="00593D5B"/>
    <w:rsid w:val="00F9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A658"/>
  <w15:docId w15:val="{B5660D36-2FB1-4DDD-AAA8-B4BE184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TRICHOMONAS RAPID TEST</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TRICHOMONAS RAPID TEST</dc:title>
  <dc:subject/>
  <dc:creator>Workman, Autumn</dc:creator>
  <cp:keywords/>
  <cp:lastModifiedBy>Beeler, Karolyn I</cp:lastModifiedBy>
  <cp:revision>2</cp:revision>
  <dcterms:created xsi:type="dcterms:W3CDTF">2016-02-18T18:07:00Z</dcterms:created>
  <dcterms:modified xsi:type="dcterms:W3CDTF">2016-02-18T18:07:00Z</dcterms:modified>
</cp:coreProperties>
</file>