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4E0595" w14:textId="45377FFB" w:rsidR="0026140C" w:rsidRPr="00EE6E73" w:rsidRDefault="00B07C9D" w:rsidP="00EE6E73">
      <w:pPr>
        <w:spacing w:after="0"/>
        <w:ind w:left="2160" w:hanging="2160"/>
        <w:rPr>
          <w:rFonts w:asciiTheme="minorHAnsi" w:hAnsiTheme="minorHAnsi" w:cstheme="minorHAnsi"/>
          <w:b/>
        </w:rPr>
      </w:pPr>
      <w:sdt>
        <w:sdtPr>
          <w:rPr>
            <w:rFonts w:asciiTheme="minorHAnsi" w:hAnsiTheme="minorHAnsi" w:cstheme="minorHAnsi"/>
            <w:b/>
          </w:rPr>
          <w:alias w:val="Procedure Number"/>
          <w:tag w:val="Procedure_x0020_Number0"/>
          <w:id w:val="-1526163633"/>
          <w:placeholder>
            <w:docPart w:val="A2BAE3C039664281805D2486B523D737"/>
          </w:placeholder>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Procedure_x0020_Number[1]" w:storeItemID="{1B8DD281-542C-4D20-B238-0D3B1C8DA2A4}"/>
          <w:text/>
        </w:sdtPr>
        <w:sdtEndPr/>
        <w:sdtContent>
          <w:r w:rsidR="0017385B">
            <w:rPr>
              <w:rFonts w:asciiTheme="minorHAnsi" w:hAnsiTheme="minorHAnsi" w:cstheme="minorHAnsi"/>
              <w:b/>
            </w:rPr>
            <w:t>CHEM.CENTAUR.ASSAY.10.0</w:t>
          </w:r>
        </w:sdtContent>
      </w:sdt>
      <w:r w:rsidR="0026140C" w:rsidRPr="00EE6E73">
        <w:rPr>
          <w:rFonts w:asciiTheme="minorHAnsi" w:hAnsiTheme="minorHAnsi" w:cstheme="minorHAnsi"/>
          <w:b/>
        </w:rPr>
        <w:tab/>
      </w:r>
      <w:sdt>
        <w:sdtPr>
          <w:rPr>
            <w:rFonts w:asciiTheme="minorHAnsi" w:hAnsiTheme="minorHAnsi" w:cstheme="minorHAnsi"/>
            <w:b/>
          </w:rPr>
          <w:alias w:val="Title"/>
          <w:tag w:val=""/>
          <w:id w:val="736055917"/>
          <w:placeholder>
            <w:docPart w:val="82B3587B7ED2497BBE9163E6AAAF0741"/>
          </w:placeholder>
          <w:dataBinding w:prefixMappings="xmlns:ns0='http://purl.org/dc/elements/1.1/' xmlns:ns1='http://schemas.openxmlformats.org/package/2006/metadata/core-properties' " w:xpath="/ns1:coreProperties[1]/ns0:title[1]" w:storeItemID="{6C3C8BC8-F283-45AE-878A-BAB7291924A1}"/>
          <w:text/>
        </w:sdtPr>
        <w:sdtEndPr/>
        <w:sdtContent>
          <w:r w:rsidR="001F572E">
            <w:rPr>
              <w:rFonts w:asciiTheme="minorHAnsi" w:hAnsiTheme="minorHAnsi" w:cstheme="minorHAnsi"/>
              <w:b/>
            </w:rPr>
            <w:t xml:space="preserve">HEPATITIS B SURFACE ANTIGEN </w:t>
          </w:r>
          <w:r w:rsidR="0017385B">
            <w:rPr>
              <w:rFonts w:asciiTheme="minorHAnsi" w:hAnsiTheme="minorHAnsi" w:cstheme="minorHAnsi"/>
              <w:b/>
            </w:rPr>
            <w:t>BY</w:t>
          </w:r>
          <w:r w:rsidR="001F572E">
            <w:rPr>
              <w:rFonts w:asciiTheme="minorHAnsi" w:hAnsiTheme="minorHAnsi" w:cstheme="minorHAnsi"/>
              <w:b/>
            </w:rPr>
            <w:t xml:space="preserve"> </w:t>
          </w:r>
          <w:r w:rsidR="0017385B">
            <w:rPr>
              <w:rFonts w:asciiTheme="minorHAnsi" w:hAnsiTheme="minorHAnsi" w:cstheme="minorHAnsi"/>
              <w:b/>
            </w:rPr>
            <w:t>ADVIA</w:t>
          </w:r>
          <w:r w:rsidR="001F572E">
            <w:rPr>
              <w:rFonts w:asciiTheme="minorHAnsi" w:hAnsiTheme="minorHAnsi" w:cstheme="minorHAnsi"/>
              <w:b/>
            </w:rPr>
            <w:t xml:space="preserve"> CENTAUR (HB</w:t>
          </w:r>
          <w:r w:rsidR="0017385B">
            <w:rPr>
              <w:rFonts w:asciiTheme="minorHAnsi" w:hAnsiTheme="minorHAnsi" w:cstheme="minorHAnsi"/>
              <w:b/>
            </w:rPr>
            <w:t>S</w:t>
          </w:r>
          <w:r w:rsidR="00ED6F8B">
            <w:rPr>
              <w:rFonts w:asciiTheme="minorHAnsi" w:hAnsiTheme="minorHAnsi" w:cstheme="minorHAnsi"/>
              <w:b/>
            </w:rPr>
            <w:t>II</w:t>
          </w:r>
          <w:r w:rsidR="001F572E">
            <w:rPr>
              <w:rFonts w:asciiTheme="minorHAnsi" w:hAnsiTheme="minorHAnsi" w:cstheme="minorHAnsi"/>
              <w:b/>
            </w:rPr>
            <w:t>) (HBSAG</w:t>
          </w:r>
          <w:r w:rsidR="00ED6F8B">
            <w:rPr>
              <w:rFonts w:asciiTheme="minorHAnsi" w:hAnsiTheme="minorHAnsi" w:cstheme="minorHAnsi"/>
              <w:b/>
            </w:rPr>
            <w:t>II</w:t>
          </w:r>
          <w:r w:rsidR="001F572E">
            <w:rPr>
              <w:rFonts w:asciiTheme="minorHAnsi" w:hAnsiTheme="minorHAnsi" w:cstheme="minorHAnsi"/>
              <w:b/>
            </w:rPr>
            <w:t>)</w:t>
          </w:r>
        </w:sdtContent>
      </w:sdt>
    </w:p>
    <w:p w14:paraId="70390C27" w14:textId="77777777" w:rsidR="0026140C" w:rsidRPr="00EE6E73" w:rsidRDefault="0026140C" w:rsidP="00EE6E73">
      <w:pPr>
        <w:spacing w:after="0"/>
        <w:rPr>
          <w:rFonts w:asciiTheme="minorHAnsi" w:hAnsiTheme="minorHAnsi" w:cstheme="minorHAnsi"/>
        </w:rPr>
      </w:pPr>
    </w:p>
    <w:p w14:paraId="57942B14" w14:textId="37680912" w:rsidR="0026140C" w:rsidRPr="00EE6E73" w:rsidRDefault="00A34166" w:rsidP="00EE6E73">
      <w:pPr>
        <w:spacing w:after="0"/>
        <w:rPr>
          <w:rFonts w:asciiTheme="minorHAnsi" w:hAnsiTheme="minorHAnsi" w:cstheme="minorHAnsi"/>
          <w:b/>
        </w:rPr>
      </w:pPr>
      <w:r>
        <w:rPr>
          <w:rFonts w:asciiTheme="minorHAnsi" w:hAnsiTheme="minorHAnsi" w:cstheme="minorHAnsi"/>
          <w:b/>
        </w:rPr>
        <w:t>PRINCIPLE</w:t>
      </w:r>
    </w:p>
    <w:p w14:paraId="6A45824B" w14:textId="77777777" w:rsidR="0026140C" w:rsidRPr="00EE6E73" w:rsidRDefault="00EE6E73" w:rsidP="00EE6E73">
      <w:pPr>
        <w:spacing w:after="0"/>
        <w:rPr>
          <w:rFonts w:asciiTheme="minorHAnsi" w:hAnsiTheme="minorHAnsi" w:cstheme="minorHAnsi"/>
        </w:rPr>
      </w:pPr>
      <w:r w:rsidRPr="00EE6E73">
        <w:rPr>
          <w:rFonts w:asciiTheme="minorHAnsi" w:hAnsiTheme="minorHAnsi" w:cstheme="minorHAnsi"/>
        </w:rPr>
        <w:t xml:space="preserve">The ADVIA Centaur </w:t>
      </w:r>
      <w:proofErr w:type="spellStart"/>
      <w:r w:rsidRPr="00EE6E73">
        <w:rPr>
          <w:rFonts w:asciiTheme="minorHAnsi" w:hAnsiTheme="minorHAnsi" w:cstheme="minorHAnsi"/>
        </w:rPr>
        <w:t>HBsAG</w:t>
      </w:r>
      <w:proofErr w:type="spellEnd"/>
      <w:r w:rsidRPr="00EE6E73">
        <w:rPr>
          <w:rFonts w:asciiTheme="minorHAnsi" w:hAnsiTheme="minorHAnsi" w:cstheme="minorHAnsi"/>
        </w:rPr>
        <w:t xml:space="preserve"> assay is a sandwich immunoassay using direct, chemiluminometric technology.  Non-magnetic latex particles are added from the ancillary well.  The Lite Reagent, packaged in a </w:t>
      </w:r>
      <w:proofErr w:type="spellStart"/>
      <w:r w:rsidRPr="00EE6E73">
        <w:rPr>
          <w:rFonts w:asciiTheme="minorHAnsi" w:hAnsiTheme="minorHAnsi" w:cstheme="minorHAnsi"/>
        </w:rPr>
        <w:t>ReadyPack</w:t>
      </w:r>
      <w:proofErr w:type="spellEnd"/>
      <w:r w:rsidRPr="00EE6E73">
        <w:rPr>
          <w:rFonts w:asciiTheme="minorHAnsi" w:hAnsiTheme="minorHAnsi" w:cstheme="minorHAnsi"/>
        </w:rPr>
        <w:t xml:space="preserve"> ancillary reagent pack, contains a biotinylated anti-HBs mouse monoclonal capture antibody and an acridinium-ester labeled anti-HBs mouse monoclonal antibody.  </w:t>
      </w:r>
      <w:proofErr w:type="spellStart"/>
      <w:r w:rsidRPr="00EE6E73">
        <w:rPr>
          <w:rFonts w:asciiTheme="minorHAnsi" w:hAnsiTheme="minorHAnsi" w:cstheme="minorHAnsi"/>
        </w:rPr>
        <w:t>HBsAg</w:t>
      </w:r>
      <w:proofErr w:type="spellEnd"/>
      <w:r w:rsidRPr="00EE6E73">
        <w:rPr>
          <w:rFonts w:asciiTheme="minorHAnsi" w:hAnsiTheme="minorHAnsi" w:cstheme="minorHAnsi"/>
        </w:rPr>
        <w:t xml:space="preserve"> in the sample complexes with the antibodies and streptavidin-coated magnetic latex particles in the Solid Phase capture the </w:t>
      </w:r>
      <w:proofErr w:type="spellStart"/>
      <w:r w:rsidRPr="00EE6E73">
        <w:rPr>
          <w:rFonts w:asciiTheme="minorHAnsi" w:hAnsiTheme="minorHAnsi" w:cstheme="minorHAnsi"/>
        </w:rPr>
        <w:t>HBsAg</w:t>
      </w:r>
      <w:proofErr w:type="spellEnd"/>
      <w:r w:rsidRPr="00EE6E73">
        <w:rPr>
          <w:rFonts w:asciiTheme="minorHAnsi" w:hAnsiTheme="minorHAnsi" w:cstheme="minorHAnsi"/>
        </w:rPr>
        <w:t xml:space="preserve"> antibody complexes.</w:t>
      </w:r>
    </w:p>
    <w:p w14:paraId="07A463E5" w14:textId="77777777" w:rsidR="00EE6E73" w:rsidRDefault="00EE6E73" w:rsidP="00EE6E73">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rPr>
      </w:pPr>
    </w:p>
    <w:p w14:paraId="48990A34" w14:textId="77777777" w:rsidR="00EE6E73" w:rsidRPr="00EE6E73" w:rsidRDefault="00EE6E73" w:rsidP="00EE6E73">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rPr>
      </w:pPr>
      <w:r w:rsidRPr="00EE6E73">
        <w:rPr>
          <w:rFonts w:asciiTheme="minorHAnsi" w:hAnsiTheme="minorHAnsi" w:cstheme="minorHAnsi"/>
        </w:rPr>
        <w:t>The sample is incubated simultaneously with Solid Phase, Lite Reagent, and Ancillary Reagent.  Antibody-antigen complexes will form if hepatitis B surface antigen is present in the sample.</w:t>
      </w:r>
    </w:p>
    <w:p w14:paraId="322947B4" w14:textId="77777777" w:rsidR="00EE6E73" w:rsidRPr="00EE6E73" w:rsidRDefault="00EE6E73" w:rsidP="00EE6E73">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rPr>
      </w:pPr>
    </w:p>
    <w:p w14:paraId="74B0A3EC" w14:textId="77777777" w:rsidR="00EE6E73" w:rsidRPr="00EE6E73" w:rsidRDefault="00EE6E73" w:rsidP="00EE6E73">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rPr>
      </w:pPr>
      <w:r w:rsidRPr="00EE6E73">
        <w:rPr>
          <w:rFonts w:asciiTheme="minorHAnsi" w:hAnsiTheme="minorHAnsi" w:cstheme="minorHAnsi"/>
        </w:rPr>
        <w:t>The system automatically performs the following steps:</w:t>
      </w:r>
    </w:p>
    <w:p w14:paraId="4B3EC7E3" w14:textId="77777777" w:rsidR="00EE6E73" w:rsidRDefault="00EE6E73" w:rsidP="00EE6E73">
      <w:pPr>
        <w:numPr>
          <w:ilvl w:val="0"/>
          <w:numId w:val="3"/>
        </w:numPr>
        <w:tabs>
          <w:tab w:val="clear" w:pos="1260"/>
        </w:tabs>
        <w:spacing w:after="0" w:line="240" w:lineRule="auto"/>
        <w:ind w:left="720" w:hanging="720"/>
        <w:rPr>
          <w:rFonts w:asciiTheme="minorHAnsi" w:hAnsiTheme="minorHAnsi" w:cstheme="minorHAnsi"/>
        </w:rPr>
      </w:pPr>
      <w:r>
        <w:rPr>
          <w:rFonts w:asciiTheme="minorHAnsi" w:hAnsiTheme="minorHAnsi" w:cstheme="minorHAnsi"/>
        </w:rPr>
        <w:t>D</w:t>
      </w:r>
      <w:r w:rsidRPr="00EE6E73">
        <w:rPr>
          <w:rFonts w:asciiTheme="minorHAnsi" w:hAnsiTheme="minorHAnsi" w:cstheme="minorHAnsi"/>
        </w:rPr>
        <w:t>ispenses 100 µL of sample into a cuvette</w:t>
      </w:r>
    </w:p>
    <w:p w14:paraId="58CF29E9" w14:textId="529F63C7" w:rsidR="00EE6E73" w:rsidRPr="00EE6E73" w:rsidRDefault="00EE6E73" w:rsidP="00EE6E73">
      <w:pPr>
        <w:numPr>
          <w:ilvl w:val="0"/>
          <w:numId w:val="3"/>
        </w:numPr>
        <w:tabs>
          <w:tab w:val="clear" w:pos="1260"/>
        </w:tabs>
        <w:spacing w:after="0" w:line="240" w:lineRule="auto"/>
        <w:ind w:left="720" w:hanging="720"/>
        <w:rPr>
          <w:rFonts w:asciiTheme="minorHAnsi" w:hAnsiTheme="minorHAnsi" w:cstheme="minorHAnsi"/>
        </w:rPr>
      </w:pPr>
      <w:r>
        <w:rPr>
          <w:rFonts w:asciiTheme="minorHAnsi" w:hAnsiTheme="minorHAnsi" w:cstheme="minorHAnsi"/>
        </w:rPr>
        <w:t>D</w:t>
      </w:r>
      <w:r w:rsidRPr="00EE6E73">
        <w:rPr>
          <w:rFonts w:asciiTheme="minorHAnsi" w:hAnsiTheme="minorHAnsi" w:cstheme="minorHAnsi"/>
        </w:rPr>
        <w:t xml:space="preserve">ispenses </w:t>
      </w:r>
      <w:r w:rsidR="00ED6F8B">
        <w:rPr>
          <w:rFonts w:asciiTheme="minorHAnsi" w:hAnsiTheme="minorHAnsi" w:cstheme="minorHAnsi"/>
        </w:rPr>
        <w:t>60</w:t>
      </w:r>
      <w:r w:rsidRPr="00EE6E73">
        <w:rPr>
          <w:rFonts w:asciiTheme="minorHAnsi" w:hAnsiTheme="minorHAnsi" w:cstheme="minorHAnsi"/>
        </w:rPr>
        <w:t xml:space="preserve"> µL of </w:t>
      </w:r>
      <w:r w:rsidR="00ED6F8B">
        <w:rPr>
          <w:rFonts w:asciiTheme="minorHAnsi" w:hAnsiTheme="minorHAnsi" w:cstheme="minorHAnsi"/>
        </w:rPr>
        <w:t>Ancillary Pack Reagent</w:t>
      </w:r>
      <w:r w:rsidRPr="00EE6E73">
        <w:rPr>
          <w:rFonts w:asciiTheme="minorHAnsi" w:hAnsiTheme="minorHAnsi" w:cstheme="minorHAnsi"/>
        </w:rPr>
        <w:t xml:space="preserve"> and incubates for 5 minutes at 37</w:t>
      </w:r>
      <w:r w:rsidR="00A34166">
        <w:rPr>
          <w:rFonts w:asciiTheme="minorHAnsi" w:hAnsiTheme="minorHAnsi" w:cs="Aharoni" w:hint="cs"/>
        </w:rPr>
        <w:t>°</w:t>
      </w:r>
      <w:r w:rsidRPr="00EE6E73">
        <w:rPr>
          <w:rFonts w:asciiTheme="minorHAnsi" w:hAnsiTheme="minorHAnsi" w:cstheme="minorHAnsi"/>
        </w:rPr>
        <w:t>C.</w:t>
      </w:r>
    </w:p>
    <w:p w14:paraId="547277BF" w14:textId="7DA58846" w:rsidR="00EE6E73" w:rsidRPr="00EE6E73" w:rsidRDefault="00EE6E73" w:rsidP="00EE6E73">
      <w:pPr>
        <w:numPr>
          <w:ilvl w:val="0"/>
          <w:numId w:val="3"/>
        </w:numPr>
        <w:tabs>
          <w:tab w:val="clear" w:pos="1260"/>
        </w:tabs>
        <w:spacing w:after="0" w:line="240" w:lineRule="auto"/>
        <w:ind w:left="720" w:hanging="720"/>
        <w:rPr>
          <w:rFonts w:asciiTheme="minorHAnsi" w:hAnsiTheme="minorHAnsi" w:cstheme="minorHAnsi"/>
        </w:rPr>
      </w:pPr>
      <w:r>
        <w:rPr>
          <w:rFonts w:asciiTheme="minorHAnsi" w:hAnsiTheme="minorHAnsi" w:cstheme="minorHAnsi"/>
        </w:rPr>
        <w:t>D</w:t>
      </w:r>
      <w:r w:rsidRPr="00EE6E73">
        <w:rPr>
          <w:rFonts w:asciiTheme="minorHAnsi" w:hAnsiTheme="minorHAnsi" w:cstheme="minorHAnsi"/>
        </w:rPr>
        <w:t xml:space="preserve">ispenses 105 µL of Solid Phase reagent and </w:t>
      </w:r>
      <w:r w:rsidR="00ED6F8B">
        <w:rPr>
          <w:rFonts w:asciiTheme="minorHAnsi" w:hAnsiTheme="minorHAnsi" w:cstheme="minorHAnsi"/>
        </w:rPr>
        <w:t>40</w:t>
      </w:r>
      <w:r w:rsidRPr="00EE6E73">
        <w:rPr>
          <w:rFonts w:asciiTheme="minorHAnsi" w:hAnsiTheme="minorHAnsi" w:cstheme="minorHAnsi"/>
        </w:rPr>
        <w:t xml:space="preserve"> µL of </w:t>
      </w:r>
      <w:r w:rsidR="00ED6F8B">
        <w:rPr>
          <w:rFonts w:asciiTheme="minorHAnsi" w:hAnsiTheme="minorHAnsi" w:cstheme="minorHAnsi"/>
        </w:rPr>
        <w:t>Lite</w:t>
      </w:r>
      <w:r w:rsidRPr="00EE6E73">
        <w:rPr>
          <w:rFonts w:asciiTheme="minorHAnsi" w:hAnsiTheme="minorHAnsi" w:cstheme="minorHAnsi"/>
        </w:rPr>
        <w:t xml:space="preserve"> </w:t>
      </w:r>
      <w:r w:rsidR="00A34166" w:rsidRPr="00EE6E73">
        <w:rPr>
          <w:rFonts w:asciiTheme="minorHAnsi" w:hAnsiTheme="minorHAnsi" w:cstheme="minorHAnsi"/>
        </w:rPr>
        <w:t>Reagent and</w:t>
      </w:r>
      <w:r w:rsidRPr="00EE6E73">
        <w:rPr>
          <w:rFonts w:asciiTheme="minorHAnsi" w:hAnsiTheme="minorHAnsi" w:cstheme="minorHAnsi"/>
        </w:rPr>
        <w:t xml:space="preserve"> incubates the mixture for 18 minutes at 37</w:t>
      </w:r>
      <w:r w:rsidR="00A34166">
        <w:rPr>
          <w:rFonts w:asciiTheme="minorHAnsi" w:hAnsiTheme="minorHAnsi" w:cs="Aharoni" w:hint="cs"/>
        </w:rPr>
        <w:t>°</w:t>
      </w:r>
      <w:r w:rsidRPr="00EE6E73">
        <w:rPr>
          <w:rFonts w:asciiTheme="minorHAnsi" w:hAnsiTheme="minorHAnsi" w:cstheme="minorHAnsi"/>
        </w:rPr>
        <w:t>C.</w:t>
      </w:r>
    </w:p>
    <w:p w14:paraId="39B7482A" w14:textId="77777777" w:rsidR="00EE6E73" w:rsidRPr="00EE6E73" w:rsidRDefault="00EE6E73" w:rsidP="00EE6E73">
      <w:pPr>
        <w:numPr>
          <w:ilvl w:val="0"/>
          <w:numId w:val="3"/>
        </w:numPr>
        <w:tabs>
          <w:tab w:val="clear" w:pos="1260"/>
        </w:tabs>
        <w:spacing w:after="0" w:line="240" w:lineRule="auto"/>
        <w:ind w:left="720" w:hanging="720"/>
        <w:rPr>
          <w:rFonts w:asciiTheme="minorHAnsi" w:hAnsiTheme="minorHAnsi" w:cstheme="minorHAnsi"/>
        </w:rPr>
      </w:pPr>
      <w:r>
        <w:rPr>
          <w:rFonts w:asciiTheme="minorHAnsi" w:hAnsiTheme="minorHAnsi" w:cstheme="minorHAnsi"/>
        </w:rPr>
        <w:t>S</w:t>
      </w:r>
      <w:r w:rsidRPr="00EE6E73">
        <w:rPr>
          <w:rFonts w:asciiTheme="minorHAnsi" w:hAnsiTheme="minorHAnsi" w:cstheme="minorHAnsi"/>
        </w:rPr>
        <w:t>eparates the Solid Phase from the mixture and aspirates the unbound reagent</w:t>
      </w:r>
    </w:p>
    <w:p w14:paraId="228C9E81" w14:textId="77777777" w:rsidR="00EE6E73" w:rsidRPr="00EE6E73" w:rsidRDefault="00EE6E73" w:rsidP="00EE6E73">
      <w:pPr>
        <w:numPr>
          <w:ilvl w:val="0"/>
          <w:numId w:val="3"/>
        </w:numPr>
        <w:tabs>
          <w:tab w:val="clear" w:pos="1260"/>
        </w:tabs>
        <w:spacing w:after="0" w:line="240" w:lineRule="auto"/>
        <w:ind w:left="720" w:hanging="720"/>
        <w:rPr>
          <w:rFonts w:asciiTheme="minorHAnsi" w:hAnsiTheme="minorHAnsi" w:cstheme="minorHAnsi"/>
        </w:rPr>
      </w:pPr>
      <w:r>
        <w:rPr>
          <w:rFonts w:asciiTheme="minorHAnsi" w:hAnsiTheme="minorHAnsi" w:cstheme="minorHAnsi"/>
        </w:rPr>
        <w:t>W</w:t>
      </w:r>
      <w:r w:rsidRPr="00EE6E73">
        <w:rPr>
          <w:rFonts w:asciiTheme="minorHAnsi" w:hAnsiTheme="minorHAnsi" w:cstheme="minorHAnsi"/>
        </w:rPr>
        <w:t>ashes the cuvette with Wash 1</w:t>
      </w:r>
    </w:p>
    <w:p w14:paraId="0DAC86BC" w14:textId="77777777" w:rsidR="00EE6E73" w:rsidRPr="00EE6E73" w:rsidRDefault="00EE6E73" w:rsidP="00EE6E73">
      <w:pPr>
        <w:numPr>
          <w:ilvl w:val="0"/>
          <w:numId w:val="3"/>
        </w:numPr>
        <w:tabs>
          <w:tab w:val="clear" w:pos="1260"/>
        </w:tabs>
        <w:spacing w:after="0" w:line="240" w:lineRule="auto"/>
        <w:ind w:left="720" w:hanging="720"/>
        <w:rPr>
          <w:rFonts w:asciiTheme="minorHAnsi" w:hAnsiTheme="minorHAnsi" w:cstheme="minorHAnsi"/>
        </w:rPr>
      </w:pPr>
      <w:r>
        <w:rPr>
          <w:rFonts w:asciiTheme="minorHAnsi" w:hAnsiTheme="minorHAnsi" w:cstheme="minorHAnsi"/>
        </w:rPr>
        <w:t>D</w:t>
      </w:r>
      <w:r w:rsidRPr="00EE6E73">
        <w:rPr>
          <w:rFonts w:asciiTheme="minorHAnsi" w:hAnsiTheme="minorHAnsi" w:cstheme="minorHAnsi"/>
        </w:rPr>
        <w:t>ispenses 300 µL each of Acid Reagent, and Base Reagent to initiate the chemiluminescent reaction</w:t>
      </w:r>
    </w:p>
    <w:p w14:paraId="1D786E03" w14:textId="77777777" w:rsidR="00EE6E73" w:rsidRPr="00EE6E73" w:rsidRDefault="00EE6E73" w:rsidP="00EE6E73">
      <w:pPr>
        <w:numPr>
          <w:ilvl w:val="0"/>
          <w:numId w:val="3"/>
        </w:numPr>
        <w:tabs>
          <w:tab w:val="clear" w:pos="1260"/>
        </w:tabs>
        <w:spacing w:after="0" w:line="240" w:lineRule="auto"/>
        <w:ind w:left="720" w:hanging="720"/>
        <w:rPr>
          <w:rFonts w:asciiTheme="minorHAnsi" w:hAnsiTheme="minorHAnsi" w:cstheme="minorHAnsi"/>
        </w:rPr>
      </w:pPr>
      <w:r>
        <w:rPr>
          <w:rFonts w:asciiTheme="minorHAnsi" w:hAnsiTheme="minorHAnsi" w:cstheme="minorHAnsi"/>
        </w:rPr>
        <w:t>R</w:t>
      </w:r>
      <w:r w:rsidRPr="00EE6E73">
        <w:rPr>
          <w:rFonts w:asciiTheme="minorHAnsi" w:hAnsiTheme="minorHAnsi" w:cstheme="minorHAnsi"/>
        </w:rPr>
        <w:t>eports results according to the selected option, as described in the system operating instructions or in the online help system</w:t>
      </w:r>
    </w:p>
    <w:p w14:paraId="30212D20" w14:textId="77777777" w:rsidR="00EE6E73" w:rsidRPr="00EE6E73" w:rsidRDefault="00EE6E73" w:rsidP="00EE6E73">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rPr>
      </w:pPr>
    </w:p>
    <w:p w14:paraId="03CCFBC5" w14:textId="77777777" w:rsidR="00EE6E73" w:rsidRPr="00EE6E73" w:rsidRDefault="00EE6E73" w:rsidP="00EE6E73">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rPr>
      </w:pPr>
      <w:r w:rsidRPr="00EE6E73">
        <w:rPr>
          <w:rFonts w:asciiTheme="minorHAnsi" w:hAnsiTheme="minorHAnsi" w:cstheme="minorHAnsi"/>
        </w:rPr>
        <w:t>The relative light units (RLUs) detected by the ADVIA Centaur System are used to calculate</w:t>
      </w:r>
      <w:r>
        <w:rPr>
          <w:rFonts w:asciiTheme="minorHAnsi" w:hAnsiTheme="minorHAnsi" w:cstheme="minorHAnsi"/>
        </w:rPr>
        <w:t xml:space="preserve"> </w:t>
      </w:r>
      <w:r w:rsidRPr="00EE6E73">
        <w:rPr>
          <w:rFonts w:asciiTheme="minorHAnsi" w:hAnsiTheme="minorHAnsi" w:cstheme="minorHAnsi"/>
        </w:rPr>
        <w:t xml:space="preserve">the Index Value from the Master Curve.  A result of reactive or non-reactive is determined according to a cutoff of 1.0 Index Value established with the calibrators. </w:t>
      </w:r>
    </w:p>
    <w:p w14:paraId="69E3718E" w14:textId="77777777" w:rsidR="00EE6E73" w:rsidRPr="00EE6E73" w:rsidRDefault="00EE6E73" w:rsidP="00EE6E73">
      <w:pPr>
        <w:spacing w:after="0"/>
        <w:rPr>
          <w:rFonts w:asciiTheme="minorHAnsi" w:hAnsiTheme="minorHAnsi" w:cstheme="minorHAnsi"/>
        </w:rPr>
      </w:pPr>
    </w:p>
    <w:p w14:paraId="55884F3E" w14:textId="796B2628" w:rsidR="0026140C" w:rsidRPr="00EE6E73" w:rsidRDefault="0023064A" w:rsidP="00EE6E73">
      <w:pPr>
        <w:spacing w:after="0"/>
        <w:rPr>
          <w:rFonts w:asciiTheme="minorHAnsi" w:hAnsiTheme="minorHAnsi" w:cstheme="minorHAnsi"/>
          <w:b/>
        </w:rPr>
      </w:pPr>
      <w:r>
        <w:rPr>
          <w:rFonts w:asciiTheme="minorHAnsi" w:hAnsiTheme="minorHAnsi" w:cstheme="minorHAnsi"/>
          <w:b/>
        </w:rPr>
        <w:t>DOCUMENT OWNER</w:t>
      </w:r>
    </w:p>
    <w:p w14:paraId="6954E49F" w14:textId="2D3459F4" w:rsidR="0026140C" w:rsidRDefault="00A34166" w:rsidP="00EE6E73">
      <w:pPr>
        <w:spacing w:after="0"/>
        <w:rPr>
          <w:rFonts w:asciiTheme="minorHAnsi" w:hAnsiTheme="minorHAnsi" w:cstheme="minorHAnsi"/>
        </w:rPr>
      </w:pPr>
      <w:r>
        <w:rPr>
          <w:rFonts w:asciiTheme="minorHAnsi" w:hAnsiTheme="minorHAnsi" w:cstheme="minorHAnsi"/>
        </w:rPr>
        <w:t>Manager</w:t>
      </w:r>
      <w:r w:rsidR="0023064A">
        <w:rPr>
          <w:rFonts w:asciiTheme="minorHAnsi" w:hAnsiTheme="minorHAnsi" w:cstheme="minorHAnsi"/>
        </w:rPr>
        <w:t>, Chemistry &amp; Special Chemistry</w:t>
      </w:r>
    </w:p>
    <w:p w14:paraId="62F2AF05" w14:textId="77777777" w:rsidR="0023064A" w:rsidRPr="00EE6E73" w:rsidRDefault="0023064A" w:rsidP="00EE6E73">
      <w:pPr>
        <w:spacing w:after="0"/>
        <w:rPr>
          <w:rFonts w:asciiTheme="minorHAnsi" w:hAnsiTheme="minorHAnsi" w:cstheme="minorHAnsi"/>
        </w:rPr>
      </w:pPr>
    </w:p>
    <w:p w14:paraId="6CAD79D5" w14:textId="0C1B65B9" w:rsidR="00225166" w:rsidRDefault="00225166" w:rsidP="00EE6E73">
      <w:pPr>
        <w:spacing w:after="0"/>
        <w:rPr>
          <w:rFonts w:asciiTheme="minorHAnsi" w:hAnsiTheme="minorHAnsi" w:cstheme="minorHAnsi"/>
          <w:b/>
        </w:rPr>
      </w:pPr>
      <w:r>
        <w:rPr>
          <w:rFonts w:asciiTheme="minorHAnsi" w:hAnsiTheme="minorHAnsi" w:cstheme="minorHAnsi"/>
          <w:b/>
        </w:rPr>
        <w:t>RELATED DOCUMENTS</w:t>
      </w:r>
    </w:p>
    <w:p w14:paraId="4F47AF42" w14:textId="5269EF5F" w:rsidR="00225166" w:rsidRDefault="00A34166" w:rsidP="00EE6E73">
      <w:pPr>
        <w:spacing w:after="0"/>
        <w:rPr>
          <w:rFonts w:asciiTheme="minorHAnsi" w:hAnsiTheme="minorHAnsi" w:cstheme="minorHAnsi"/>
        </w:rPr>
      </w:pPr>
      <w:r>
        <w:rPr>
          <w:rFonts w:asciiTheme="minorHAnsi" w:hAnsiTheme="minorHAnsi" w:cstheme="minorHAnsi"/>
        </w:rPr>
        <w:t>CHEM.CENTAUR.ASSAY.10.1</w:t>
      </w:r>
      <w:r>
        <w:rPr>
          <w:rFonts w:asciiTheme="minorHAnsi" w:hAnsiTheme="minorHAnsi" w:cstheme="minorHAnsi"/>
        </w:rPr>
        <w:tab/>
        <w:t>Reporting HBSAG</w:t>
      </w:r>
      <w:r w:rsidR="00ED6F8B">
        <w:rPr>
          <w:rFonts w:asciiTheme="minorHAnsi" w:hAnsiTheme="minorHAnsi" w:cstheme="minorHAnsi"/>
        </w:rPr>
        <w:t>II</w:t>
      </w:r>
    </w:p>
    <w:p w14:paraId="2CF20F25" w14:textId="0DA066D8" w:rsidR="00A34166" w:rsidRDefault="00A34166" w:rsidP="00EE6E73">
      <w:pPr>
        <w:spacing w:after="0"/>
        <w:rPr>
          <w:rFonts w:asciiTheme="minorHAnsi" w:hAnsiTheme="minorHAnsi" w:cstheme="minorHAnsi"/>
        </w:rPr>
      </w:pPr>
      <w:r>
        <w:rPr>
          <w:rFonts w:asciiTheme="minorHAnsi" w:hAnsiTheme="minorHAnsi" w:cstheme="minorHAnsi"/>
        </w:rPr>
        <w:t>CHEM.CENTAUR.ASSAY.10.2</w:t>
      </w:r>
      <w:r>
        <w:rPr>
          <w:rFonts w:asciiTheme="minorHAnsi" w:hAnsiTheme="minorHAnsi" w:cstheme="minorHAnsi"/>
        </w:rPr>
        <w:tab/>
        <w:t>Hepatitis Codes</w:t>
      </w:r>
    </w:p>
    <w:p w14:paraId="5ADC9FBA" w14:textId="66C9B0C0" w:rsidR="00A34166" w:rsidRDefault="00A34166" w:rsidP="00EE6E73">
      <w:pPr>
        <w:spacing w:after="0"/>
        <w:rPr>
          <w:rFonts w:asciiTheme="minorHAnsi" w:hAnsiTheme="minorHAnsi" w:cstheme="minorHAnsi"/>
        </w:rPr>
      </w:pPr>
      <w:r>
        <w:rPr>
          <w:rFonts w:asciiTheme="minorHAnsi" w:hAnsiTheme="minorHAnsi" w:cstheme="minorHAnsi"/>
        </w:rPr>
        <w:t>CHEM.CENTAUR.ASSAY.10.3</w:t>
      </w:r>
      <w:r>
        <w:rPr>
          <w:rFonts w:asciiTheme="minorHAnsi" w:hAnsiTheme="minorHAnsi" w:cstheme="minorHAnsi"/>
        </w:rPr>
        <w:tab/>
        <w:t>Hepatitis Stocking</w:t>
      </w:r>
    </w:p>
    <w:p w14:paraId="5D3BE25A" w14:textId="175769C8" w:rsidR="00A34166" w:rsidRDefault="00A34166" w:rsidP="00EE6E73">
      <w:pPr>
        <w:spacing w:after="0"/>
        <w:rPr>
          <w:rFonts w:asciiTheme="minorHAnsi" w:hAnsiTheme="minorHAnsi" w:cstheme="minorHAnsi"/>
        </w:rPr>
      </w:pPr>
      <w:r>
        <w:rPr>
          <w:rFonts w:asciiTheme="minorHAnsi" w:hAnsiTheme="minorHAnsi" w:cstheme="minorHAnsi"/>
        </w:rPr>
        <w:t>CHEM.CENTAUR.ASSAY.10.4</w:t>
      </w:r>
      <w:r>
        <w:rPr>
          <w:rFonts w:asciiTheme="minorHAnsi" w:hAnsiTheme="minorHAnsi" w:cstheme="minorHAnsi"/>
        </w:rPr>
        <w:tab/>
        <w:t>Result Code Interpretation for Hepatitis</w:t>
      </w:r>
    </w:p>
    <w:p w14:paraId="64C80444" w14:textId="029E99C2" w:rsidR="00A34166" w:rsidRDefault="00A34166" w:rsidP="00EE6E73">
      <w:pPr>
        <w:spacing w:after="0"/>
        <w:rPr>
          <w:rFonts w:asciiTheme="minorHAnsi" w:hAnsiTheme="minorHAnsi" w:cstheme="minorHAnsi"/>
        </w:rPr>
      </w:pPr>
      <w:r>
        <w:rPr>
          <w:rFonts w:asciiTheme="minorHAnsi" w:hAnsiTheme="minorHAnsi" w:cstheme="minorHAnsi"/>
        </w:rPr>
        <w:t>CHEM.CENTAUR.ASSAY.10.5</w:t>
      </w:r>
      <w:r>
        <w:rPr>
          <w:rFonts w:asciiTheme="minorHAnsi" w:hAnsiTheme="minorHAnsi" w:cstheme="minorHAnsi"/>
        </w:rPr>
        <w:tab/>
        <w:t>Reporting Summary for Hepatitis</w:t>
      </w:r>
    </w:p>
    <w:p w14:paraId="29F4FE63" w14:textId="5F0030FC" w:rsidR="00A34166" w:rsidRDefault="00A34166" w:rsidP="00EE6E73">
      <w:pPr>
        <w:spacing w:after="0"/>
        <w:rPr>
          <w:rFonts w:asciiTheme="minorHAnsi" w:hAnsiTheme="minorHAnsi" w:cstheme="minorHAnsi"/>
        </w:rPr>
      </w:pPr>
      <w:r>
        <w:rPr>
          <w:rFonts w:asciiTheme="minorHAnsi" w:hAnsiTheme="minorHAnsi" w:cstheme="minorHAnsi"/>
        </w:rPr>
        <w:t>CHEM.CENTAUR.ASSAY.10.6</w:t>
      </w:r>
      <w:r>
        <w:rPr>
          <w:rFonts w:asciiTheme="minorHAnsi" w:hAnsiTheme="minorHAnsi" w:cstheme="minorHAnsi"/>
        </w:rPr>
        <w:tab/>
        <w:t>Hepatitis Information</w:t>
      </w:r>
    </w:p>
    <w:p w14:paraId="62DC3418" w14:textId="7795E5A4" w:rsidR="00A34166" w:rsidRDefault="00A34166" w:rsidP="00EE6E73">
      <w:pPr>
        <w:spacing w:after="0"/>
        <w:rPr>
          <w:rFonts w:asciiTheme="minorHAnsi" w:hAnsiTheme="minorHAnsi" w:cstheme="minorHAnsi"/>
        </w:rPr>
      </w:pPr>
      <w:r>
        <w:rPr>
          <w:rFonts w:asciiTheme="minorHAnsi" w:hAnsiTheme="minorHAnsi" w:cstheme="minorHAnsi"/>
        </w:rPr>
        <w:t>CHEM.CENTARU.ASSAY.10.7</w:t>
      </w:r>
      <w:r>
        <w:rPr>
          <w:rFonts w:asciiTheme="minorHAnsi" w:hAnsiTheme="minorHAnsi" w:cstheme="minorHAnsi"/>
        </w:rPr>
        <w:tab/>
        <w:t>Verifying Centaur Hepatitis Results</w:t>
      </w:r>
    </w:p>
    <w:p w14:paraId="25B21A6D" w14:textId="78398AC0" w:rsidR="0026140C" w:rsidRPr="00EE6E73" w:rsidRDefault="0026140C" w:rsidP="00EE6E73">
      <w:pPr>
        <w:spacing w:after="0"/>
        <w:rPr>
          <w:rFonts w:asciiTheme="minorHAnsi" w:hAnsiTheme="minorHAnsi" w:cstheme="minorHAnsi"/>
          <w:b/>
        </w:rPr>
      </w:pPr>
      <w:r w:rsidRPr="00EE6E73">
        <w:rPr>
          <w:rFonts w:asciiTheme="minorHAnsi" w:hAnsiTheme="minorHAnsi" w:cstheme="minorHAnsi"/>
          <w:b/>
        </w:rPr>
        <w:lastRenderedPageBreak/>
        <w:t>SPECIMEN</w:t>
      </w:r>
      <w:r w:rsidR="0023064A">
        <w:rPr>
          <w:rFonts w:asciiTheme="minorHAnsi" w:hAnsiTheme="minorHAnsi" w:cstheme="minorHAnsi"/>
          <w:b/>
        </w:rPr>
        <w:t xml:space="preserve"> </w:t>
      </w:r>
    </w:p>
    <w:p w14:paraId="528CDDE9" w14:textId="77777777" w:rsidR="00CB2D10" w:rsidRDefault="00CB2D10" w:rsidP="0023064A">
      <w:pPr>
        <w:pStyle w:val="ListParagraph"/>
        <w:numPr>
          <w:ilvl w:val="0"/>
          <w:numId w:val="5"/>
        </w:numPr>
        <w:spacing w:after="0"/>
        <w:ind w:left="720"/>
        <w:rPr>
          <w:rFonts w:asciiTheme="minorHAnsi" w:hAnsiTheme="minorHAnsi" w:cstheme="minorHAnsi"/>
        </w:rPr>
      </w:pPr>
      <w:r>
        <w:rPr>
          <w:rFonts w:asciiTheme="minorHAnsi" w:hAnsiTheme="minorHAnsi" w:cstheme="minorHAnsi"/>
        </w:rPr>
        <w:t>Specimen Requirements</w:t>
      </w:r>
    </w:p>
    <w:p w14:paraId="1A4C7920" w14:textId="77777777" w:rsidR="00CB2D10" w:rsidRDefault="00CB2D10" w:rsidP="00CB2D10">
      <w:pPr>
        <w:pStyle w:val="ListParagraph"/>
        <w:spacing w:after="0"/>
        <w:rPr>
          <w:rFonts w:asciiTheme="minorHAnsi" w:hAnsiTheme="minorHAnsi" w:cstheme="minorHAnsi"/>
        </w:rPr>
      </w:pPr>
      <w:r>
        <w:rPr>
          <w:rFonts w:asciiTheme="minorHAnsi" w:hAnsiTheme="minorHAnsi" w:cstheme="minorHAnsi"/>
        </w:rPr>
        <w:t>1.</w:t>
      </w:r>
      <w:r>
        <w:rPr>
          <w:rFonts w:asciiTheme="minorHAnsi" w:hAnsiTheme="minorHAnsi" w:cstheme="minorHAnsi"/>
        </w:rPr>
        <w:tab/>
      </w:r>
      <w:r w:rsidR="0023064A" w:rsidRPr="0023064A">
        <w:rPr>
          <w:rFonts w:asciiTheme="minorHAnsi" w:hAnsiTheme="minorHAnsi" w:cstheme="minorHAnsi"/>
        </w:rPr>
        <w:t xml:space="preserve">Serum </w:t>
      </w:r>
    </w:p>
    <w:p w14:paraId="017540E0" w14:textId="305E9813" w:rsidR="0023064A" w:rsidRDefault="00CB2D10" w:rsidP="00CB2D10">
      <w:pPr>
        <w:pStyle w:val="ListParagraph"/>
        <w:spacing w:after="0"/>
        <w:rPr>
          <w:rFonts w:asciiTheme="minorHAnsi" w:hAnsiTheme="minorHAnsi" w:cstheme="minorHAnsi"/>
        </w:rPr>
      </w:pPr>
      <w:r>
        <w:rPr>
          <w:rFonts w:asciiTheme="minorHAnsi" w:hAnsiTheme="minorHAnsi" w:cstheme="minorHAnsi"/>
        </w:rPr>
        <w:t>2.</w:t>
      </w:r>
      <w:r>
        <w:rPr>
          <w:rFonts w:asciiTheme="minorHAnsi" w:hAnsiTheme="minorHAnsi" w:cstheme="minorHAnsi"/>
        </w:rPr>
        <w:tab/>
        <w:t>Plasma (</w:t>
      </w:r>
      <w:r w:rsidR="0023064A" w:rsidRPr="0023064A">
        <w:rPr>
          <w:rFonts w:asciiTheme="minorHAnsi" w:hAnsiTheme="minorHAnsi" w:cstheme="minorHAnsi"/>
        </w:rPr>
        <w:t>Potassium EDTA, Lithium or Sodium heparin</w:t>
      </w:r>
      <w:r>
        <w:rPr>
          <w:rFonts w:asciiTheme="minorHAnsi" w:hAnsiTheme="minorHAnsi" w:cstheme="minorHAnsi"/>
        </w:rPr>
        <w:t>)</w:t>
      </w:r>
    </w:p>
    <w:p w14:paraId="00ACBF7F" w14:textId="77777777" w:rsidR="004428C9" w:rsidRPr="0023064A" w:rsidRDefault="004428C9" w:rsidP="00CB2D10">
      <w:pPr>
        <w:pStyle w:val="ListParagraph"/>
        <w:spacing w:after="0"/>
        <w:rPr>
          <w:rFonts w:asciiTheme="minorHAnsi" w:hAnsiTheme="minorHAnsi" w:cstheme="minorHAnsi"/>
        </w:rPr>
      </w:pPr>
    </w:p>
    <w:p w14:paraId="0A467E56" w14:textId="793715B0" w:rsidR="0023064A" w:rsidRDefault="00CB2D10" w:rsidP="0023064A">
      <w:pPr>
        <w:spacing w:after="0"/>
        <w:rPr>
          <w:rFonts w:asciiTheme="minorHAnsi" w:hAnsiTheme="minorHAnsi" w:cstheme="minorHAnsi"/>
        </w:rPr>
      </w:pPr>
      <w:r>
        <w:rPr>
          <w:rFonts w:asciiTheme="minorHAnsi" w:hAnsiTheme="minorHAnsi" w:cstheme="minorHAnsi"/>
        </w:rPr>
        <w:t>B.</w:t>
      </w:r>
      <w:r>
        <w:rPr>
          <w:rFonts w:asciiTheme="minorHAnsi" w:hAnsiTheme="minorHAnsi" w:cstheme="minorHAnsi"/>
        </w:rPr>
        <w:tab/>
        <w:t>Stability</w:t>
      </w:r>
    </w:p>
    <w:p w14:paraId="37FCD2FD" w14:textId="1367F590" w:rsidR="00CB2D10" w:rsidRDefault="00CB2D10" w:rsidP="0023064A">
      <w:pPr>
        <w:spacing w:after="0"/>
        <w:rPr>
          <w:rFonts w:asciiTheme="minorHAnsi" w:hAnsiTheme="minorHAnsi" w:cstheme="minorHAnsi"/>
        </w:rPr>
      </w:pPr>
      <w:r>
        <w:rPr>
          <w:rFonts w:asciiTheme="minorHAnsi" w:hAnsiTheme="minorHAnsi" w:cstheme="minorHAnsi"/>
        </w:rPr>
        <w:tab/>
        <w:t>1.</w:t>
      </w:r>
      <w:r>
        <w:rPr>
          <w:rFonts w:asciiTheme="minorHAnsi" w:hAnsiTheme="minorHAnsi" w:cstheme="minorHAnsi"/>
        </w:rPr>
        <w:tab/>
        <w:t>Refrigerated (2-8</w:t>
      </w:r>
      <w:r>
        <w:rPr>
          <w:rFonts w:asciiTheme="minorHAnsi" w:hAnsiTheme="minorHAnsi" w:cs="Aharoni" w:hint="cs"/>
        </w:rPr>
        <w:t>°</w:t>
      </w:r>
      <w:r>
        <w:rPr>
          <w:rFonts w:asciiTheme="minorHAnsi" w:hAnsiTheme="minorHAnsi" w:cstheme="minorHAnsi"/>
        </w:rPr>
        <w:t>C)</w:t>
      </w:r>
    </w:p>
    <w:p w14:paraId="1B1DA5A0" w14:textId="4712C95A" w:rsidR="00CB2D10" w:rsidRDefault="00CB2D10" w:rsidP="0023064A">
      <w:pPr>
        <w:spacing w:after="0"/>
        <w:rPr>
          <w:rFonts w:asciiTheme="minorHAnsi" w:hAnsiTheme="minorHAnsi" w:cstheme="minorHAnsi"/>
        </w:rPr>
      </w:pPr>
      <w:r>
        <w:rPr>
          <w:rFonts w:asciiTheme="minorHAnsi" w:hAnsiTheme="minorHAnsi" w:cstheme="minorHAnsi"/>
        </w:rPr>
        <w:tab/>
      </w:r>
      <w:r>
        <w:rPr>
          <w:rFonts w:asciiTheme="minorHAnsi" w:hAnsiTheme="minorHAnsi" w:cstheme="minorHAnsi"/>
        </w:rPr>
        <w:tab/>
        <w:t>a.</w:t>
      </w:r>
      <w:r>
        <w:rPr>
          <w:rFonts w:asciiTheme="minorHAnsi" w:hAnsiTheme="minorHAnsi" w:cstheme="minorHAnsi"/>
        </w:rPr>
        <w:tab/>
      </w:r>
      <w:r w:rsidR="00ED6F8B">
        <w:rPr>
          <w:rFonts w:asciiTheme="minorHAnsi" w:hAnsiTheme="minorHAnsi" w:cstheme="minorHAnsi"/>
        </w:rPr>
        <w:t xml:space="preserve">Serum / </w:t>
      </w:r>
      <w:r>
        <w:rPr>
          <w:rFonts w:asciiTheme="minorHAnsi" w:hAnsiTheme="minorHAnsi" w:cstheme="minorHAnsi"/>
        </w:rPr>
        <w:t>Plasma (Lithium Heparin)</w:t>
      </w:r>
    </w:p>
    <w:p w14:paraId="62CA265F" w14:textId="71FD8CC6" w:rsidR="00CB2D10" w:rsidRDefault="00CB2D10" w:rsidP="0023064A">
      <w:pPr>
        <w:spacing w:after="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t>1).</w:t>
      </w:r>
      <w:r>
        <w:rPr>
          <w:rFonts w:asciiTheme="minorHAnsi" w:hAnsiTheme="minorHAnsi" w:cstheme="minorHAnsi"/>
        </w:rPr>
        <w:tab/>
      </w:r>
      <w:r w:rsidR="00ED6F8B">
        <w:rPr>
          <w:rFonts w:asciiTheme="minorHAnsi" w:hAnsiTheme="minorHAnsi" w:cstheme="minorHAnsi"/>
        </w:rPr>
        <w:t>Pour off tube – 24hr @ room temp (18-35C)</w:t>
      </w:r>
    </w:p>
    <w:p w14:paraId="1DECE3CC" w14:textId="0A60886A" w:rsidR="00CB2D10" w:rsidRDefault="00ED6F8B" w:rsidP="0023064A">
      <w:pPr>
        <w:spacing w:after="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t>2).</w:t>
      </w:r>
      <w:r>
        <w:rPr>
          <w:rFonts w:asciiTheme="minorHAnsi" w:hAnsiTheme="minorHAnsi" w:cstheme="minorHAnsi"/>
        </w:rPr>
        <w:tab/>
        <w:t>Pour off tube – 14d @ 2-8C</w:t>
      </w:r>
    </w:p>
    <w:p w14:paraId="5DFFDD0D" w14:textId="30ADDBFC" w:rsidR="0023064A" w:rsidRDefault="00CB2D10" w:rsidP="00276075">
      <w:pPr>
        <w:spacing w:after="0"/>
        <w:rPr>
          <w:rFonts w:asciiTheme="minorHAnsi" w:hAnsiTheme="minorHAnsi" w:cstheme="minorHAnsi"/>
        </w:rPr>
      </w:pPr>
      <w:r>
        <w:rPr>
          <w:rFonts w:asciiTheme="minorHAnsi" w:hAnsiTheme="minorHAnsi" w:cstheme="minorHAnsi"/>
        </w:rPr>
        <w:tab/>
        <w:t>2.</w:t>
      </w:r>
      <w:r>
        <w:rPr>
          <w:rFonts w:asciiTheme="minorHAnsi" w:hAnsiTheme="minorHAnsi" w:cstheme="minorHAnsi"/>
        </w:rPr>
        <w:tab/>
        <w:t>Frozen (≤-20</w:t>
      </w:r>
      <w:r>
        <w:rPr>
          <w:rFonts w:asciiTheme="minorHAnsi" w:hAnsiTheme="minorHAnsi" w:cs="Aharoni" w:hint="cs"/>
        </w:rPr>
        <w:t>°</w:t>
      </w:r>
      <w:r>
        <w:rPr>
          <w:rFonts w:asciiTheme="minorHAnsi" w:hAnsiTheme="minorHAnsi" w:cstheme="minorHAnsi"/>
        </w:rPr>
        <w:t xml:space="preserve">C) </w:t>
      </w:r>
      <w:r w:rsidR="00ED6F8B">
        <w:rPr>
          <w:rFonts w:asciiTheme="minorHAnsi" w:hAnsiTheme="minorHAnsi" w:cstheme="minorHAnsi"/>
        </w:rPr>
        <w:t>–</w:t>
      </w:r>
      <w:r>
        <w:rPr>
          <w:rFonts w:asciiTheme="minorHAnsi" w:hAnsiTheme="minorHAnsi" w:cstheme="minorHAnsi"/>
        </w:rPr>
        <w:t xml:space="preserve"> </w:t>
      </w:r>
      <w:r w:rsidR="00ED6F8B">
        <w:rPr>
          <w:rFonts w:asciiTheme="minorHAnsi" w:hAnsiTheme="minorHAnsi" w:cstheme="minorHAnsi"/>
        </w:rPr>
        <w:t>no more than 4 freeze/thaw cycles</w:t>
      </w:r>
    </w:p>
    <w:p w14:paraId="7E3B21D5" w14:textId="77777777" w:rsidR="004428C9" w:rsidRDefault="004428C9" w:rsidP="00276075">
      <w:pPr>
        <w:spacing w:after="0"/>
        <w:rPr>
          <w:rFonts w:asciiTheme="minorHAnsi" w:hAnsiTheme="minorHAnsi" w:cstheme="minorHAnsi"/>
        </w:rPr>
      </w:pPr>
    </w:p>
    <w:p w14:paraId="26440107" w14:textId="716A66BE" w:rsidR="00276075" w:rsidRDefault="00276075" w:rsidP="00276075">
      <w:pPr>
        <w:spacing w:after="0"/>
        <w:rPr>
          <w:rFonts w:asciiTheme="minorHAnsi" w:hAnsiTheme="minorHAnsi" w:cstheme="minorHAnsi"/>
        </w:rPr>
      </w:pPr>
      <w:r>
        <w:rPr>
          <w:rFonts w:asciiTheme="minorHAnsi" w:hAnsiTheme="minorHAnsi" w:cstheme="minorHAnsi"/>
        </w:rPr>
        <w:t>C.</w:t>
      </w:r>
      <w:r>
        <w:rPr>
          <w:rFonts w:asciiTheme="minorHAnsi" w:hAnsiTheme="minorHAnsi" w:cstheme="minorHAnsi"/>
        </w:rPr>
        <w:tab/>
        <w:t>Minimum volume – 100 µL</w:t>
      </w:r>
    </w:p>
    <w:p w14:paraId="62FD8491" w14:textId="2CE339D4" w:rsidR="00276075" w:rsidRDefault="00276075" w:rsidP="00276075">
      <w:pPr>
        <w:spacing w:after="0"/>
        <w:rPr>
          <w:rFonts w:asciiTheme="minorHAnsi" w:hAnsiTheme="minorHAnsi" w:cstheme="minorHAnsi"/>
        </w:rPr>
      </w:pPr>
      <w:r>
        <w:rPr>
          <w:rFonts w:asciiTheme="minorHAnsi" w:hAnsiTheme="minorHAnsi" w:cstheme="minorHAnsi"/>
        </w:rPr>
        <w:tab/>
        <w:t>Note:</w:t>
      </w:r>
      <w:r>
        <w:rPr>
          <w:rFonts w:asciiTheme="minorHAnsi" w:hAnsiTheme="minorHAnsi" w:cstheme="minorHAnsi"/>
        </w:rPr>
        <w:tab/>
      </w:r>
      <w:r w:rsidRPr="0023064A">
        <w:rPr>
          <w:rFonts w:asciiTheme="minorHAnsi" w:hAnsiTheme="minorHAnsi" w:cstheme="minorHAnsi"/>
        </w:rPr>
        <w:t xml:space="preserve">This volume does not include the unusable volume in the sample container or the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23064A">
        <w:rPr>
          <w:rFonts w:asciiTheme="minorHAnsi" w:hAnsiTheme="minorHAnsi" w:cstheme="minorHAnsi"/>
        </w:rPr>
        <w:t>additional volume required when performing other tests on the same sample</w:t>
      </w:r>
      <w:r>
        <w:rPr>
          <w:rFonts w:asciiTheme="minorHAnsi" w:hAnsiTheme="minorHAnsi" w:cstheme="minorHAnsi"/>
        </w:rPr>
        <w:t>.</w:t>
      </w:r>
    </w:p>
    <w:p w14:paraId="3D8DD926" w14:textId="77777777" w:rsidR="004428C9" w:rsidRDefault="004428C9" w:rsidP="00276075">
      <w:pPr>
        <w:spacing w:after="0"/>
        <w:rPr>
          <w:rFonts w:asciiTheme="minorHAnsi" w:hAnsiTheme="minorHAnsi" w:cstheme="minorHAnsi"/>
        </w:rPr>
      </w:pPr>
    </w:p>
    <w:p w14:paraId="56D2D60C" w14:textId="1AA58E39" w:rsidR="00276075" w:rsidRDefault="00276075" w:rsidP="00276075">
      <w:pPr>
        <w:spacing w:after="0"/>
        <w:rPr>
          <w:rFonts w:asciiTheme="minorHAnsi" w:hAnsiTheme="minorHAnsi" w:cstheme="minorHAnsi"/>
        </w:rPr>
      </w:pPr>
      <w:r>
        <w:rPr>
          <w:rFonts w:asciiTheme="minorHAnsi" w:hAnsiTheme="minorHAnsi" w:cstheme="minorHAnsi"/>
        </w:rPr>
        <w:t>D.</w:t>
      </w:r>
      <w:r>
        <w:rPr>
          <w:rFonts w:asciiTheme="minorHAnsi" w:hAnsiTheme="minorHAnsi" w:cstheme="minorHAnsi"/>
        </w:rPr>
        <w:tab/>
        <w:t>Special Instructions</w:t>
      </w:r>
    </w:p>
    <w:p w14:paraId="3BD01E67" w14:textId="76327CC5" w:rsidR="0023064A" w:rsidRPr="0023064A" w:rsidRDefault="00276075" w:rsidP="00276075">
      <w:pPr>
        <w:spacing w:after="0"/>
        <w:rPr>
          <w:rFonts w:asciiTheme="minorHAnsi" w:hAnsiTheme="minorHAnsi" w:cstheme="minorHAnsi"/>
        </w:rPr>
      </w:pPr>
      <w:r>
        <w:rPr>
          <w:rFonts w:asciiTheme="minorHAnsi" w:hAnsiTheme="minorHAnsi" w:cstheme="minorHAnsi"/>
        </w:rPr>
        <w:tab/>
        <w:t>1.</w:t>
      </w:r>
      <w:r>
        <w:rPr>
          <w:rFonts w:asciiTheme="minorHAnsi" w:hAnsiTheme="minorHAnsi" w:cstheme="minorHAnsi"/>
        </w:rPr>
        <w:tab/>
      </w:r>
      <w:r w:rsidR="0023064A" w:rsidRPr="0023064A">
        <w:rPr>
          <w:rFonts w:asciiTheme="minorHAnsi" w:hAnsiTheme="minorHAnsi" w:cstheme="minorHAnsi"/>
        </w:rPr>
        <w:t>Centrifuge within 24 hours of collection and pour off into clean vial for best results.</w:t>
      </w:r>
    </w:p>
    <w:p w14:paraId="5F0315E6" w14:textId="77777777" w:rsidR="00276075" w:rsidRDefault="00276075" w:rsidP="00276075">
      <w:pPr>
        <w:pStyle w:val="ListParagraph"/>
        <w:spacing w:after="0"/>
        <w:rPr>
          <w:rFonts w:asciiTheme="minorHAnsi" w:hAnsiTheme="minorHAnsi" w:cstheme="minorHAnsi"/>
        </w:rPr>
      </w:pPr>
      <w:r>
        <w:rPr>
          <w:rFonts w:asciiTheme="minorHAnsi" w:hAnsiTheme="minorHAnsi" w:cstheme="minorHAnsi"/>
        </w:rPr>
        <w:t>2.</w:t>
      </w:r>
      <w:r>
        <w:rPr>
          <w:rFonts w:asciiTheme="minorHAnsi" w:hAnsiTheme="minorHAnsi" w:cstheme="minorHAnsi"/>
        </w:rPr>
        <w:tab/>
      </w:r>
      <w:r w:rsidR="0023064A" w:rsidRPr="0023064A">
        <w:rPr>
          <w:rFonts w:asciiTheme="minorHAnsi" w:hAnsiTheme="minorHAnsi" w:cstheme="minorHAnsi"/>
        </w:rPr>
        <w:t xml:space="preserve">Test samples as soon as possible after collecting.  </w:t>
      </w:r>
    </w:p>
    <w:p w14:paraId="1CF31F57" w14:textId="10B9CAC4" w:rsidR="0023064A" w:rsidRDefault="00276075" w:rsidP="00276075">
      <w:pPr>
        <w:pStyle w:val="ListParagraph"/>
        <w:spacing w:after="0"/>
        <w:rPr>
          <w:rFonts w:asciiTheme="minorHAnsi" w:hAnsiTheme="minorHAnsi" w:cstheme="minorHAnsi"/>
        </w:rPr>
      </w:pPr>
      <w:r>
        <w:rPr>
          <w:rFonts w:asciiTheme="minorHAnsi" w:hAnsiTheme="minorHAnsi" w:cstheme="minorHAnsi"/>
        </w:rPr>
        <w:t>3.</w:t>
      </w:r>
      <w:r>
        <w:rPr>
          <w:rFonts w:asciiTheme="minorHAnsi" w:hAnsiTheme="minorHAnsi" w:cstheme="minorHAnsi"/>
        </w:rPr>
        <w:tab/>
      </w:r>
      <w:r w:rsidR="0023064A" w:rsidRPr="0023064A">
        <w:rPr>
          <w:rFonts w:asciiTheme="minorHAnsi" w:hAnsiTheme="minorHAnsi" w:cstheme="minorHAnsi"/>
        </w:rPr>
        <w:t>Store samples at 2-8</w:t>
      </w:r>
      <w:r w:rsidR="0023064A">
        <w:rPr>
          <w:rFonts w:asciiTheme="minorHAnsi" w:hAnsiTheme="minorHAnsi" w:cstheme="minorHAnsi"/>
        </w:rPr>
        <w:t>°</w:t>
      </w:r>
      <w:r w:rsidR="0023064A" w:rsidRPr="0023064A">
        <w:rPr>
          <w:rFonts w:asciiTheme="minorHAnsi" w:hAnsiTheme="minorHAnsi" w:cstheme="minorHAnsi"/>
        </w:rPr>
        <w:t>C if not tested within 8 hours.</w:t>
      </w:r>
    </w:p>
    <w:p w14:paraId="20069C17" w14:textId="42A4798D" w:rsidR="0023064A" w:rsidRPr="0023064A" w:rsidRDefault="00276075" w:rsidP="00276075">
      <w:pPr>
        <w:pStyle w:val="ListParagraph"/>
        <w:spacing w:after="0"/>
        <w:rPr>
          <w:rFonts w:asciiTheme="minorHAnsi" w:hAnsiTheme="minorHAnsi" w:cstheme="minorHAnsi"/>
        </w:rPr>
      </w:pPr>
      <w:r>
        <w:rPr>
          <w:rFonts w:asciiTheme="minorHAnsi" w:hAnsiTheme="minorHAnsi" w:cstheme="minorHAnsi"/>
        </w:rPr>
        <w:t>4.</w:t>
      </w:r>
      <w:r>
        <w:rPr>
          <w:rFonts w:asciiTheme="minorHAnsi" w:hAnsiTheme="minorHAnsi" w:cstheme="minorHAnsi"/>
        </w:rPr>
        <w:tab/>
      </w:r>
      <w:r w:rsidR="0023064A" w:rsidRPr="0023064A">
        <w:rPr>
          <w:rFonts w:asciiTheme="minorHAnsi" w:hAnsiTheme="minorHAnsi" w:cstheme="minorHAnsi"/>
        </w:rPr>
        <w:t>Before placing samples on the Centaur, ensure that:</w:t>
      </w:r>
    </w:p>
    <w:p w14:paraId="389ED9A0" w14:textId="4855D02E" w:rsidR="0023064A" w:rsidRPr="0023064A" w:rsidRDefault="00276075" w:rsidP="00276075">
      <w:pPr>
        <w:pStyle w:val="ListParagraph"/>
        <w:spacing w:after="0"/>
        <w:ind w:left="1440"/>
        <w:rPr>
          <w:rFonts w:asciiTheme="minorHAnsi" w:hAnsiTheme="minorHAnsi" w:cstheme="minorHAnsi"/>
        </w:rPr>
      </w:pPr>
      <w:r>
        <w:rPr>
          <w:rFonts w:asciiTheme="minorHAnsi" w:hAnsiTheme="minorHAnsi" w:cstheme="minorHAnsi"/>
        </w:rPr>
        <w:t>a.</w:t>
      </w:r>
      <w:r>
        <w:rPr>
          <w:rFonts w:asciiTheme="minorHAnsi" w:hAnsiTheme="minorHAnsi" w:cstheme="minorHAnsi"/>
        </w:rPr>
        <w:tab/>
      </w:r>
      <w:r w:rsidR="0023064A" w:rsidRPr="0023064A">
        <w:rPr>
          <w:rFonts w:asciiTheme="minorHAnsi" w:hAnsiTheme="minorHAnsi" w:cstheme="minorHAnsi"/>
        </w:rPr>
        <w:t>Samples are free of fibrin or other particulate matter.</w:t>
      </w:r>
    </w:p>
    <w:p w14:paraId="410F9C9A" w14:textId="1F2041BD" w:rsidR="0023064A" w:rsidRPr="0023064A" w:rsidRDefault="00276075" w:rsidP="00276075">
      <w:pPr>
        <w:pStyle w:val="ListParagraph"/>
        <w:spacing w:after="0"/>
        <w:ind w:left="1440"/>
        <w:rPr>
          <w:rFonts w:asciiTheme="minorHAnsi" w:hAnsiTheme="minorHAnsi" w:cstheme="minorHAnsi"/>
        </w:rPr>
      </w:pPr>
      <w:r>
        <w:rPr>
          <w:rFonts w:asciiTheme="minorHAnsi" w:hAnsiTheme="minorHAnsi" w:cstheme="minorHAnsi"/>
        </w:rPr>
        <w:t>b.</w:t>
      </w:r>
      <w:r>
        <w:rPr>
          <w:rFonts w:asciiTheme="minorHAnsi" w:hAnsiTheme="minorHAnsi" w:cstheme="minorHAnsi"/>
        </w:rPr>
        <w:tab/>
      </w:r>
      <w:r w:rsidR="0023064A" w:rsidRPr="0023064A">
        <w:rPr>
          <w:rFonts w:asciiTheme="minorHAnsi" w:hAnsiTheme="minorHAnsi" w:cstheme="minorHAnsi"/>
        </w:rPr>
        <w:t>Samples are free of bubbles.</w:t>
      </w:r>
    </w:p>
    <w:p w14:paraId="0EF792BF" w14:textId="3386BF03" w:rsidR="0023064A" w:rsidRPr="0023064A" w:rsidRDefault="00276075" w:rsidP="00276075">
      <w:pPr>
        <w:pStyle w:val="ListParagraph"/>
        <w:spacing w:after="0"/>
        <w:ind w:left="1440"/>
        <w:rPr>
          <w:rFonts w:asciiTheme="minorHAnsi" w:hAnsiTheme="minorHAnsi" w:cstheme="minorHAnsi"/>
        </w:rPr>
      </w:pPr>
      <w:r>
        <w:rPr>
          <w:rFonts w:asciiTheme="minorHAnsi" w:hAnsiTheme="minorHAnsi" w:cstheme="minorHAnsi"/>
        </w:rPr>
        <w:t>c.</w:t>
      </w:r>
      <w:r>
        <w:rPr>
          <w:rFonts w:asciiTheme="minorHAnsi" w:hAnsiTheme="minorHAnsi" w:cstheme="minorHAnsi"/>
        </w:rPr>
        <w:tab/>
      </w:r>
      <w:r w:rsidR="0023064A" w:rsidRPr="0023064A">
        <w:rPr>
          <w:rFonts w:asciiTheme="minorHAnsi" w:hAnsiTheme="minorHAnsi" w:cstheme="minorHAnsi"/>
        </w:rPr>
        <w:t>Samples are free from obvious microbial contamination.</w:t>
      </w:r>
    </w:p>
    <w:p w14:paraId="17DE7FFF" w14:textId="77777777" w:rsidR="00276075" w:rsidRDefault="00276075" w:rsidP="0023064A">
      <w:pPr>
        <w:spacing w:after="0"/>
        <w:rPr>
          <w:rFonts w:asciiTheme="minorHAnsi" w:hAnsiTheme="minorHAnsi" w:cstheme="minorHAnsi"/>
          <w:b/>
        </w:rPr>
      </w:pPr>
    </w:p>
    <w:p w14:paraId="3C6BD427" w14:textId="77777777" w:rsidR="0026140C" w:rsidRPr="00EE6E73" w:rsidRDefault="0026140C" w:rsidP="00EE6E73">
      <w:pPr>
        <w:spacing w:after="0"/>
        <w:rPr>
          <w:rFonts w:asciiTheme="minorHAnsi" w:hAnsiTheme="minorHAnsi" w:cstheme="minorHAnsi"/>
          <w:b/>
        </w:rPr>
      </w:pPr>
      <w:r w:rsidRPr="00EE6E73">
        <w:rPr>
          <w:rFonts w:asciiTheme="minorHAnsi" w:hAnsiTheme="minorHAnsi" w:cstheme="minorHAnsi"/>
          <w:b/>
        </w:rPr>
        <w:t>REAGENTS</w:t>
      </w:r>
    </w:p>
    <w:p w14:paraId="08A7732E" w14:textId="76443F5C" w:rsidR="0023064A" w:rsidRDefault="004428C9" w:rsidP="0023064A">
      <w:pPr>
        <w:spacing w:after="0"/>
        <w:rPr>
          <w:rFonts w:asciiTheme="minorHAnsi" w:hAnsiTheme="minorHAnsi" w:cstheme="minorHAnsi"/>
        </w:rPr>
      </w:pPr>
      <w:r>
        <w:rPr>
          <w:rFonts w:asciiTheme="minorHAnsi" w:hAnsiTheme="minorHAnsi" w:cstheme="minorHAnsi"/>
        </w:rPr>
        <w:t>A.</w:t>
      </w:r>
      <w:r>
        <w:rPr>
          <w:rFonts w:asciiTheme="minorHAnsi" w:hAnsiTheme="minorHAnsi" w:cstheme="minorHAnsi"/>
        </w:rPr>
        <w:tab/>
      </w:r>
      <w:r w:rsidR="0023064A" w:rsidRPr="0023064A">
        <w:rPr>
          <w:rFonts w:asciiTheme="minorHAnsi" w:hAnsiTheme="minorHAnsi" w:cstheme="minorHAnsi"/>
        </w:rPr>
        <w:t>Store the reagents upright at 2-8</w:t>
      </w:r>
      <w:r w:rsidR="0023064A">
        <w:rPr>
          <w:rFonts w:asciiTheme="minorHAnsi" w:hAnsiTheme="minorHAnsi" w:cstheme="minorHAnsi"/>
        </w:rPr>
        <w:t>°</w:t>
      </w:r>
      <w:r w:rsidR="0023064A" w:rsidRPr="0023064A">
        <w:rPr>
          <w:rFonts w:asciiTheme="minorHAnsi" w:hAnsiTheme="minorHAnsi" w:cstheme="minorHAnsi"/>
        </w:rPr>
        <w:t>C.</w:t>
      </w:r>
    </w:p>
    <w:p w14:paraId="05D053E9" w14:textId="77777777" w:rsidR="004428C9" w:rsidRDefault="004428C9" w:rsidP="0023064A">
      <w:pPr>
        <w:spacing w:after="0"/>
        <w:rPr>
          <w:rFonts w:asciiTheme="minorHAnsi" w:hAnsiTheme="minorHAnsi" w:cstheme="minorHAnsi"/>
        </w:rPr>
      </w:pPr>
    </w:p>
    <w:p w14:paraId="1AFA6D0D" w14:textId="37DAD9DE" w:rsidR="0023064A" w:rsidRDefault="004428C9" w:rsidP="0023064A">
      <w:pPr>
        <w:spacing w:after="0"/>
        <w:rPr>
          <w:rFonts w:asciiTheme="minorHAnsi" w:hAnsiTheme="minorHAnsi" w:cstheme="minorHAnsi"/>
        </w:rPr>
      </w:pPr>
      <w:r>
        <w:rPr>
          <w:rFonts w:asciiTheme="minorHAnsi" w:hAnsiTheme="minorHAnsi" w:cstheme="minorHAnsi"/>
        </w:rPr>
        <w:t>B.</w:t>
      </w:r>
      <w:r>
        <w:rPr>
          <w:rFonts w:asciiTheme="minorHAnsi" w:hAnsiTheme="minorHAnsi" w:cstheme="minorHAnsi"/>
        </w:rPr>
        <w:tab/>
      </w:r>
      <w:r w:rsidR="0023064A" w:rsidRPr="0023064A">
        <w:rPr>
          <w:rFonts w:asciiTheme="minorHAnsi" w:hAnsiTheme="minorHAnsi" w:cstheme="minorHAnsi"/>
        </w:rPr>
        <w:t xml:space="preserve">Mix all primary reagent packs by hand before loading them onto the system.  Visually inspect </w:t>
      </w:r>
      <w:r>
        <w:rPr>
          <w:rFonts w:asciiTheme="minorHAnsi" w:hAnsiTheme="minorHAnsi" w:cstheme="minorHAnsi"/>
        </w:rPr>
        <w:tab/>
      </w:r>
      <w:r w:rsidR="0023064A" w:rsidRPr="0023064A">
        <w:rPr>
          <w:rFonts w:asciiTheme="minorHAnsi" w:hAnsiTheme="minorHAnsi" w:cstheme="minorHAnsi"/>
        </w:rPr>
        <w:t xml:space="preserve">the bottom of the reagent pack to ensure that all particles are dispersed and resuspended.  For </w:t>
      </w:r>
      <w:r>
        <w:rPr>
          <w:rFonts w:asciiTheme="minorHAnsi" w:hAnsiTheme="minorHAnsi" w:cstheme="minorHAnsi"/>
        </w:rPr>
        <w:tab/>
      </w:r>
      <w:r w:rsidR="0023064A" w:rsidRPr="0023064A">
        <w:rPr>
          <w:rFonts w:asciiTheme="minorHAnsi" w:hAnsiTheme="minorHAnsi" w:cstheme="minorHAnsi"/>
        </w:rPr>
        <w:t xml:space="preserve">detailed information about preparing the reagents for use, refer to Appendix C, Handling </w:t>
      </w:r>
      <w:r w:rsidR="0023064A" w:rsidRPr="0023064A">
        <w:rPr>
          <w:rFonts w:asciiTheme="minorHAnsi" w:hAnsiTheme="minorHAnsi" w:cstheme="minorHAnsi"/>
        </w:rPr>
        <w:tab/>
        <w:t xml:space="preserve">Reagents, in the ADVIA Centaur Assay Manual.  </w:t>
      </w:r>
    </w:p>
    <w:p w14:paraId="242FC19A" w14:textId="77777777" w:rsidR="004428C9" w:rsidRPr="0023064A" w:rsidRDefault="004428C9" w:rsidP="0023064A">
      <w:pPr>
        <w:spacing w:after="0"/>
        <w:rPr>
          <w:rFonts w:asciiTheme="minorHAnsi" w:hAnsiTheme="minorHAnsi" w:cstheme="minorHAnsi"/>
        </w:rPr>
      </w:pPr>
    </w:p>
    <w:p w14:paraId="0FB6AC45" w14:textId="2EA693AD" w:rsidR="0026140C" w:rsidRDefault="004428C9" w:rsidP="0023064A">
      <w:pPr>
        <w:spacing w:after="0"/>
        <w:rPr>
          <w:rFonts w:asciiTheme="minorHAnsi" w:hAnsiTheme="minorHAnsi" w:cstheme="minorHAnsi"/>
        </w:rPr>
      </w:pPr>
      <w:r>
        <w:rPr>
          <w:rFonts w:asciiTheme="minorHAnsi" w:hAnsiTheme="minorHAnsi" w:cstheme="minorHAnsi"/>
        </w:rPr>
        <w:t>c.</w:t>
      </w:r>
      <w:r>
        <w:rPr>
          <w:rFonts w:asciiTheme="minorHAnsi" w:hAnsiTheme="minorHAnsi" w:cstheme="minorHAnsi"/>
        </w:rPr>
        <w:tab/>
      </w:r>
      <w:r w:rsidR="0023064A" w:rsidRPr="0023064A">
        <w:rPr>
          <w:rFonts w:asciiTheme="minorHAnsi" w:hAnsiTheme="minorHAnsi" w:cstheme="minorHAnsi"/>
        </w:rPr>
        <w:t xml:space="preserve">Protect from sunlight.  Protect reagent packs from all light sources.  Reagent packs loaded on </w:t>
      </w:r>
      <w:r>
        <w:rPr>
          <w:rFonts w:asciiTheme="minorHAnsi" w:hAnsiTheme="minorHAnsi" w:cstheme="minorHAnsi"/>
        </w:rPr>
        <w:tab/>
      </w:r>
      <w:r w:rsidR="0023064A" w:rsidRPr="0023064A">
        <w:rPr>
          <w:rFonts w:asciiTheme="minorHAnsi" w:hAnsiTheme="minorHAnsi" w:cstheme="minorHAnsi"/>
        </w:rPr>
        <w:t>the system are protected from light.  Store unused reagent packs at 2-8</w:t>
      </w:r>
      <w:r w:rsidR="0023064A">
        <w:rPr>
          <w:rFonts w:asciiTheme="minorHAnsi" w:hAnsiTheme="minorHAnsi" w:cstheme="minorHAnsi"/>
        </w:rPr>
        <w:t>°</w:t>
      </w:r>
      <w:r w:rsidR="0023064A" w:rsidRPr="0023064A">
        <w:rPr>
          <w:rFonts w:asciiTheme="minorHAnsi" w:hAnsiTheme="minorHAnsi" w:cstheme="minorHAnsi"/>
        </w:rPr>
        <w:t>C away from light</w:t>
      </w:r>
      <w:r>
        <w:rPr>
          <w:rFonts w:asciiTheme="minorHAnsi" w:hAnsiTheme="minorHAnsi" w:cstheme="minorHAnsi"/>
        </w:rPr>
        <w:t>.</w:t>
      </w:r>
    </w:p>
    <w:p w14:paraId="7211C45A" w14:textId="77777777" w:rsidR="004428C9" w:rsidRDefault="004428C9" w:rsidP="0023064A">
      <w:pPr>
        <w:spacing w:after="0"/>
        <w:rPr>
          <w:rFonts w:asciiTheme="minorHAnsi" w:hAnsiTheme="minorHAnsi" w:cstheme="minorHAnsi"/>
        </w:rPr>
      </w:pPr>
    </w:p>
    <w:p w14:paraId="477C2BBD" w14:textId="77777777" w:rsidR="004428C9" w:rsidRDefault="004428C9" w:rsidP="0023064A">
      <w:pPr>
        <w:spacing w:after="0"/>
        <w:rPr>
          <w:rFonts w:asciiTheme="minorHAnsi" w:hAnsiTheme="minorHAnsi" w:cstheme="minorHAnsi"/>
        </w:rPr>
      </w:pPr>
    </w:p>
    <w:p w14:paraId="01F41A49" w14:textId="77777777" w:rsidR="0023064A" w:rsidRDefault="0023064A" w:rsidP="00EE6E73">
      <w:pPr>
        <w:spacing w:after="0"/>
        <w:rPr>
          <w:rFonts w:asciiTheme="minorHAnsi" w:hAnsiTheme="minorHAnsi" w:cstheme="minorHAnsi"/>
        </w:rPr>
      </w:pPr>
    </w:p>
    <w:p w14:paraId="4401A2EB" w14:textId="77777777" w:rsidR="00BA5B41" w:rsidRDefault="00BA5B41" w:rsidP="00EE6E73">
      <w:pPr>
        <w:spacing w:after="0"/>
        <w:rPr>
          <w:rFonts w:asciiTheme="minorHAnsi" w:hAnsiTheme="minorHAnsi" w:cstheme="minorHAnsi"/>
        </w:rPr>
      </w:pPr>
    </w:p>
    <w:tbl>
      <w:tblPr>
        <w:tblpPr w:leftFromText="180" w:rightFromText="180" w:vertAnchor="text" w:horzAnchor="margin" w:tblpXSpec="center" w:tblpY="157"/>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4"/>
        <w:gridCol w:w="1228"/>
        <w:gridCol w:w="1086"/>
        <w:gridCol w:w="2349"/>
        <w:gridCol w:w="881"/>
        <w:gridCol w:w="2556"/>
      </w:tblGrid>
      <w:tr w:rsidR="0023064A" w:rsidRPr="0023064A" w14:paraId="4DF41A8B" w14:textId="77777777" w:rsidTr="004428C9">
        <w:trPr>
          <w:cantSplit/>
          <w:trHeight w:val="271"/>
          <w:tblHeader/>
        </w:trPr>
        <w:tc>
          <w:tcPr>
            <w:tcW w:w="1674" w:type="dxa"/>
          </w:tcPr>
          <w:p w14:paraId="36E4232A" w14:textId="77777777" w:rsidR="0023064A" w:rsidRPr="0023064A" w:rsidRDefault="0023064A" w:rsidP="0023064A">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jc w:val="center"/>
              <w:rPr>
                <w:rFonts w:asciiTheme="minorHAnsi" w:hAnsiTheme="minorHAnsi" w:cstheme="minorHAnsi"/>
                <w:b/>
                <w:sz w:val="20"/>
                <w:szCs w:val="20"/>
              </w:rPr>
            </w:pPr>
            <w:r w:rsidRPr="0023064A">
              <w:rPr>
                <w:rFonts w:asciiTheme="minorHAnsi" w:hAnsiTheme="minorHAnsi" w:cstheme="minorHAnsi"/>
                <w:b/>
                <w:sz w:val="20"/>
                <w:szCs w:val="20"/>
              </w:rPr>
              <w:lastRenderedPageBreak/>
              <w:t>Reagent Pack</w:t>
            </w:r>
          </w:p>
        </w:tc>
        <w:tc>
          <w:tcPr>
            <w:tcW w:w="1228" w:type="dxa"/>
          </w:tcPr>
          <w:p w14:paraId="6925CBC3" w14:textId="77777777" w:rsidR="0023064A" w:rsidRPr="0023064A" w:rsidRDefault="0023064A" w:rsidP="0023064A">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jc w:val="center"/>
              <w:rPr>
                <w:rFonts w:asciiTheme="minorHAnsi" w:hAnsiTheme="minorHAnsi" w:cstheme="minorHAnsi"/>
                <w:b/>
                <w:sz w:val="20"/>
                <w:szCs w:val="20"/>
              </w:rPr>
            </w:pPr>
            <w:r w:rsidRPr="0023064A">
              <w:rPr>
                <w:rFonts w:asciiTheme="minorHAnsi" w:hAnsiTheme="minorHAnsi" w:cstheme="minorHAnsi"/>
                <w:b/>
                <w:sz w:val="20"/>
                <w:szCs w:val="20"/>
              </w:rPr>
              <w:t>Reagent</w:t>
            </w:r>
          </w:p>
        </w:tc>
        <w:tc>
          <w:tcPr>
            <w:tcW w:w="1086" w:type="dxa"/>
          </w:tcPr>
          <w:p w14:paraId="6A06D8F2" w14:textId="77777777" w:rsidR="0023064A" w:rsidRPr="0023064A" w:rsidRDefault="0023064A" w:rsidP="0023064A">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jc w:val="center"/>
              <w:rPr>
                <w:rFonts w:asciiTheme="minorHAnsi" w:hAnsiTheme="minorHAnsi" w:cstheme="minorHAnsi"/>
                <w:b/>
                <w:sz w:val="20"/>
                <w:szCs w:val="20"/>
              </w:rPr>
            </w:pPr>
            <w:r w:rsidRPr="0023064A">
              <w:rPr>
                <w:rFonts w:asciiTheme="minorHAnsi" w:hAnsiTheme="minorHAnsi" w:cstheme="minorHAnsi"/>
                <w:b/>
                <w:sz w:val="20"/>
                <w:szCs w:val="20"/>
              </w:rPr>
              <w:t>Volume</w:t>
            </w:r>
          </w:p>
        </w:tc>
        <w:tc>
          <w:tcPr>
            <w:tcW w:w="2349" w:type="dxa"/>
          </w:tcPr>
          <w:p w14:paraId="23BDA557" w14:textId="77777777" w:rsidR="0023064A" w:rsidRPr="0023064A" w:rsidRDefault="0023064A" w:rsidP="0023064A">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jc w:val="center"/>
              <w:rPr>
                <w:rFonts w:asciiTheme="minorHAnsi" w:hAnsiTheme="minorHAnsi" w:cstheme="minorHAnsi"/>
                <w:b/>
                <w:sz w:val="20"/>
                <w:szCs w:val="20"/>
              </w:rPr>
            </w:pPr>
            <w:r w:rsidRPr="0023064A">
              <w:rPr>
                <w:rFonts w:asciiTheme="minorHAnsi" w:hAnsiTheme="minorHAnsi" w:cstheme="minorHAnsi"/>
                <w:b/>
                <w:sz w:val="20"/>
                <w:szCs w:val="20"/>
              </w:rPr>
              <w:t>Ingredients</w:t>
            </w:r>
          </w:p>
        </w:tc>
        <w:tc>
          <w:tcPr>
            <w:tcW w:w="881" w:type="dxa"/>
          </w:tcPr>
          <w:p w14:paraId="3D7CC3E3" w14:textId="77777777" w:rsidR="0023064A" w:rsidRPr="0023064A" w:rsidRDefault="0023064A" w:rsidP="0023064A">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jc w:val="center"/>
              <w:rPr>
                <w:rFonts w:asciiTheme="minorHAnsi" w:hAnsiTheme="minorHAnsi" w:cstheme="minorHAnsi"/>
                <w:b/>
                <w:sz w:val="20"/>
                <w:szCs w:val="20"/>
              </w:rPr>
            </w:pPr>
            <w:r w:rsidRPr="0023064A">
              <w:rPr>
                <w:rFonts w:asciiTheme="minorHAnsi" w:hAnsiTheme="minorHAnsi" w:cstheme="minorHAnsi"/>
                <w:b/>
                <w:sz w:val="20"/>
                <w:szCs w:val="20"/>
              </w:rPr>
              <w:t>Storage</w:t>
            </w:r>
          </w:p>
        </w:tc>
        <w:tc>
          <w:tcPr>
            <w:tcW w:w="2556" w:type="dxa"/>
          </w:tcPr>
          <w:p w14:paraId="7673A7AA" w14:textId="77777777" w:rsidR="0023064A" w:rsidRPr="0023064A" w:rsidRDefault="0023064A" w:rsidP="0023064A">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jc w:val="center"/>
              <w:rPr>
                <w:rFonts w:asciiTheme="minorHAnsi" w:hAnsiTheme="minorHAnsi" w:cstheme="minorHAnsi"/>
                <w:b/>
                <w:sz w:val="20"/>
                <w:szCs w:val="20"/>
              </w:rPr>
            </w:pPr>
            <w:r w:rsidRPr="0023064A">
              <w:rPr>
                <w:rFonts w:asciiTheme="minorHAnsi" w:hAnsiTheme="minorHAnsi" w:cstheme="minorHAnsi"/>
                <w:b/>
                <w:sz w:val="20"/>
                <w:szCs w:val="20"/>
              </w:rPr>
              <w:t>Stability</w:t>
            </w:r>
          </w:p>
        </w:tc>
      </w:tr>
      <w:tr w:rsidR="0023064A" w:rsidRPr="0023064A" w14:paraId="073A6496" w14:textId="77777777" w:rsidTr="00BA5B41">
        <w:trPr>
          <w:cantSplit/>
          <w:trHeight w:val="2243"/>
        </w:trPr>
        <w:tc>
          <w:tcPr>
            <w:tcW w:w="1674" w:type="dxa"/>
          </w:tcPr>
          <w:p w14:paraId="193480C1" w14:textId="18DD25A5" w:rsidR="0023064A" w:rsidRPr="0023064A" w:rsidRDefault="0023064A" w:rsidP="0023064A">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sz w:val="20"/>
                <w:szCs w:val="20"/>
              </w:rPr>
            </w:pPr>
            <w:r w:rsidRPr="0023064A">
              <w:rPr>
                <w:rFonts w:asciiTheme="minorHAnsi" w:hAnsiTheme="minorHAnsi" w:cstheme="minorHAnsi"/>
                <w:sz w:val="20"/>
                <w:szCs w:val="20"/>
              </w:rPr>
              <w:t>ADVIA Centaur</w:t>
            </w:r>
            <w:r w:rsidR="00142A69">
              <w:rPr>
                <w:rFonts w:asciiTheme="minorHAnsi" w:hAnsiTheme="minorHAnsi" w:cstheme="minorHAnsi"/>
                <w:sz w:val="20"/>
                <w:szCs w:val="20"/>
              </w:rPr>
              <w:t xml:space="preserve"> </w:t>
            </w:r>
            <w:proofErr w:type="spellStart"/>
            <w:r w:rsidRPr="0023064A">
              <w:rPr>
                <w:rFonts w:asciiTheme="minorHAnsi" w:hAnsiTheme="minorHAnsi" w:cstheme="minorHAnsi"/>
                <w:sz w:val="20"/>
                <w:szCs w:val="20"/>
              </w:rPr>
              <w:t>HBsAg</w:t>
            </w:r>
            <w:r w:rsidR="00ED6F8B">
              <w:rPr>
                <w:rFonts w:asciiTheme="minorHAnsi" w:hAnsiTheme="minorHAnsi" w:cstheme="minorHAnsi"/>
                <w:sz w:val="20"/>
                <w:szCs w:val="20"/>
              </w:rPr>
              <w:t>II</w:t>
            </w:r>
            <w:proofErr w:type="spellEnd"/>
            <w:r w:rsidR="00142A69">
              <w:rPr>
                <w:rFonts w:asciiTheme="minorHAnsi" w:hAnsiTheme="minorHAnsi" w:cstheme="minorHAnsi"/>
                <w:sz w:val="20"/>
                <w:szCs w:val="20"/>
              </w:rPr>
              <w:t xml:space="preserve"> </w:t>
            </w:r>
            <w:r w:rsidRPr="0023064A">
              <w:rPr>
                <w:rFonts w:asciiTheme="minorHAnsi" w:hAnsiTheme="minorHAnsi" w:cstheme="minorHAnsi"/>
                <w:sz w:val="20"/>
                <w:szCs w:val="20"/>
              </w:rPr>
              <w:t xml:space="preserve"> </w:t>
            </w:r>
            <w:proofErr w:type="spellStart"/>
            <w:r w:rsidRPr="0023064A">
              <w:rPr>
                <w:rFonts w:asciiTheme="minorHAnsi" w:hAnsiTheme="minorHAnsi" w:cstheme="minorHAnsi"/>
                <w:sz w:val="20"/>
                <w:szCs w:val="20"/>
              </w:rPr>
              <w:t>ReadyPack</w:t>
            </w:r>
            <w:proofErr w:type="spellEnd"/>
            <w:r w:rsidRPr="0023064A">
              <w:rPr>
                <w:rFonts w:asciiTheme="minorHAnsi" w:hAnsiTheme="minorHAnsi" w:cstheme="minorHAnsi"/>
                <w:sz w:val="20"/>
                <w:szCs w:val="20"/>
              </w:rPr>
              <w:t xml:space="preserve"> primary reagent pack</w:t>
            </w:r>
          </w:p>
          <w:p w14:paraId="0E3C2ECE" w14:textId="77777777" w:rsidR="0023064A" w:rsidRPr="0023064A" w:rsidRDefault="0023064A" w:rsidP="0023064A">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sz w:val="20"/>
                <w:szCs w:val="20"/>
              </w:rPr>
            </w:pPr>
          </w:p>
          <w:p w14:paraId="35DC3B46" w14:textId="77777777" w:rsidR="0023064A" w:rsidRPr="0023064A" w:rsidRDefault="0023064A" w:rsidP="0023064A">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sz w:val="20"/>
                <w:szCs w:val="20"/>
              </w:rPr>
            </w:pPr>
          </w:p>
          <w:p w14:paraId="5CDACD3C" w14:textId="77777777" w:rsidR="0023064A" w:rsidRPr="0023064A" w:rsidRDefault="0023064A" w:rsidP="0023064A">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sz w:val="20"/>
                <w:szCs w:val="20"/>
              </w:rPr>
            </w:pPr>
          </w:p>
          <w:p w14:paraId="51006AB6" w14:textId="77777777" w:rsidR="0023064A" w:rsidRPr="0023064A" w:rsidRDefault="0023064A" w:rsidP="0023064A">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sz w:val="20"/>
                <w:szCs w:val="20"/>
              </w:rPr>
            </w:pPr>
          </w:p>
        </w:tc>
        <w:tc>
          <w:tcPr>
            <w:tcW w:w="1228" w:type="dxa"/>
          </w:tcPr>
          <w:p w14:paraId="180AA1E2" w14:textId="77777777" w:rsidR="0023064A" w:rsidRPr="0023064A" w:rsidRDefault="0023064A" w:rsidP="0023064A">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sz w:val="20"/>
                <w:szCs w:val="20"/>
              </w:rPr>
            </w:pPr>
            <w:r w:rsidRPr="0023064A">
              <w:rPr>
                <w:rFonts w:asciiTheme="minorHAnsi" w:hAnsiTheme="minorHAnsi" w:cstheme="minorHAnsi"/>
                <w:sz w:val="20"/>
                <w:szCs w:val="20"/>
              </w:rPr>
              <w:t>Solid Phase</w:t>
            </w:r>
          </w:p>
        </w:tc>
        <w:tc>
          <w:tcPr>
            <w:tcW w:w="1086" w:type="dxa"/>
          </w:tcPr>
          <w:p w14:paraId="6AF125CE" w14:textId="77777777" w:rsidR="0023064A" w:rsidRPr="0023064A" w:rsidRDefault="0023064A" w:rsidP="0023064A">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sz w:val="20"/>
                <w:szCs w:val="20"/>
              </w:rPr>
            </w:pPr>
            <w:r w:rsidRPr="0023064A">
              <w:rPr>
                <w:rFonts w:asciiTheme="minorHAnsi" w:hAnsiTheme="minorHAnsi" w:cstheme="minorHAnsi"/>
                <w:sz w:val="20"/>
                <w:szCs w:val="20"/>
              </w:rPr>
              <w:t>21.0 mL/</w:t>
            </w:r>
            <w:r w:rsidRPr="0023064A">
              <w:rPr>
                <w:rFonts w:asciiTheme="minorHAnsi" w:hAnsiTheme="minorHAnsi" w:cstheme="minorHAnsi"/>
                <w:sz w:val="20"/>
                <w:szCs w:val="20"/>
              </w:rPr>
              <w:br/>
              <w:t>reagent</w:t>
            </w:r>
            <w:r w:rsidRPr="0023064A">
              <w:rPr>
                <w:rFonts w:asciiTheme="minorHAnsi" w:hAnsiTheme="minorHAnsi" w:cstheme="minorHAnsi"/>
                <w:sz w:val="20"/>
                <w:szCs w:val="20"/>
              </w:rPr>
              <w:br/>
              <w:t>pack</w:t>
            </w:r>
          </w:p>
        </w:tc>
        <w:tc>
          <w:tcPr>
            <w:tcW w:w="2349" w:type="dxa"/>
            <w:shd w:val="clear" w:color="auto" w:fill="auto"/>
          </w:tcPr>
          <w:p w14:paraId="40442D59" w14:textId="247658DC" w:rsidR="0023064A" w:rsidRPr="0023064A" w:rsidRDefault="0023064A" w:rsidP="0023064A">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sz w:val="20"/>
                <w:szCs w:val="20"/>
              </w:rPr>
            </w:pPr>
            <w:r w:rsidRPr="0023064A">
              <w:rPr>
                <w:rFonts w:asciiTheme="minorHAnsi" w:hAnsiTheme="minorHAnsi" w:cstheme="minorHAnsi"/>
                <w:sz w:val="20"/>
                <w:szCs w:val="20"/>
              </w:rPr>
              <w:t xml:space="preserve">Streptavidin-coated magnetic latex particles in buffer with bovine serum albumin, </w:t>
            </w:r>
            <w:r w:rsidR="00BA5B41">
              <w:rPr>
                <w:rFonts w:asciiTheme="minorHAnsi" w:hAnsiTheme="minorHAnsi" w:cstheme="minorHAnsi"/>
                <w:sz w:val="20"/>
                <w:szCs w:val="20"/>
              </w:rPr>
              <w:t xml:space="preserve">bovine gamma globulin, </w:t>
            </w:r>
            <w:r w:rsidRPr="0023064A">
              <w:rPr>
                <w:rFonts w:asciiTheme="minorHAnsi" w:hAnsiTheme="minorHAnsi" w:cstheme="minorHAnsi"/>
                <w:sz w:val="20"/>
                <w:szCs w:val="20"/>
              </w:rPr>
              <w:t xml:space="preserve">goat serum, surfactant, sodium azide </w:t>
            </w:r>
          </w:p>
          <w:p w14:paraId="32AB4359" w14:textId="21D76176" w:rsidR="0023064A" w:rsidRPr="0023064A" w:rsidRDefault="0023064A" w:rsidP="004428C9">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sz w:val="20"/>
                <w:szCs w:val="20"/>
              </w:rPr>
            </w:pPr>
            <w:r w:rsidRPr="0023064A">
              <w:rPr>
                <w:rFonts w:asciiTheme="minorHAnsi" w:hAnsiTheme="minorHAnsi" w:cstheme="minorHAnsi"/>
                <w:sz w:val="20"/>
                <w:szCs w:val="20"/>
              </w:rPr>
              <w:t>(&lt; 0.1%) and preservatives</w:t>
            </w:r>
          </w:p>
        </w:tc>
        <w:tc>
          <w:tcPr>
            <w:tcW w:w="881" w:type="dxa"/>
          </w:tcPr>
          <w:p w14:paraId="6F438DE9" w14:textId="697846EA" w:rsidR="0023064A" w:rsidRPr="0023064A" w:rsidRDefault="0023064A" w:rsidP="00142A69">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jc w:val="center"/>
              <w:rPr>
                <w:rFonts w:asciiTheme="minorHAnsi" w:hAnsiTheme="minorHAnsi" w:cstheme="minorHAnsi"/>
                <w:sz w:val="20"/>
                <w:szCs w:val="20"/>
              </w:rPr>
            </w:pPr>
            <w:r w:rsidRPr="0023064A">
              <w:rPr>
                <w:rFonts w:asciiTheme="minorHAnsi" w:hAnsiTheme="minorHAnsi" w:cstheme="minorHAnsi"/>
                <w:sz w:val="20"/>
                <w:szCs w:val="20"/>
              </w:rPr>
              <w:t>2-8</w:t>
            </w:r>
            <w:r w:rsidR="00142A69">
              <w:rPr>
                <w:rFonts w:asciiTheme="minorHAnsi" w:hAnsiTheme="minorHAnsi" w:cstheme="minorHAnsi"/>
                <w:sz w:val="20"/>
                <w:szCs w:val="20"/>
              </w:rPr>
              <w:t>°</w:t>
            </w:r>
            <w:r w:rsidRPr="0023064A">
              <w:rPr>
                <w:rFonts w:asciiTheme="minorHAnsi" w:hAnsiTheme="minorHAnsi" w:cstheme="minorHAnsi"/>
                <w:sz w:val="20"/>
                <w:szCs w:val="20"/>
              </w:rPr>
              <w:t>C</w:t>
            </w:r>
          </w:p>
        </w:tc>
        <w:tc>
          <w:tcPr>
            <w:tcW w:w="2556" w:type="dxa"/>
          </w:tcPr>
          <w:p w14:paraId="0DA82905" w14:textId="098042DA" w:rsidR="0023064A" w:rsidRPr="0023064A" w:rsidRDefault="0023064A" w:rsidP="00BA5B41">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sz w:val="20"/>
                <w:szCs w:val="20"/>
              </w:rPr>
            </w:pPr>
            <w:r w:rsidRPr="0023064A">
              <w:rPr>
                <w:rFonts w:asciiTheme="minorHAnsi" w:hAnsiTheme="minorHAnsi" w:cstheme="minorHAnsi"/>
                <w:sz w:val="20"/>
                <w:szCs w:val="20"/>
              </w:rPr>
              <w:t xml:space="preserve">Until the expiration date on the pack label. </w:t>
            </w:r>
            <w:r w:rsidR="00BA5B41">
              <w:rPr>
                <w:rFonts w:asciiTheme="minorHAnsi" w:hAnsiTheme="minorHAnsi" w:cstheme="minorHAnsi"/>
                <w:sz w:val="20"/>
                <w:szCs w:val="20"/>
              </w:rPr>
              <w:t>Onboard stability – 60 days.</w:t>
            </w:r>
          </w:p>
        </w:tc>
      </w:tr>
      <w:tr w:rsidR="00BA5B41" w:rsidRPr="0023064A" w14:paraId="72D876B5" w14:textId="77777777" w:rsidTr="00BA5B41">
        <w:trPr>
          <w:cantSplit/>
          <w:trHeight w:val="2600"/>
        </w:trPr>
        <w:tc>
          <w:tcPr>
            <w:tcW w:w="1674" w:type="dxa"/>
          </w:tcPr>
          <w:p w14:paraId="0DBEE934" w14:textId="7249338F" w:rsidR="00BA5B41" w:rsidRPr="0023064A" w:rsidRDefault="00BA5B41" w:rsidP="0023064A">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sz w:val="20"/>
                <w:szCs w:val="20"/>
              </w:rPr>
            </w:pPr>
            <w:r>
              <w:rPr>
                <w:rFonts w:asciiTheme="minorHAnsi" w:hAnsiTheme="minorHAnsi" w:cstheme="minorHAnsi"/>
                <w:sz w:val="20"/>
                <w:szCs w:val="20"/>
              </w:rPr>
              <w:t xml:space="preserve">ADVIA Centaur </w:t>
            </w:r>
            <w:proofErr w:type="spellStart"/>
            <w:r>
              <w:rPr>
                <w:rFonts w:asciiTheme="minorHAnsi" w:hAnsiTheme="minorHAnsi" w:cstheme="minorHAnsi"/>
                <w:sz w:val="20"/>
                <w:szCs w:val="20"/>
              </w:rPr>
              <w:t>HBsAgII</w:t>
            </w:r>
            <w:proofErr w:type="spellEnd"/>
            <w:r>
              <w:rPr>
                <w:rFonts w:asciiTheme="minorHAnsi" w:hAnsiTheme="minorHAnsi" w:cstheme="minorHAnsi"/>
                <w:sz w:val="20"/>
                <w:szCs w:val="20"/>
              </w:rPr>
              <w:t xml:space="preserve"> Ready Pack primary reagent pack</w:t>
            </w:r>
          </w:p>
        </w:tc>
        <w:tc>
          <w:tcPr>
            <w:tcW w:w="1228" w:type="dxa"/>
          </w:tcPr>
          <w:p w14:paraId="700527C9" w14:textId="7D4BE8B6" w:rsidR="00BA5B41" w:rsidRPr="0023064A" w:rsidRDefault="00BA5B41" w:rsidP="0023064A">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sz w:val="20"/>
                <w:szCs w:val="20"/>
              </w:rPr>
            </w:pPr>
            <w:r>
              <w:rPr>
                <w:rFonts w:asciiTheme="minorHAnsi" w:hAnsiTheme="minorHAnsi" w:cstheme="minorHAnsi"/>
                <w:sz w:val="20"/>
                <w:szCs w:val="20"/>
              </w:rPr>
              <w:t>Lite Reagent</w:t>
            </w:r>
          </w:p>
        </w:tc>
        <w:tc>
          <w:tcPr>
            <w:tcW w:w="1086" w:type="dxa"/>
          </w:tcPr>
          <w:p w14:paraId="10D43731" w14:textId="642B8062" w:rsidR="00BA5B41" w:rsidRPr="0023064A" w:rsidRDefault="00BA5B41" w:rsidP="0023064A">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sz w:val="20"/>
                <w:szCs w:val="20"/>
              </w:rPr>
            </w:pPr>
            <w:r>
              <w:rPr>
                <w:rFonts w:asciiTheme="minorHAnsi" w:hAnsiTheme="minorHAnsi" w:cstheme="minorHAnsi"/>
                <w:sz w:val="20"/>
                <w:szCs w:val="20"/>
              </w:rPr>
              <w:t>8.0 mL/ reagent pack</w:t>
            </w:r>
          </w:p>
        </w:tc>
        <w:tc>
          <w:tcPr>
            <w:tcW w:w="2349" w:type="dxa"/>
            <w:shd w:val="clear" w:color="auto" w:fill="auto"/>
          </w:tcPr>
          <w:p w14:paraId="38561F4E" w14:textId="3061ACBE" w:rsidR="00BA5B41" w:rsidRPr="0023064A" w:rsidRDefault="00BA5B41" w:rsidP="0023064A">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sz w:val="20"/>
                <w:szCs w:val="20"/>
              </w:rPr>
            </w:pPr>
            <w:proofErr w:type="spellStart"/>
            <w:r>
              <w:rPr>
                <w:rFonts w:asciiTheme="minorHAnsi" w:hAnsiTheme="minorHAnsi" w:cstheme="minorHAnsi"/>
                <w:sz w:val="20"/>
                <w:szCs w:val="20"/>
              </w:rPr>
              <w:t>Acridinium</w:t>
            </w:r>
            <w:proofErr w:type="spellEnd"/>
            <w:r>
              <w:rPr>
                <w:rFonts w:asciiTheme="minorHAnsi" w:hAnsiTheme="minorHAnsi" w:cstheme="minorHAnsi"/>
                <w:sz w:val="20"/>
                <w:szCs w:val="20"/>
              </w:rPr>
              <w:t xml:space="preserve"> ester-labeled monoclonal mouse anti-</w:t>
            </w:r>
            <w:proofErr w:type="spellStart"/>
            <w:r>
              <w:rPr>
                <w:rFonts w:asciiTheme="minorHAnsi" w:hAnsiTheme="minorHAnsi" w:cstheme="minorHAnsi"/>
                <w:sz w:val="20"/>
                <w:szCs w:val="20"/>
              </w:rPr>
              <w:t>HBsAg</w:t>
            </w:r>
            <w:proofErr w:type="spellEnd"/>
            <w:r>
              <w:rPr>
                <w:rFonts w:asciiTheme="minorHAnsi" w:hAnsiTheme="minorHAnsi" w:cstheme="minorHAnsi"/>
                <w:sz w:val="20"/>
                <w:szCs w:val="20"/>
              </w:rPr>
              <w:t xml:space="preserve"> ( ~6.0 </w:t>
            </w:r>
            <w:proofErr w:type="spellStart"/>
            <w:r>
              <w:rPr>
                <w:rFonts w:asciiTheme="minorHAnsi" w:hAnsiTheme="minorHAnsi" w:cstheme="minorHAnsi"/>
                <w:sz w:val="20"/>
                <w:szCs w:val="20"/>
              </w:rPr>
              <w:t>ug</w:t>
            </w:r>
            <w:proofErr w:type="spellEnd"/>
            <w:r>
              <w:rPr>
                <w:rFonts w:asciiTheme="minorHAnsi" w:hAnsiTheme="minorHAnsi" w:cstheme="minorHAnsi"/>
                <w:sz w:val="20"/>
                <w:szCs w:val="20"/>
              </w:rPr>
              <w:t xml:space="preserve">/mL) in buffer with bovine serum, albumin, bovine gamma globulin, goat serum, mouse IgG, surfactant, sodium </w:t>
            </w:r>
            <w:proofErr w:type="spellStart"/>
            <w:r>
              <w:rPr>
                <w:rFonts w:asciiTheme="minorHAnsi" w:hAnsiTheme="minorHAnsi" w:cstheme="minorHAnsi"/>
                <w:sz w:val="20"/>
                <w:szCs w:val="20"/>
              </w:rPr>
              <w:t>azide</w:t>
            </w:r>
            <w:proofErr w:type="spellEnd"/>
            <w:r>
              <w:rPr>
                <w:rFonts w:asciiTheme="minorHAnsi" w:hAnsiTheme="minorHAnsi" w:cstheme="minorHAnsi"/>
                <w:sz w:val="20"/>
                <w:szCs w:val="20"/>
              </w:rPr>
              <w:t xml:space="preserve"> (&lt;0.1%) and preservatives</w:t>
            </w:r>
          </w:p>
        </w:tc>
        <w:tc>
          <w:tcPr>
            <w:tcW w:w="881" w:type="dxa"/>
          </w:tcPr>
          <w:p w14:paraId="5AFBB845" w14:textId="7BA33FE4" w:rsidR="00BA5B41" w:rsidRPr="0023064A" w:rsidRDefault="00BA5B41" w:rsidP="00142A69">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jc w:val="center"/>
              <w:rPr>
                <w:rFonts w:asciiTheme="minorHAnsi" w:hAnsiTheme="minorHAnsi" w:cstheme="minorHAnsi"/>
                <w:sz w:val="20"/>
                <w:szCs w:val="20"/>
              </w:rPr>
            </w:pPr>
            <w:r>
              <w:rPr>
                <w:rFonts w:asciiTheme="minorHAnsi" w:hAnsiTheme="minorHAnsi" w:cstheme="minorHAnsi"/>
                <w:sz w:val="20"/>
                <w:szCs w:val="20"/>
              </w:rPr>
              <w:t>2-8C</w:t>
            </w:r>
          </w:p>
        </w:tc>
        <w:tc>
          <w:tcPr>
            <w:tcW w:w="2556" w:type="dxa"/>
          </w:tcPr>
          <w:p w14:paraId="05D90D1B" w14:textId="10CB1BE3" w:rsidR="00BA5B41" w:rsidRPr="0023064A" w:rsidRDefault="00BA5B41" w:rsidP="00BA5B41">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sz w:val="20"/>
                <w:szCs w:val="20"/>
              </w:rPr>
            </w:pPr>
            <w:r>
              <w:rPr>
                <w:rFonts w:asciiTheme="minorHAnsi" w:hAnsiTheme="minorHAnsi" w:cstheme="minorHAnsi"/>
                <w:sz w:val="20"/>
                <w:szCs w:val="20"/>
              </w:rPr>
              <w:t>Until the expiration date on the pack label.  Onboard stability – 60 days.</w:t>
            </w:r>
          </w:p>
        </w:tc>
      </w:tr>
      <w:tr w:rsidR="00142A69" w:rsidRPr="0023064A" w14:paraId="45905A69" w14:textId="77777777" w:rsidTr="00BA5B41">
        <w:trPr>
          <w:cantSplit/>
          <w:trHeight w:val="3683"/>
        </w:trPr>
        <w:tc>
          <w:tcPr>
            <w:tcW w:w="1674" w:type="dxa"/>
          </w:tcPr>
          <w:p w14:paraId="15ECC36D" w14:textId="36FED58D" w:rsidR="00142A69" w:rsidRPr="0023064A" w:rsidRDefault="00142A69" w:rsidP="00142A69">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sz w:val="20"/>
                <w:szCs w:val="20"/>
              </w:rPr>
            </w:pPr>
            <w:r w:rsidRPr="0023064A">
              <w:rPr>
                <w:rFonts w:asciiTheme="minorHAnsi" w:hAnsiTheme="minorHAnsi" w:cstheme="minorHAnsi"/>
                <w:sz w:val="20"/>
                <w:szCs w:val="20"/>
              </w:rPr>
              <w:t xml:space="preserve">ADVIA Centaur </w:t>
            </w:r>
            <w:proofErr w:type="spellStart"/>
            <w:r w:rsidRPr="0023064A">
              <w:rPr>
                <w:rFonts w:asciiTheme="minorHAnsi" w:hAnsiTheme="minorHAnsi" w:cstheme="minorHAnsi"/>
                <w:sz w:val="20"/>
                <w:szCs w:val="20"/>
              </w:rPr>
              <w:t>HBsAg</w:t>
            </w:r>
            <w:r w:rsidR="00BA5B41">
              <w:rPr>
                <w:rFonts w:asciiTheme="minorHAnsi" w:hAnsiTheme="minorHAnsi" w:cstheme="minorHAnsi"/>
                <w:sz w:val="20"/>
                <w:szCs w:val="20"/>
              </w:rPr>
              <w:t>II</w:t>
            </w:r>
            <w:proofErr w:type="spellEnd"/>
            <w:r w:rsidRPr="0023064A">
              <w:rPr>
                <w:rFonts w:asciiTheme="minorHAnsi" w:hAnsiTheme="minorHAnsi" w:cstheme="minorHAnsi"/>
                <w:sz w:val="20"/>
                <w:szCs w:val="20"/>
              </w:rPr>
              <w:t xml:space="preserve">  </w:t>
            </w:r>
          </w:p>
          <w:p w14:paraId="3711FC52" w14:textId="77777777" w:rsidR="00142A69" w:rsidRPr="0023064A" w:rsidRDefault="00142A69" w:rsidP="00142A69">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sz w:val="20"/>
                <w:szCs w:val="20"/>
              </w:rPr>
            </w:pPr>
            <w:proofErr w:type="spellStart"/>
            <w:r w:rsidRPr="0023064A">
              <w:rPr>
                <w:rFonts w:asciiTheme="minorHAnsi" w:hAnsiTheme="minorHAnsi" w:cstheme="minorHAnsi"/>
                <w:sz w:val="20"/>
                <w:szCs w:val="20"/>
              </w:rPr>
              <w:t>ReadyPack</w:t>
            </w:r>
            <w:proofErr w:type="spellEnd"/>
          </w:p>
          <w:p w14:paraId="4809B9D1" w14:textId="77777777" w:rsidR="00142A69" w:rsidRPr="0023064A" w:rsidRDefault="00142A69" w:rsidP="00142A69">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sz w:val="20"/>
                <w:szCs w:val="20"/>
              </w:rPr>
            </w:pPr>
            <w:r w:rsidRPr="0023064A">
              <w:rPr>
                <w:rFonts w:asciiTheme="minorHAnsi" w:hAnsiTheme="minorHAnsi" w:cstheme="minorHAnsi"/>
                <w:sz w:val="20"/>
                <w:szCs w:val="20"/>
              </w:rPr>
              <w:t xml:space="preserve">Ancillary </w:t>
            </w:r>
          </w:p>
          <w:p w14:paraId="382A7393" w14:textId="6BE702AC" w:rsidR="00142A69" w:rsidRPr="0023064A" w:rsidRDefault="00142A69" w:rsidP="00142A69">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sz w:val="20"/>
                <w:szCs w:val="20"/>
              </w:rPr>
            </w:pPr>
            <w:r w:rsidRPr="0023064A">
              <w:rPr>
                <w:rFonts w:asciiTheme="minorHAnsi" w:hAnsiTheme="minorHAnsi" w:cstheme="minorHAnsi"/>
                <w:sz w:val="20"/>
                <w:szCs w:val="20"/>
              </w:rPr>
              <w:t>Reagent</w:t>
            </w:r>
            <w:r w:rsidR="006413B4">
              <w:rPr>
                <w:rFonts w:asciiTheme="minorHAnsi" w:hAnsiTheme="minorHAnsi" w:cstheme="minorHAnsi"/>
                <w:sz w:val="20"/>
                <w:szCs w:val="20"/>
              </w:rPr>
              <w:t xml:space="preserve"> </w:t>
            </w:r>
            <w:r w:rsidRPr="0023064A">
              <w:rPr>
                <w:rFonts w:asciiTheme="minorHAnsi" w:hAnsiTheme="minorHAnsi" w:cstheme="minorHAnsi"/>
                <w:sz w:val="20"/>
                <w:szCs w:val="20"/>
              </w:rPr>
              <w:t>pack</w:t>
            </w:r>
          </w:p>
          <w:p w14:paraId="4FA0906A" w14:textId="4AD8DDFF" w:rsidR="00142A69" w:rsidRPr="0023064A" w:rsidRDefault="00142A69" w:rsidP="00142A69">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sz w:val="20"/>
                <w:szCs w:val="20"/>
              </w:rPr>
            </w:pPr>
          </w:p>
        </w:tc>
        <w:tc>
          <w:tcPr>
            <w:tcW w:w="1228" w:type="dxa"/>
          </w:tcPr>
          <w:p w14:paraId="5DD10D52" w14:textId="29FA45D8" w:rsidR="00142A69" w:rsidRPr="0023064A" w:rsidRDefault="00BA5B41" w:rsidP="00142A69">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sz w:val="20"/>
                <w:szCs w:val="20"/>
              </w:rPr>
            </w:pPr>
            <w:r>
              <w:rPr>
                <w:rFonts w:asciiTheme="minorHAnsi" w:hAnsiTheme="minorHAnsi" w:cstheme="minorHAnsi"/>
                <w:sz w:val="20"/>
                <w:szCs w:val="20"/>
              </w:rPr>
              <w:t>Ancillary</w:t>
            </w:r>
            <w:r w:rsidR="00142A69" w:rsidRPr="0023064A">
              <w:rPr>
                <w:rFonts w:asciiTheme="minorHAnsi" w:hAnsiTheme="minorHAnsi" w:cstheme="minorHAnsi"/>
                <w:sz w:val="20"/>
                <w:szCs w:val="20"/>
              </w:rPr>
              <w:br/>
              <w:t>Reagent</w:t>
            </w:r>
          </w:p>
        </w:tc>
        <w:tc>
          <w:tcPr>
            <w:tcW w:w="1086" w:type="dxa"/>
          </w:tcPr>
          <w:p w14:paraId="37F8E253" w14:textId="666C8BB0" w:rsidR="00142A69" w:rsidRPr="0023064A" w:rsidRDefault="00BA5B41" w:rsidP="00142A69">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sz w:val="20"/>
                <w:szCs w:val="20"/>
              </w:rPr>
            </w:pPr>
            <w:r>
              <w:rPr>
                <w:rFonts w:asciiTheme="minorHAnsi" w:hAnsiTheme="minorHAnsi" w:cstheme="minorHAnsi"/>
                <w:sz w:val="20"/>
                <w:szCs w:val="20"/>
              </w:rPr>
              <w:t>25</w:t>
            </w:r>
            <w:r w:rsidR="00142A69" w:rsidRPr="0023064A">
              <w:rPr>
                <w:rFonts w:asciiTheme="minorHAnsi" w:hAnsiTheme="minorHAnsi" w:cstheme="minorHAnsi"/>
                <w:sz w:val="20"/>
                <w:szCs w:val="20"/>
              </w:rPr>
              <w:t>.0 mL/</w:t>
            </w:r>
            <w:r w:rsidR="00142A69" w:rsidRPr="0023064A">
              <w:rPr>
                <w:rFonts w:asciiTheme="minorHAnsi" w:hAnsiTheme="minorHAnsi" w:cstheme="minorHAnsi"/>
                <w:sz w:val="20"/>
                <w:szCs w:val="20"/>
              </w:rPr>
              <w:br/>
              <w:t>reagent</w:t>
            </w:r>
            <w:r w:rsidR="00142A69" w:rsidRPr="0023064A">
              <w:rPr>
                <w:rFonts w:asciiTheme="minorHAnsi" w:hAnsiTheme="minorHAnsi" w:cstheme="minorHAnsi"/>
                <w:sz w:val="20"/>
                <w:szCs w:val="20"/>
              </w:rPr>
              <w:br/>
              <w:t>pack</w:t>
            </w:r>
          </w:p>
        </w:tc>
        <w:tc>
          <w:tcPr>
            <w:tcW w:w="2349" w:type="dxa"/>
            <w:shd w:val="clear" w:color="auto" w:fill="auto"/>
          </w:tcPr>
          <w:p w14:paraId="012313FB" w14:textId="701245EF" w:rsidR="00142A69" w:rsidRPr="0023064A" w:rsidRDefault="00142A69" w:rsidP="00BA5B41">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sz w:val="20"/>
                <w:szCs w:val="20"/>
              </w:rPr>
            </w:pPr>
            <w:r w:rsidRPr="0023064A">
              <w:rPr>
                <w:rFonts w:asciiTheme="minorHAnsi" w:hAnsiTheme="minorHAnsi" w:cstheme="minorHAnsi"/>
                <w:sz w:val="20"/>
                <w:szCs w:val="20"/>
              </w:rPr>
              <w:t>Biotinylated monoclonal mouse anti-</w:t>
            </w:r>
            <w:proofErr w:type="spellStart"/>
            <w:r w:rsidRPr="0023064A">
              <w:rPr>
                <w:rFonts w:asciiTheme="minorHAnsi" w:hAnsiTheme="minorHAnsi" w:cstheme="minorHAnsi"/>
                <w:sz w:val="20"/>
                <w:szCs w:val="20"/>
              </w:rPr>
              <w:t>HBsAg</w:t>
            </w:r>
            <w:proofErr w:type="spellEnd"/>
            <w:r w:rsidRPr="0023064A">
              <w:rPr>
                <w:rFonts w:asciiTheme="minorHAnsi" w:hAnsiTheme="minorHAnsi" w:cstheme="minorHAnsi"/>
                <w:sz w:val="20"/>
                <w:szCs w:val="20"/>
              </w:rPr>
              <w:t xml:space="preserve"> antibody  (~ </w:t>
            </w:r>
            <w:r w:rsidR="00BA5B41">
              <w:rPr>
                <w:rFonts w:asciiTheme="minorHAnsi" w:hAnsiTheme="minorHAnsi" w:cstheme="minorHAnsi"/>
                <w:sz w:val="20"/>
                <w:szCs w:val="20"/>
              </w:rPr>
              <w:t>2</w:t>
            </w:r>
            <w:r w:rsidRPr="0023064A">
              <w:rPr>
                <w:rFonts w:asciiTheme="minorHAnsi" w:hAnsiTheme="minorHAnsi" w:cstheme="minorHAnsi"/>
                <w:sz w:val="20"/>
                <w:szCs w:val="20"/>
              </w:rPr>
              <w:t>.0 µg/mL) and acridinium ester-labeled monoclonal mouse anti-</w:t>
            </w:r>
            <w:proofErr w:type="spellStart"/>
            <w:r w:rsidR="00BA5B41">
              <w:rPr>
                <w:rFonts w:asciiTheme="minorHAnsi" w:hAnsiTheme="minorHAnsi" w:cstheme="minorHAnsi"/>
                <w:sz w:val="20"/>
                <w:szCs w:val="20"/>
              </w:rPr>
              <w:t>HBsAg</w:t>
            </w:r>
            <w:proofErr w:type="spellEnd"/>
            <w:r w:rsidR="00BA5B41">
              <w:rPr>
                <w:rFonts w:asciiTheme="minorHAnsi" w:hAnsiTheme="minorHAnsi" w:cstheme="minorHAnsi"/>
                <w:sz w:val="20"/>
                <w:szCs w:val="20"/>
              </w:rPr>
              <w:t xml:space="preserve"> (~ 0.3</w:t>
            </w:r>
            <w:r w:rsidRPr="0023064A">
              <w:rPr>
                <w:rFonts w:asciiTheme="minorHAnsi" w:hAnsiTheme="minorHAnsi" w:cstheme="minorHAnsi"/>
                <w:sz w:val="20"/>
                <w:szCs w:val="20"/>
              </w:rPr>
              <w:t xml:space="preserve"> µg/mL) in buffer with bovine serum albumin, bovine gamma globulin, goat serum, mouse IgG, surfactant, sodium </w:t>
            </w:r>
            <w:proofErr w:type="spellStart"/>
            <w:r w:rsidRPr="0023064A">
              <w:rPr>
                <w:rFonts w:asciiTheme="minorHAnsi" w:hAnsiTheme="minorHAnsi" w:cstheme="minorHAnsi"/>
                <w:sz w:val="20"/>
                <w:szCs w:val="20"/>
              </w:rPr>
              <w:t>azide</w:t>
            </w:r>
            <w:proofErr w:type="spellEnd"/>
            <w:r w:rsidRPr="0023064A">
              <w:rPr>
                <w:rFonts w:asciiTheme="minorHAnsi" w:hAnsiTheme="minorHAnsi" w:cstheme="minorHAnsi"/>
                <w:sz w:val="20"/>
                <w:szCs w:val="20"/>
              </w:rPr>
              <w:t xml:space="preserve">  (&lt; 0.1%) and preservatives </w:t>
            </w:r>
          </w:p>
        </w:tc>
        <w:tc>
          <w:tcPr>
            <w:tcW w:w="881" w:type="dxa"/>
          </w:tcPr>
          <w:p w14:paraId="39C22228" w14:textId="0B5E4A32" w:rsidR="00142A69" w:rsidRPr="0023064A" w:rsidRDefault="00142A69" w:rsidP="00142A69">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jc w:val="center"/>
              <w:rPr>
                <w:rFonts w:asciiTheme="minorHAnsi" w:hAnsiTheme="minorHAnsi" w:cstheme="minorHAnsi"/>
                <w:sz w:val="20"/>
                <w:szCs w:val="20"/>
              </w:rPr>
            </w:pPr>
            <w:r w:rsidRPr="0023064A">
              <w:rPr>
                <w:rFonts w:asciiTheme="minorHAnsi" w:hAnsiTheme="minorHAnsi" w:cstheme="minorHAnsi"/>
                <w:sz w:val="20"/>
                <w:szCs w:val="20"/>
              </w:rPr>
              <w:t>2-8</w:t>
            </w:r>
            <w:r>
              <w:rPr>
                <w:rFonts w:asciiTheme="minorHAnsi" w:hAnsiTheme="minorHAnsi" w:cstheme="minorHAnsi"/>
                <w:sz w:val="20"/>
                <w:szCs w:val="20"/>
              </w:rPr>
              <w:t>°</w:t>
            </w:r>
            <w:r w:rsidRPr="0023064A">
              <w:rPr>
                <w:rFonts w:asciiTheme="minorHAnsi" w:hAnsiTheme="minorHAnsi" w:cstheme="minorHAnsi"/>
                <w:sz w:val="20"/>
                <w:szCs w:val="20"/>
              </w:rPr>
              <w:t>C</w:t>
            </w:r>
          </w:p>
        </w:tc>
        <w:tc>
          <w:tcPr>
            <w:tcW w:w="2556" w:type="dxa"/>
          </w:tcPr>
          <w:p w14:paraId="67A5252F" w14:textId="1FDD474B" w:rsidR="00142A69" w:rsidRPr="0023064A" w:rsidRDefault="00142A69" w:rsidP="00BA5B41">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i/>
                <w:sz w:val="20"/>
                <w:szCs w:val="20"/>
              </w:rPr>
            </w:pPr>
            <w:r w:rsidRPr="0023064A">
              <w:rPr>
                <w:rFonts w:asciiTheme="minorHAnsi" w:hAnsiTheme="minorHAnsi" w:cstheme="minorHAnsi"/>
                <w:sz w:val="20"/>
                <w:szCs w:val="20"/>
              </w:rPr>
              <w:t xml:space="preserve">Until the expiration date on the pack label. </w:t>
            </w:r>
            <w:r w:rsidR="00BA5B41">
              <w:rPr>
                <w:rFonts w:asciiTheme="minorHAnsi" w:hAnsiTheme="minorHAnsi" w:cstheme="minorHAnsi"/>
                <w:sz w:val="20"/>
                <w:szCs w:val="20"/>
              </w:rPr>
              <w:t>Onboard stability – 60 days.</w:t>
            </w:r>
          </w:p>
        </w:tc>
      </w:tr>
      <w:tr w:rsidR="00142A69" w:rsidRPr="0023064A" w14:paraId="523EC876" w14:textId="77777777" w:rsidTr="004428C9">
        <w:trPr>
          <w:cantSplit/>
          <w:trHeight w:val="271"/>
        </w:trPr>
        <w:tc>
          <w:tcPr>
            <w:tcW w:w="1674" w:type="dxa"/>
          </w:tcPr>
          <w:p w14:paraId="07AC950B" w14:textId="2E2CCA38" w:rsidR="00142A69" w:rsidRPr="0023064A" w:rsidRDefault="00142A69" w:rsidP="00142A69">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sz w:val="20"/>
                <w:szCs w:val="20"/>
              </w:rPr>
            </w:pPr>
            <w:proofErr w:type="spellStart"/>
            <w:r w:rsidRPr="0023064A">
              <w:rPr>
                <w:rFonts w:asciiTheme="minorHAnsi" w:hAnsiTheme="minorHAnsi" w:cstheme="minorHAnsi"/>
                <w:sz w:val="20"/>
                <w:szCs w:val="20"/>
              </w:rPr>
              <w:t>HBsAg</w:t>
            </w:r>
            <w:r w:rsidR="00BA5B41">
              <w:rPr>
                <w:rFonts w:asciiTheme="minorHAnsi" w:hAnsiTheme="minorHAnsi" w:cstheme="minorHAnsi"/>
                <w:sz w:val="20"/>
                <w:szCs w:val="20"/>
              </w:rPr>
              <w:t>II</w:t>
            </w:r>
            <w:proofErr w:type="spellEnd"/>
            <w:r w:rsidRPr="0023064A">
              <w:rPr>
                <w:rFonts w:asciiTheme="minorHAnsi" w:hAnsiTheme="minorHAnsi" w:cstheme="minorHAnsi"/>
                <w:sz w:val="20"/>
                <w:szCs w:val="20"/>
              </w:rPr>
              <w:t xml:space="preserve"> Calibrator vials</w:t>
            </w:r>
          </w:p>
        </w:tc>
        <w:tc>
          <w:tcPr>
            <w:tcW w:w="1228" w:type="dxa"/>
          </w:tcPr>
          <w:p w14:paraId="02DE8557" w14:textId="77777777" w:rsidR="00142A69" w:rsidRPr="0023064A" w:rsidRDefault="00142A69" w:rsidP="00142A69">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sz w:val="20"/>
                <w:szCs w:val="20"/>
              </w:rPr>
            </w:pPr>
            <w:r w:rsidRPr="0023064A">
              <w:rPr>
                <w:rFonts w:asciiTheme="minorHAnsi" w:hAnsiTheme="minorHAnsi" w:cstheme="minorHAnsi"/>
                <w:sz w:val="20"/>
                <w:szCs w:val="20"/>
              </w:rPr>
              <w:t>Calibrators</w:t>
            </w:r>
          </w:p>
        </w:tc>
        <w:tc>
          <w:tcPr>
            <w:tcW w:w="1086" w:type="dxa"/>
          </w:tcPr>
          <w:p w14:paraId="2DAE12E1" w14:textId="1E917C2D" w:rsidR="00142A69" w:rsidRPr="0023064A" w:rsidRDefault="00BA5B41" w:rsidP="00142A69">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sz w:val="20"/>
                <w:szCs w:val="20"/>
              </w:rPr>
            </w:pPr>
            <w:r>
              <w:rPr>
                <w:rFonts w:asciiTheme="minorHAnsi" w:hAnsiTheme="minorHAnsi" w:cstheme="minorHAnsi"/>
                <w:sz w:val="20"/>
                <w:szCs w:val="20"/>
              </w:rPr>
              <w:t>2.5</w:t>
            </w:r>
            <w:r w:rsidR="00142A69" w:rsidRPr="0023064A">
              <w:rPr>
                <w:rFonts w:asciiTheme="minorHAnsi" w:hAnsiTheme="minorHAnsi" w:cstheme="minorHAnsi"/>
                <w:sz w:val="20"/>
                <w:szCs w:val="20"/>
              </w:rPr>
              <w:t xml:space="preserve"> mL/</w:t>
            </w:r>
            <w:r w:rsidR="00142A69" w:rsidRPr="0023064A">
              <w:rPr>
                <w:rFonts w:asciiTheme="minorHAnsi" w:hAnsiTheme="minorHAnsi" w:cstheme="minorHAnsi"/>
                <w:sz w:val="20"/>
                <w:szCs w:val="20"/>
              </w:rPr>
              <w:br/>
              <w:t>vial</w:t>
            </w:r>
          </w:p>
        </w:tc>
        <w:tc>
          <w:tcPr>
            <w:tcW w:w="2349" w:type="dxa"/>
            <w:shd w:val="clear" w:color="auto" w:fill="auto"/>
          </w:tcPr>
          <w:p w14:paraId="0A170508" w14:textId="77777777" w:rsidR="00142A69" w:rsidRPr="0023064A" w:rsidRDefault="00142A69" w:rsidP="00142A69">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sz w:val="20"/>
                <w:szCs w:val="20"/>
              </w:rPr>
            </w:pPr>
            <w:r w:rsidRPr="0023064A">
              <w:rPr>
                <w:rFonts w:asciiTheme="minorHAnsi" w:hAnsiTheme="minorHAnsi" w:cstheme="minorHAnsi"/>
                <w:sz w:val="20"/>
                <w:szCs w:val="20"/>
              </w:rPr>
              <w:t xml:space="preserve">High calibrator: purified human </w:t>
            </w:r>
            <w:proofErr w:type="spellStart"/>
            <w:r w:rsidRPr="0023064A">
              <w:rPr>
                <w:rFonts w:asciiTheme="minorHAnsi" w:hAnsiTheme="minorHAnsi" w:cstheme="minorHAnsi"/>
                <w:sz w:val="20"/>
                <w:szCs w:val="20"/>
              </w:rPr>
              <w:t>HBsAg</w:t>
            </w:r>
            <w:proofErr w:type="spellEnd"/>
            <w:r w:rsidRPr="0023064A">
              <w:rPr>
                <w:rFonts w:asciiTheme="minorHAnsi" w:hAnsiTheme="minorHAnsi" w:cstheme="minorHAnsi"/>
                <w:sz w:val="20"/>
                <w:szCs w:val="20"/>
              </w:rPr>
              <w:t xml:space="preserve"> in buffer with sodium azide </w:t>
            </w:r>
          </w:p>
          <w:p w14:paraId="23696F49" w14:textId="414FF33F" w:rsidR="00142A69" w:rsidRPr="0023064A" w:rsidRDefault="00142A69" w:rsidP="00BA5B41">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sz w:val="20"/>
                <w:szCs w:val="20"/>
              </w:rPr>
            </w:pPr>
            <w:r w:rsidRPr="0023064A">
              <w:rPr>
                <w:rFonts w:asciiTheme="minorHAnsi" w:hAnsiTheme="minorHAnsi" w:cstheme="minorHAnsi"/>
                <w:sz w:val="20"/>
                <w:szCs w:val="20"/>
              </w:rPr>
              <w:t xml:space="preserve">(&lt; 0.1%) low calibrator: </w:t>
            </w:r>
            <w:r w:rsidR="00BA5B41">
              <w:rPr>
                <w:rFonts w:asciiTheme="minorHAnsi" w:hAnsiTheme="minorHAnsi" w:cstheme="minorHAnsi"/>
                <w:sz w:val="20"/>
                <w:szCs w:val="20"/>
              </w:rPr>
              <w:t>buffer</w:t>
            </w:r>
            <w:r w:rsidRPr="0023064A">
              <w:rPr>
                <w:rFonts w:asciiTheme="minorHAnsi" w:hAnsiTheme="minorHAnsi" w:cstheme="minorHAnsi"/>
                <w:sz w:val="20"/>
                <w:szCs w:val="20"/>
              </w:rPr>
              <w:t xml:space="preserve"> with sodium </w:t>
            </w:r>
            <w:proofErr w:type="spellStart"/>
            <w:r w:rsidRPr="0023064A">
              <w:rPr>
                <w:rFonts w:asciiTheme="minorHAnsi" w:hAnsiTheme="minorHAnsi" w:cstheme="minorHAnsi"/>
                <w:sz w:val="20"/>
                <w:szCs w:val="20"/>
              </w:rPr>
              <w:t>azide</w:t>
            </w:r>
            <w:proofErr w:type="spellEnd"/>
            <w:r w:rsidRPr="0023064A">
              <w:rPr>
                <w:rFonts w:asciiTheme="minorHAnsi" w:hAnsiTheme="minorHAnsi" w:cstheme="minorHAnsi"/>
                <w:sz w:val="20"/>
                <w:szCs w:val="20"/>
              </w:rPr>
              <w:t xml:space="preserve"> (&lt; 0.1%) </w:t>
            </w:r>
          </w:p>
        </w:tc>
        <w:tc>
          <w:tcPr>
            <w:tcW w:w="881" w:type="dxa"/>
          </w:tcPr>
          <w:p w14:paraId="1EDF14E5" w14:textId="31C43CBB" w:rsidR="00142A69" w:rsidRPr="0023064A" w:rsidRDefault="00142A69" w:rsidP="00142A69">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jc w:val="center"/>
              <w:rPr>
                <w:rFonts w:asciiTheme="minorHAnsi" w:hAnsiTheme="minorHAnsi" w:cstheme="minorHAnsi"/>
                <w:sz w:val="20"/>
                <w:szCs w:val="20"/>
              </w:rPr>
            </w:pPr>
            <w:r w:rsidRPr="0023064A">
              <w:rPr>
                <w:rFonts w:asciiTheme="minorHAnsi" w:hAnsiTheme="minorHAnsi" w:cstheme="minorHAnsi"/>
                <w:sz w:val="20"/>
                <w:szCs w:val="20"/>
              </w:rPr>
              <w:t>2-8</w:t>
            </w:r>
            <w:r>
              <w:rPr>
                <w:rFonts w:asciiTheme="minorHAnsi" w:hAnsiTheme="minorHAnsi" w:cstheme="minorHAnsi"/>
                <w:sz w:val="20"/>
                <w:szCs w:val="20"/>
              </w:rPr>
              <w:t>°</w:t>
            </w:r>
            <w:r w:rsidRPr="0023064A">
              <w:rPr>
                <w:rFonts w:asciiTheme="minorHAnsi" w:hAnsiTheme="minorHAnsi" w:cstheme="minorHAnsi"/>
                <w:sz w:val="20"/>
                <w:szCs w:val="20"/>
              </w:rPr>
              <w:t>C</w:t>
            </w:r>
          </w:p>
        </w:tc>
        <w:tc>
          <w:tcPr>
            <w:tcW w:w="2556" w:type="dxa"/>
          </w:tcPr>
          <w:p w14:paraId="6F3152B4" w14:textId="77777777" w:rsidR="00142A69" w:rsidRPr="0023064A" w:rsidRDefault="00142A69" w:rsidP="00142A69">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sz w:val="20"/>
                <w:szCs w:val="20"/>
              </w:rPr>
            </w:pPr>
            <w:r w:rsidRPr="0023064A">
              <w:rPr>
                <w:rFonts w:asciiTheme="minorHAnsi" w:hAnsiTheme="minorHAnsi" w:cstheme="minorHAnsi"/>
                <w:sz w:val="20"/>
                <w:szCs w:val="20"/>
              </w:rPr>
              <w:t>Until the expiration date on the vial , or onboard 8 hours</w:t>
            </w:r>
          </w:p>
        </w:tc>
      </w:tr>
      <w:tr w:rsidR="00142A69" w:rsidRPr="0023064A" w14:paraId="187B7AC0" w14:textId="77777777" w:rsidTr="004428C9">
        <w:trPr>
          <w:cantSplit/>
          <w:trHeight w:val="271"/>
        </w:trPr>
        <w:tc>
          <w:tcPr>
            <w:tcW w:w="1674" w:type="dxa"/>
          </w:tcPr>
          <w:p w14:paraId="4D9D477C" w14:textId="77777777" w:rsidR="00142A69" w:rsidRPr="0023064A" w:rsidRDefault="00142A69" w:rsidP="00142A69">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noProof/>
                <w:sz w:val="20"/>
                <w:szCs w:val="20"/>
              </w:rPr>
            </w:pPr>
            <w:r w:rsidRPr="0023064A">
              <w:rPr>
                <w:rFonts w:asciiTheme="minorHAnsi" w:hAnsiTheme="minorHAnsi" w:cstheme="minorHAnsi"/>
                <w:noProof/>
                <w:sz w:val="20"/>
                <w:szCs w:val="20"/>
              </w:rPr>
              <w:lastRenderedPageBreak/>
              <w:t xml:space="preserve">ADVIA </w:t>
            </w:r>
          </w:p>
          <w:p w14:paraId="25CC3A1D" w14:textId="77777777" w:rsidR="00142A69" w:rsidRPr="0023064A" w:rsidRDefault="00142A69" w:rsidP="00142A69">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noProof/>
                <w:sz w:val="20"/>
                <w:szCs w:val="20"/>
              </w:rPr>
            </w:pPr>
            <w:r w:rsidRPr="0023064A">
              <w:rPr>
                <w:rFonts w:asciiTheme="minorHAnsi" w:hAnsiTheme="minorHAnsi" w:cstheme="minorHAnsi"/>
                <w:noProof/>
                <w:sz w:val="20"/>
                <w:szCs w:val="20"/>
              </w:rPr>
              <w:t xml:space="preserve">Centaur </w:t>
            </w:r>
          </w:p>
          <w:p w14:paraId="26DE2AC0" w14:textId="510171C6" w:rsidR="00142A69" w:rsidRPr="0023064A" w:rsidRDefault="00142A69" w:rsidP="00142A69">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noProof/>
                <w:sz w:val="20"/>
                <w:szCs w:val="20"/>
              </w:rPr>
            </w:pPr>
            <w:r w:rsidRPr="0023064A">
              <w:rPr>
                <w:rFonts w:asciiTheme="minorHAnsi" w:hAnsiTheme="minorHAnsi" w:cstheme="minorHAnsi"/>
                <w:noProof/>
                <w:sz w:val="20"/>
                <w:szCs w:val="20"/>
              </w:rPr>
              <mc:AlternateContent>
                <mc:Choice Requires="wps">
                  <w:drawing>
                    <wp:inline distT="0" distB="0" distL="0" distR="0" wp14:anchorId="64474A2B" wp14:editId="1DF53D59">
                      <wp:extent cx="455930" cy="219075"/>
                      <wp:effectExtent l="0" t="0" r="20320" b="2857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219075"/>
                              </a:xfrm>
                              <a:prstGeom prst="rect">
                                <a:avLst/>
                              </a:prstGeom>
                              <a:solidFill>
                                <a:srgbClr val="FFFFFF"/>
                              </a:solidFill>
                              <a:ln w="9525">
                                <a:solidFill>
                                  <a:srgbClr val="000000"/>
                                </a:solidFill>
                                <a:miter lim="800000"/>
                                <a:headEnd/>
                                <a:tailEnd/>
                              </a:ln>
                            </wps:spPr>
                            <wps:txbx>
                              <w:txbxContent>
                                <w:p w14:paraId="06AB6895" w14:textId="77777777" w:rsidR="004428C9" w:rsidRPr="002F2066" w:rsidRDefault="004428C9" w:rsidP="0023064A">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 w:val="16"/>
                                      <w:szCs w:val="16"/>
                                    </w:rPr>
                                  </w:pPr>
                                  <w:r>
                                    <w:rPr>
                                      <w:sz w:val="16"/>
                                      <w:szCs w:val="16"/>
                                    </w:rPr>
                                    <w:t>ANC</w:t>
                                  </w:r>
                                </w:p>
                              </w:txbxContent>
                            </wps:txbx>
                            <wps:bodyPr rot="0" vert="horz" wrap="square" lIns="91440" tIns="45720" rIns="91440" bIns="45720" anchor="t" anchorCtr="0" upright="1">
                              <a:noAutofit/>
                            </wps:bodyPr>
                          </wps:wsp>
                        </a:graphicData>
                      </a:graphic>
                    </wp:inline>
                  </w:drawing>
                </mc:Choice>
                <mc:Fallback>
                  <w:pict>
                    <v:shapetype w14:anchorId="64474A2B" id="_x0000_t202" coordsize="21600,21600" o:spt="202" path="m,l,21600r21600,l21600,xe">
                      <v:stroke joinstyle="miter"/>
                      <v:path gradientshapeok="t" o:connecttype="rect"/>
                    </v:shapetype>
                    <v:shape id="Text Box 3" o:spid="_x0000_s1026" type="#_x0000_t202" style="width:35.9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WhYKgIAAFYEAAAOAAAAZHJzL2Uyb0RvYy54bWysVNtu2zAMfR+wfxD0vti5rY0Rp+jSZRjQ&#10;XYB2HyDLsi1MEjVJiZ19/Sg5TbPbyzA/CKRIHZKHpNc3g1bkIJyXYEo6neSUCMOhlqYt6ZfH3atr&#10;SnxgpmYKjCjpUXh6s3n5Yt3bQsygA1ULRxDE+KK3Je1CsEWWed4JzfwErDBobMBpFlB1bVY71iO6&#10;Vtksz19nPbjaOuDCe7y9G410k/CbRvDwqWm8CESVFHML6XTprOKZbdasaB2zneSnNNg/ZKGZNBj0&#10;DHXHAiN7J3+D0pI78NCECQedQdNILlINWM00/6Wah45ZkWpBcrw90+T/Hyz/ePjsiKxLOqfEMI0t&#10;ehRDIG9gIPPITm99gU4PFt3CgNfY5VSpt/fAv3piYNsx04pb56DvBKsxu2l8mV08HXF8BKn6D1Bj&#10;GLYPkICGxulIHZJBEB27dDx3JqbC8XKxXK7maOFomk1X+dUyRWDF02PrfHgnQJMolNRh4xM4O9z7&#10;EJNhxZNLjOVByXonlUqKa6utcuTAcEh26Tuh/+SmDOlLulrOlmP9f4XI0/cnCC0DTruSuqTXZydW&#10;RNbemjrNYmBSjTKmrMyJxsjcyGEYqiH1K3EcKa6gPiKvDsbhxmVEoQP3nZIeB7uk/tueOUGJem+w&#10;N6vpYhE3ISmL5dUMFXdpqS4tzHCEKmmgZBS3YdyevXWy7TDSOA0GbrGfjUxcP2d1Sh+HN7XgtGhx&#10;Oy715PX8O9j8AAAA//8DAFBLAwQUAAYACAAAACEA9SA0/dsAAAADAQAADwAAAGRycy9kb3ducmV2&#10;LnhtbEyPzU7DMBCE70i8g7VIXBB1Sn8JcSqEBIIbFARXN94mEfY62G6avj1LL/Qy0mpWM98Uq8FZ&#10;0WOIrScF41EGAqnypqVawcf74/USREyajLaeUMEBI6zK87NC58bv6Q37daoFh1DMtYImpS6XMlYN&#10;Oh1HvkNib+uD04nPUEsT9J7DnZU3WTaXTrfEDY3u8KHB6nu9cwqW0+f+K75MXj+r+dbepqtF//QT&#10;lLq8GO7vQCQc0v8z/OEzOpTMtPE7MlFYBTwkHZW9xZhXbBRMpjOQZSFP2ctfAAAA//8DAFBLAQIt&#10;ABQABgAIAAAAIQC2gziS/gAAAOEBAAATAAAAAAAAAAAAAAAAAAAAAABbQ29udGVudF9UeXBlc10u&#10;eG1sUEsBAi0AFAAGAAgAAAAhADj9If/WAAAAlAEAAAsAAAAAAAAAAAAAAAAALwEAAF9yZWxzLy5y&#10;ZWxzUEsBAi0AFAAGAAgAAAAhAOORaFgqAgAAVgQAAA4AAAAAAAAAAAAAAAAALgIAAGRycy9lMm9E&#10;b2MueG1sUEsBAi0AFAAGAAgAAAAhAPUgNP3bAAAAAwEAAA8AAAAAAAAAAAAAAAAAhAQAAGRycy9k&#10;b3ducmV2LnhtbFBLBQYAAAAABAAEAPMAAACMBQAAAAA=&#10;">
                      <v:textbox>
                        <w:txbxContent>
                          <w:p w14:paraId="06AB6895" w14:textId="77777777" w:rsidR="004428C9" w:rsidRPr="002F2066" w:rsidRDefault="004428C9" w:rsidP="0023064A">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 w:val="16"/>
                                <w:szCs w:val="16"/>
                              </w:rPr>
                            </w:pPr>
                            <w:r>
                              <w:rPr>
                                <w:sz w:val="16"/>
                                <w:szCs w:val="16"/>
                              </w:rPr>
                              <w:t>ANC</w:t>
                            </w:r>
                          </w:p>
                        </w:txbxContent>
                      </v:textbox>
                      <w10:anchorlock/>
                    </v:shape>
                  </w:pict>
                </mc:Fallback>
              </mc:AlternateContent>
            </w:r>
            <w:r w:rsidRPr="0023064A">
              <w:rPr>
                <w:rFonts w:asciiTheme="minorHAnsi" w:hAnsiTheme="minorHAnsi" w:cstheme="minorHAnsi"/>
                <w:noProof/>
                <w:sz w:val="20"/>
                <w:szCs w:val="20"/>
              </w:rPr>
              <w:t>1</w:t>
            </w:r>
          </w:p>
          <w:p w14:paraId="311C6C21" w14:textId="61A401D4" w:rsidR="00142A69" w:rsidRPr="0023064A" w:rsidRDefault="00142A69" w:rsidP="00142A69">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noProof/>
                <w:sz w:val="20"/>
                <w:szCs w:val="20"/>
              </w:rPr>
            </w:pPr>
            <w:r w:rsidRPr="0023064A">
              <w:rPr>
                <w:rFonts w:asciiTheme="minorHAnsi" w:hAnsiTheme="minorHAnsi" w:cstheme="minorHAnsi"/>
                <w:noProof/>
                <w:sz w:val="20"/>
                <w:szCs w:val="20"/>
              </w:rPr>
              <w:t>Ready</w:t>
            </w:r>
            <w:r w:rsidR="006413B4">
              <w:rPr>
                <w:rFonts w:asciiTheme="minorHAnsi" w:hAnsiTheme="minorHAnsi" w:cstheme="minorHAnsi"/>
                <w:noProof/>
                <w:sz w:val="20"/>
                <w:szCs w:val="20"/>
              </w:rPr>
              <w:t>P</w:t>
            </w:r>
            <w:r w:rsidRPr="0023064A">
              <w:rPr>
                <w:rFonts w:asciiTheme="minorHAnsi" w:hAnsiTheme="minorHAnsi" w:cstheme="minorHAnsi"/>
                <w:noProof/>
                <w:sz w:val="20"/>
                <w:szCs w:val="20"/>
              </w:rPr>
              <w:t>ack</w:t>
            </w:r>
          </w:p>
          <w:p w14:paraId="33FA5FE1" w14:textId="5F323831" w:rsidR="00142A69" w:rsidRPr="0023064A" w:rsidRDefault="00142A69" w:rsidP="004428C9">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noProof/>
                <w:sz w:val="20"/>
                <w:szCs w:val="20"/>
              </w:rPr>
            </w:pPr>
            <w:r w:rsidRPr="0023064A">
              <w:rPr>
                <w:rFonts w:asciiTheme="minorHAnsi" w:hAnsiTheme="minorHAnsi" w:cstheme="minorHAnsi"/>
                <w:noProof/>
                <w:sz w:val="20"/>
                <w:szCs w:val="20"/>
              </w:rPr>
              <w:t xml:space="preserve">Ancillary </w:t>
            </w:r>
          </w:p>
        </w:tc>
        <w:tc>
          <w:tcPr>
            <w:tcW w:w="1228" w:type="dxa"/>
          </w:tcPr>
          <w:p w14:paraId="273D00CC" w14:textId="77777777" w:rsidR="00142A69" w:rsidRPr="0023064A" w:rsidRDefault="00142A69" w:rsidP="00142A69">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sz w:val="20"/>
                <w:szCs w:val="20"/>
              </w:rPr>
            </w:pPr>
            <w:r w:rsidRPr="0023064A">
              <w:rPr>
                <w:rFonts w:asciiTheme="minorHAnsi" w:hAnsiTheme="minorHAnsi" w:cstheme="minorHAnsi"/>
                <w:sz w:val="20"/>
                <w:szCs w:val="20"/>
              </w:rPr>
              <w:t xml:space="preserve">Probe </w:t>
            </w:r>
          </w:p>
          <w:p w14:paraId="6A546594" w14:textId="77777777" w:rsidR="00142A69" w:rsidRPr="0023064A" w:rsidRDefault="00142A69" w:rsidP="00142A69">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sz w:val="20"/>
                <w:szCs w:val="20"/>
              </w:rPr>
            </w:pPr>
            <w:r w:rsidRPr="0023064A">
              <w:rPr>
                <w:rFonts w:asciiTheme="minorHAnsi" w:hAnsiTheme="minorHAnsi" w:cstheme="minorHAnsi"/>
                <w:sz w:val="20"/>
                <w:szCs w:val="20"/>
              </w:rPr>
              <w:t>Wash</w:t>
            </w:r>
          </w:p>
        </w:tc>
        <w:tc>
          <w:tcPr>
            <w:tcW w:w="1086" w:type="dxa"/>
          </w:tcPr>
          <w:p w14:paraId="42C9C5F1" w14:textId="77777777" w:rsidR="00142A69" w:rsidRPr="0023064A" w:rsidRDefault="00142A69" w:rsidP="00142A69">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sz w:val="20"/>
                <w:szCs w:val="20"/>
              </w:rPr>
            </w:pPr>
            <w:r w:rsidRPr="0023064A">
              <w:rPr>
                <w:rFonts w:asciiTheme="minorHAnsi" w:hAnsiTheme="minorHAnsi" w:cstheme="minorHAnsi"/>
                <w:sz w:val="20"/>
                <w:szCs w:val="20"/>
              </w:rPr>
              <w:t>25.0 mL/</w:t>
            </w:r>
          </w:p>
          <w:p w14:paraId="51BB8CF6" w14:textId="77777777" w:rsidR="00142A69" w:rsidRPr="0023064A" w:rsidRDefault="00142A69" w:rsidP="00142A69">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sz w:val="20"/>
                <w:szCs w:val="20"/>
              </w:rPr>
            </w:pPr>
            <w:r w:rsidRPr="0023064A">
              <w:rPr>
                <w:rFonts w:asciiTheme="minorHAnsi" w:hAnsiTheme="minorHAnsi" w:cstheme="minorHAnsi"/>
                <w:sz w:val="20"/>
                <w:szCs w:val="20"/>
              </w:rPr>
              <w:t xml:space="preserve">Reagent </w:t>
            </w:r>
          </w:p>
          <w:p w14:paraId="231B8E1D" w14:textId="77777777" w:rsidR="00142A69" w:rsidRPr="0023064A" w:rsidRDefault="00142A69" w:rsidP="00142A69">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sz w:val="20"/>
                <w:szCs w:val="20"/>
              </w:rPr>
            </w:pPr>
            <w:r w:rsidRPr="0023064A">
              <w:rPr>
                <w:rFonts w:asciiTheme="minorHAnsi" w:hAnsiTheme="minorHAnsi" w:cstheme="minorHAnsi"/>
                <w:sz w:val="20"/>
                <w:szCs w:val="20"/>
              </w:rPr>
              <w:t>Pack</w:t>
            </w:r>
          </w:p>
        </w:tc>
        <w:tc>
          <w:tcPr>
            <w:tcW w:w="2349" w:type="dxa"/>
          </w:tcPr>
          <w:p w14:paraId="7327B2B8" w14:textId="77777777" w:rsidR="00142A69" w:rsidRPr="0023064A" w:rsidRDefault="00142A69" w:rsidP="00142A69">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sz w:val="20"/>
                <w:szCs w:val="20"/>
              </w:rPr>
            </w:pPr>
            <w:r w:rsidRPr="0023064A">
              <w:rPr>
                <w:rFonts w:asciiTheme="minorHAnsi" w:hAnsiTheme="minorHAnsi" w:cstheme="minorHAnsi"/>
                <w:sz w:val="20"/>
                <w:szCs w:val="20"/>
              </w:rPr>
              <w:t>0.14 N sodium hydroxide</w:t>
            </w:r>
          </w:p>
        </w:tc>
        <w:tc>
          <w:tcPr>
            <w:tcW w:w="881" w:type="dxa"/>
          </w:tcPr>
          <w:p w14:paraId="550021EC" w14:textId="420C5623" w:rsidR="00142A69" w:rsidRPr="0023064A" w:rsidRDefault="00142A69" w:rsidP="00142A69">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jc w:val="center"/>
              <w:rPr>
                <w:rFonts w:asciiTheme="minorHAnsi" w:hAnsiTheme="minorHAnsi" w:cstheme="minorHAnsi"/>
                <w:sz w:val="20"/>
                <w:szCs w:val="20"/>
              </w:rPr>
            </w:pPr>
            <w:r w:rsidRPr="0023064A">
              <w:rPr>
                <w:rFonts w:asciiTheme="minorHAnsi" w:hAnsiTheme="minorHAnsi" w:cstheme="minorHAnsi"/>
                <w:sz w:val="20"/>
                <w:szCs w:val="20"/>
              </w:rPr>
              <w:t>2-8</w:t>
            </w:r>
            <w:r>
              <w:rPr>
                <w:rFonts w:asciiTheme="minorHAnsi" w:hAnsiTheme="minorHAnsi" w:cstheme="minorHAnsi"/>
                <w:sz w:val="20"/>
                <w:szCs w:val="20"/>
              </w:rPr>
              <w:t>°</w:t>
            </w:r>
            <w:r w:rsidRPr="0023064A">
              <w:rPr>
                <w:rFonts w:asciiTheme="minorHAnsi" w:hAnsiTheme="minorHAnsi" w:cstheme="minorHAnsi"/>
                <w:sz w:val="20"/>
                <w:szCs w:val="20"/>
              </w:rPr>
              <w:t>C</w:t>
            </w:r>
          </w:p>
        </w:tc>
        <w:tc>
          <w:tcPr>
            <w:tcW w:w="2556" w:type="dxa"/>
          </w:tcPr>
          <w:p w14:paraId="012235ED" w14:textId="77777777" w:rsidR="00142A69" w:rsidRPr="0023064A" w:rsidRDefault="00142A69" w:rsidP="00142A69">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sz w:val="20"/>
                <w:szCs w:val="20"/>
              </w:rPr>
            </w:pPr>
            <w:r w:rsidRPr="0023064A">
              <w:rPr>
                <w:rFonts w:asciiTheme="minorHAnsi" w:hAnsiTheme="minorHAnsi" w:cstheme="minorHAnsi"/>
                <w:sz w:val="20"/>
                <w:szCs w:val="20"/>
              </w:rPr>
              <w:t>Until the expiration date on the pack label or 14 consecutive days after accessing the ancillary reagent pack</w:t>
            </w:r>
          </w:p>
        </w:tc>
      </w:tr>
      <w:tr w:rsidR="0023064A" w:rsidRPr="0023064A" w14:paraId="3588DD8B" w14:textId="77777777" w:rsidTr="004428C9">
        <w:trPr>
          <w:cantSplit/>
          <w:trHeight w:val="271"/>
        </w:trPr>
        <w:tc>
          <w:tcPr>
            <w:tcW w:w="1674" w:type="dxa"/>
          </w:tcPr>
          <w:p w14:paraId="5420CD53" w14:textId="18F1C071" w:rsidR="0023064A" w:rsidRPr="0023064A" w:rsidRDefault="0023064A" w:rsidP="0023064A">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noProof/>
                <w:sz w:val="20"/>
                <w:szCs w:val="20"/>
              </w:rPr>
            </w:pPr>
            <w:r w:rsidRPr="0023064A">
              <w:rPr>
                <w:rFonts w:asciiTheme="minorHAnsi" w:hAnsiTheme="minorHAnsi" w:cstheme="minorHAnsi"/>
                <w:noProof/>
                <w:sz w:val="20"/>
                <w:szCs w:val="20"/>
              </w:rPr>
              <w:t xml:space="preserve">ADVIA Centaur </w:t>
            </w:r>
          </w:p>
          <w:p w14:paraId="6D50C089" w14:textId="2C18FFDD" w:rsidR="0023064A" w:rsidRPr="0023064A" w:rsidRDefault="00142A69" w:rsidP="0023064A">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noProof/>
                <w:sz w:val="20"/>
                <w:szCs w:val="20"/>
              </w:rPr>
            </w:pPr>
            <w:r w:rsidRPr="0023064A">
              <w:rPr>
                <w:rFonts w:asciiTheme="minorHAnsi" w:hAnsiTheme="minorHAnsi" w:cstheme="minorHAnsi"/>
                <w:noProof/>
                <w:sz w:val="20"/>
                <w:szCs w:val="20"/>
              </w:rPr>
              <mc:AlternateContent>
                <mc:Choice Requires="wps">
                  <w:drawing>
                    <wp:inline distT="0" distB="0" distL="0" distR="0" wp14:anchorId="561C8013" wp14:editId="1E6A3AFC">
                      <wp:extent cx="570230" cy="218440"/>
                      <wp:effectExtent l="0" t="0" r="20320" b="1016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218440"/>
                              </a:xfrm>
                              <a:prstGeom prst="rect">
                                <a:avLst/>
                              </a:prstGeom>
                              <a:solidFill>
                                <a:srgbClr val="FFFFFF"/>
                              </a:solidFill>
                              <a:ln w="9525">
                                <a:solidFill>
                                  <a:srgbClr val="000000"/>
                                </a:solidFill>
                                <a:miter lim="800000"/>
                                <a:headEnd/>
                                <a:tailEnd/>
                              </a:ln>
                            </wps:spPr>
                            <wps:txbx>
                              <w:txbxContent>
                                <w:p w14:paraId="0D706680" w14:textId="77777777" w:rsidR="004428C9" w:rsidRPr="002F2066" w:rsidRDefault="004428C9" w:rsidP="00142A69">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 w:val="16"/>
                                      <w:szCs w:val="16"/>
                                    </w:rPr>
                                  </w:pPr>
                                  <w:smartTag w:uri="urn:schemas-microsoft-com:office:smarttags" w:element="place">
                                    <w:smartTag w:uri="urn:schemas-microsoft-com:office:smarttags" w:element="State">
                                      <w:r>
                                        <w:rPr>
                                          <w:sz w:val="16"/>
                                          <w:szCs w:val="16"/>
                                        </w:rPr>
                                        <w:t>WASH</w:t>
                                      </w:r>
                                    </w:smartTag>
                                  </w:smartTag>
                                </w:p>
                              </w:txbxContent>
                            </wps:txbx>
                            <wps:bodyPr rot="0" vert="horz" wrap="square" lIns="91440" tIns="45720" rIns="91440" bIns="45720" anchor="t" anchorCtr="0" upright="1">
                              <a:noAutofit/>
                            </wps:bodyPr>
                          </wps:wsp>
                        </a:graphicData>
                      </a:graphic>
                    </wp:inline>
                  </w:drawing>
                </mc:Choice>
                <mc:Fallback>
                  <w:pict>
                    <v:shape w14:anchorId="561C8013" id="Text Box 2" o:spid="_x0000_s1027" type="#_x0000_t202" style="width:44.9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v//KgIAAFYEAAAOAAAAZHJzL2Uyb0RvYy54bWysVNuO2yAQfa/Uf0C8N3bcpJu14qy22aaq&#10;tL1Iu/0AjHGMCgwFEjv9+g7Ym0bb9qWqHxAww+HMOYPXN4NW5Cicl2AqOp/llAjDoZFmX9Gvj7tX&#10;K0p8YKZhCoyo6El4erN5+WLd21IU0IFqhCMIYnzZ24p2IdgyyzzvhGZ+BlYYDLbgNAu4dPuscaxH&#10;dK2yIs/fZD24xjrgwnvcvRuDdJPw21bw8LltvQhEVRS5hTS6NNZxzDZrVu4ds53kEw32Dyw0kwYv&#10;PUPdscDIwcnfoLTkDjy0YcZBZ9C2kotUA1Yzz59V89AxK1ItKI63Z5n8/4Pln45fHJFNRQtKDNNo&#10;0aMYAnkLAymiOr31JSY9WEwLA26jy6lSb++Bf/PEwLZjZi9unYO+E6xBdvN4Mrs4OuL4CFL3H6HB&#10;a9ghQAIaWqejdCgGQXR06XR2JlLhuLm8yovXGOEYKuarxSI5l7Hy6bB1PrwXoEmcVNSh8QmcHe99&#10;iGRY+ZQS7/KgZLOTSqWF29db5ciRYZPs0pf4P0tThvQVvV4Wy7H+v0Lk6fsThJYBu11JXdHVOYmV&#10;UbV3pkm9GJhU4xwpKzPJGJUbNQxDPUx+Te7U0JxQVwdjc+NjxEkH7gclPTZ2Rf33A3OCEvXBoDfX&#10;86geCWmxWF4VuHCXkfoywgxHqIoGSsbpNoyv52Cd3Hd409gNBm7Rz1YmraPxI6uJPjZvsmB6aPF1&#10;XK5T1q/fweYnAAAA//8DAFBLAwQUAAYACAAAACEAWoTDe9sAAAADAQAADwAAAGRycy9kb3ducmV2&#10;LnhtbEyPwU7DMBBE70j8g7VIXFDrQKOShjgVQgLBDUoFVzfeJhH2OthuGv6ehQtcRlrNauZNtZ6c&#10;FSOG2HtScDnPQCA13vTUKti+3s8KEDFpMtp6QgVfGGFdn55UujT+SC84blIrOIRiqRV0KQ2llLHp&#10;0Ok49wMSe3sfnE58hlaaoI8c7qy8yrKldLonbuj0gHcdNh+bg1NQ5I/je3xaPL81y71dpYvr8eEz&#10;KHV+Nt3egEg4pb9n+MFndKiZaecPZKKwCnhI+lX2ihWv2ClY5DnIupL/2etvAAAA//8DAFBLAQIt&#10;ABQABgAIAAAAIQC2gziS/gAAAOEBAAATAAAAAAAAAAAAAAAAAAAAAABbQ29udGVudF9UeXBlc10u&#10;eG1sUEsBAi0AFAAGAAgAAAAhADj9If/WAAAAlAEAAAsAAAAAAAAAAAAAAAAALwEAAF9yZWxzLy5y&#10;ZWxzUEsBAi0AFAAGAAgAAAAhAC1O//8qAgAAVgQAAA4AAAAAAAAAAAAAAAAALgIAAGRycy9lMm9E&#10;b2MueG1sUEsBAi0AFAAGAAgAAAAhAFqEw3vbAAAAAwEAAA8AAAAAAAAAAAAAAAAAhAQAAGRycy9k&#10;b3ducmV2LnhtbFBLBQYAAAAABAAEAPMAAACMBQAAAAA=&#10;">
                      <v:textbox>
                        <w:txbxContent>
                          <w:p w14:paraId="0D706680" w14:textId="77777777" w:rsidR="004428C9" w:rsidRPr="002F2066" w:rsidRDefault="004428C9" w:rsidP="00142A69">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 w:val="16"/>
                                <w:szCs w:val="16"/>
                              </w:rPr>
                            </w:pPr>
                            <w:smartTag w:uri="urn:schemas-microsoft-com:office:smarttags" w:element="place">
                              <w:smartTag w:uri="urn:schemas-microsoft-com:office:smarttags" w:element="State">
                                <w:r>
                                  <w:rPr>
                                    <w:sz w:val="16"/>
                                    <w:szCs w:val="16"/>
                                  </w:rPr>
                                  <w:t>WASH</w:t>
                                </w:r>
                              </w:smartTag>
                            </w:smartTag>
                          </w:p>
                        </w:txbxContent>
                      </v:textbox>
                      <w10:anchorlock/>
                    </v:shape>
                  </w:pict>
                </mc:Fallback>
              </mc:AlternateContent>
            </w:r>
            <w:r w:rsidR="0023064A" w:rsidRPr="0023064A">
              <w:rPr>
                <w:rFonts w:asciiTheme="minorHAnsi" w:hAnsiTheme="minorHAnsi" w:cstheme="minorHAnsi"/>
                <w:noProof/>
                <w:sz w:val="20"/>
                <w:szCs w:val="20"/>
              </w:rPr>
              <w:t>1</w:t>
            </w:r>
          </w:p>
        </w:tc>
        <w:tc>
          <w:tcPr>
            <w:tcW w:w="1228" w:type="dxa"/>
          </w:tcPr>
          <w:p w14:paraId="4DF73790" w14:textId="77777777" w:rsidR="0023064A" w:rsidRPr="0023064A" w:rsidRDefault="0023064A" w:rsidP="0023064A">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sz w:val="20"/>
                <w:szCs w:val="20"/>
              </w:rPr>
            </w:pPr>
            <w:r w:rsidRPr="0023064A">
              <w:rPr>
                <w:rFonts w:asciiTheme="minorHAnsi" w:hAnsiTheme="minorHAnsi" w:cstheme="minorHAnsi"/>
                <w:sz w:val="20"/>
                <w:szCs w:val="20"/>
              </w:rPr>
              <w:t>Wash 1</w:t>
            </w:r>
          </w:p>
        </w:tc>
        <w:tc>
          <w:tcPr>
            <w:tcW w:w="1086" w:type="dxa"/>
          </w:tcPr>
          <w:p w14:paraId="201B6974" w14:textId="77777777" w:rsidR="0023064A" w:rsidRPr="0023064A" w:rsidRDefault="0023064A" w:rsidP="0023064A">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sz w:val="20"/>
                <w:szCs w:val="20"/>
              </w:rPr>
            </w:pPr>
            <w:r w:rsidRPr="0023064A">
              <w:rPr>
                <w:rFonts w:asciiTheme="minorHAnsi" w:hAnsiTheme="minorHAnsi" w:cstheme="minorHAnsi"/>
                <w:sz w:val="20"/>
                <w:szCs w:val="20"/>
              </w:rPr>
              <w:t>1500 mL/pack</w:t>
            </w:r>
          </w:p>
        </w:tc>
        <w:tc>
          <w:tcPr>
            <w:tcW w:w="2349" w:type="dxa"/>
          </w:tcPr>
          <w:p w14:paraId="56A94E52" w14:textId="77777777" w:rsidR="0023064A" w:rsidRPr="0023064A" w:rsidRDefault="0023064A" w:rsidP="0023064A">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sz w:val="20"/>
                <w:szCs w:val="20"/>
              </w:rPr>
            </w:pPr>
            <w:r w:rsidRPr="0023064A">
              <w:rPr>
                <w:rFonts w:asciiTheme="minorHAnsi" w:hAnsiTheme="minorHAnsi" w:cstheme="minorHAnsi"/>
                <w:sz w:val="20"/>
                <w:szCs w:val="20"/>
              </w:rPr>
              <w:t xml:space="preserve">Phosphate buffered saline with sodium azide </w:t>
            </w:r>
          </w:p>
          <w:p w14:paraId="6D33022C" w14:textId="24A29EEC" w:rsidR="0023064A" w:rsidRPr="0023064A" w:rsidRDefault="0023064A" w:rsidP="004428C9">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sz w:val="20"/>
                <w:szCs w:val="20"/>
              </w:rPr>
            </w:pPr>
            <w:r w:rsidRPr="0023064A">
              <w:rPr>
                <w:rFonts w:asciiTheme="minorHAnsi" w:hAnsiTheme="minorHAnsi" w:cstheme="minorHAnsi"/>
                <w:sz w:val="20"/>
                <w:szCs w:val="20"/>
              </w:rPr>
              <w:t>(&lt; 0.1%) and surfactant</w:t>
            </w:r>
          </w:p>
        </w:tc>
        <w:tc>
          <w:tcPr>
            <w:tcW w:w="881" w:type="dxa"/>
          </w:tcPr>
          <w:p w14:paraId="58E73603" w14:textId="50E90FDD" w:rsidR="0023064A" w:rsidRPr="0023064A" w:rsidRDefault="0023064A" w:rsidP="00142A69">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jc w:val="center"/>
              <w:rPr>
                <w:rFonts w:asciiTheme="minorHAnsi" w:hAnsiTheme="minorHAnsi" w:cstheme="minorHAnsi"/>
                <w:sz w:val="20"/>
                <w:szCs w:val="20"/>
              </w:rPr>
            </w:pPr>
            <w:r w:rsidRPr="0023064A">
              <w:rPr>
                <w:rFonts w:asciiTheme="minorHAnsi" w:hAnsiTheme="minorHAnsi" w:cstheme="minorHAnsi"/>
                <w:sz w:val="20"/>
                <w:szCs w:val="20"/>
              </w:rPr>
              <w:t>2-25</w:t>
            </w:r>
            <w:r w:rsidR="00142A69">
              <w:rPr>
                <w:rFonts w:asciiTheme="minorHAnsi" w:hAnsiTheme="minorHAnsi" w:cstheme="minorHAnsi"/>
                <w:sz w:val="20"/>
                <w:szCs w:val="20"/>
              </w:rPr>
              <w:t>°</w:t>
            </w:r>
            <w:r w:rsidRPr="0023064A">
              <w:rPr>
                <w:rFonts w:asciiTheme="minorHAnsi" w:hAnsiTheme="minorHAnsi" w:cstheme="minorHAnsi"/>
                <w:sz w:val="20"/>
                <w:szCs w:val="20"/>
              </w:rPr>
              <w:t>C</w:t>
            </w:r>
          </w:p>
        </w:tc>
        <w:tc>
          <w:tcPr>
            <w:tcW w:w="2556" w:type="dxa"/>
          </w:tcPr>
          <w:p w14:paraId="390FFDD0" w14:textId="77777777" w:rsidR="0023064A" w:rsidRPr="0023064A" w:rsidRDefault="0023064A" w:rsidP="0023064A">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sz w:val="20"/>
                <w:szCs w:val="20"/>
              </w:rPr>
            </w:pPr>
            <w:r w:rsidRPr="0023064A">
              <w:rPr>
                <w:rFonts w:asciiTheme="minorHAnsi" w:hAnsiTheme="minorHAnsi" w:cstheme="minorHAnsi"/>
                <w:sz w:val="20"/>
                <w:szCs w:val="20"/>
              </w:rPr>
              <w:t>Until the expiration date on the vial or onboard 14 days</w:t>
            </w:r>
          </w:p>
        </w:tc>
      </w:tr>
    </w:tbl>
    <w:p w14:paraId="20B5C4D0" w14:textId="77777777" w:rsidR="0023064A" w:rsidRPr="00EE6E73" w:rsidRDefault="0023064A" w:rsidP="00EE6E73">
      <w:pPr>
        <w:spacing w:after="0"/>
        <w:rPr>
          <w:rFonts w:asciiTheme="minorHAnsi" w:hAnsiTheme="minorHAnsi" w:cstheme="minorHAnsi"/>
        </w:rPr>
      </w:pPr>
    </w:p>
    <w:p w14:paraId="51D59F5B" w14:textId="77777777" w:rsidR="0026140C" w:rsidRPr="00EE6E73" w:rsidRDefault="0026140C" w:rsidP="00EE6E73">
      <w:pPr>
        <w:spacing w:after="0"/>
        <w:rPr>
          <w:rFonts w:asciiTheme="minorHAnsi" w:hAnsiTheme="minorHAnsi" w:cstheme="minorHAnsi"/>
          <w:b/>
        </w:rPr>
      </w:pPr>
      <w:r w:rsidRPr="00EE6E73">
        <w:rPr>
          <w:rFonts w:asciiTheme="minorHAnsi" w:hAnsiTheme="minorHAnsi" w:cstheme="minorHAnsi"/>
          <w:b/>
        </w:rPr>
        <w:t>CALIBRATION</w:t>
      </w:r>
    </w:p>
    <w:p w14:paraId="2A8CB09E" w14:textId="6A875A54" w:rsidR="006413B4" w:rsidRDefault="006413B4" w:rsidP="006413B4">
      <w:pPr>
        <w:spacing w:after="0"/>
        <w:rPr>
          <w:rFonts w:asciiTheme="minorHAnsi" w:hAnsiTheme="minorHAnsi" w:cstheme="minorHAnsi"/>
        </w:rPr>
      </w:pPr>
      <w:proofErr w:type="spellStart"/>
      <w:r w:rsidRPr="006413B4">
        <w:rPr>
          <w:rFonts w:asciiTheme="minorHAnsi" w:hAnsiTheme="minorHAnsi" w:cstheme="minorHAnsi"/>
        </w:rPr>
        <w:t>HBs</w:t>
      </w:r>
      <w:r w:rsidR="00B07C9D">
        <w:rPr>
          <w:rFonts w:asciiTheme="minorHAnsi" w:hAnsiTheme="minorHAnsi" w:cstheme="minorHAnsi"/>
        </w:rPr>
        <w:t>II</w:t>
      </w:r>
      <w:proofErr w:type="spellEnd"/>
      <w:r w:rsidRPr="006413B4">
        <w:rPr>
          <w:rFonts w:asciiTheme="minorHAnsi" w:hAnsiTheme="minorHAnsi" w:cstheme="minorHAnsi"/>
        </w:rPr>
        <w:t xml:space="preserve"> Calibrator is provided in each kit.  The calibrators are matched to the </w:t>
      </w:r>
      <w:proofErr w:type="spellStart"/>
      <w:r w:rsidRPr="006413B4">
        <w:rPr>
          <w:rFonts w:asciiTheme="minorHAnsi" w:hAnsiTheme="minorHAnsi" w:cstheme="minorHAnsi"/>
        </w:rPr>
        <w:t>ReadyPack</w:t>
      </w:r>
      <w:proofErr w:type="spellEnd"/>
      <w:r w:rsidRPr="006413B4">
        <w:rPr>
          <w:rFonts w:asciiTheme="minorHAnsi" w:hAnsiTheme="minorHAnsi" w:cstheme="minorHAnsi"/>
        </w:rPr>
        <w:t xml:space="preserve"> primary reagent pack.  DO NOT mix calibrator lots with different lots of reagent packs.</w:t>
      </w:r>
    </w:p>
    <w:p w14:paraId="77389AE7" w14:textId="77777777" w:rsidR="004428C9" w:rsidRPr="006413B4" w:rsidRDefault="004428C9" w:rsidP="006413B4">
      <w:pPr>
        <w:spacing w:after="0"/>
        <w:rPr>
          <w:rFonts w:asciiTheme="minorHAnsi" w:hAnsiTheme="minorHAnsi" w:cstheme="minorHAnsi"/>
        </w:rPr>
      </w:pPr>
    </w:p>
    <w:p w14:paraId="72606CE5" w14:textId="65A12DBE" w:rsidR="006413B4" w:rsidRPr="006413B4" w:rsidRDefault="006413B4" w:rsidP="006413B4">
      <w:pPr>
        <w:pStyle w:val="ListParagraph"/>
        <w:numPr>
          <w:ilvl w:val="0"/>
          <w:numId w:val="7"/>
        </w:numPr>
        <w:spacing w:after="0"/>
        <w:ind w:left="720"/>
        <w:rPr>
          <w:rFonts w:asciiTheme="minorHAnsi" w:hAnsiTheme="minorHAnsi" w:cstheme="minorHAnsi"/>
        </w:rPr>
      </w:pPr>
      <w:r w:rsidRPr="006413B4">
        <w:rPr>
          <w:rFonts w:asciiTheme="minorHAnsi" w:hAnsiTheme="minorHAnsi" w:cstheme="minorHAnsi"/>
        </w:rPr>
        <w:t xml:space="preserve">The ADVIA Centaur </w:t>
      </w:r>
      <w:proofErr w:type="spellStart"/>
      <w:r w:rsidRPr="006413B4">
        <w:rPr>
          <w:rFonts w:asciiTheme="minorHAnsi" w:hAnsiTheme="minorHAnsi" w:cstheme="minorHAnsi"/>
        </w:rPr>
        <w:t>HBs</w:t>
      </w:r>
      <w:r w:rsidR="00B07C9D">
        <w:rPr>
          <w:rFonts w:asciiTheme="minorHAnsi" w:hAnsiTheme="minorHAnsi" w:cstheme="minorHAnsi"/>
        </w:rPr>
        <w:t>II</w:t>
      </w:r>
      <w:proofErr w:type="spellEnd"/>
      <w:r w:rsidRPr="006413B4">
        <w:rPr>
          <w:rFonts w:asciiTheme="minorHAnsi" w:hAnsiTheme="minorHAnsi" w:cstheme="minorHAnsi"/>
        </w:rPr>
        <w:t xml:space="preserve"> assay requires a 2 point calibration:</w:t>
      </w:r>
    </w:p>
    <w:p w14:paraId="783E82AD" w14:textId="3D4D1150" w:rsidR="006413B4" w:rsidRPr="006413B4" w:rsidRDefault="006413B4" w:rsidP="006413B4">
      <w:pPr>
        <w:pStyle w:val="ListParagraph"/>
        <w:numPr>
          <w:ilvl w:val="1"/>
          <w:numId w:val="9"/>
        </w:numPr>
        <w:spacing w:after="0"/>
        <w:ind w:hanging="720"/>
        <w:rPr>
          <w:rFonts w:asciiTheme="minorHAnsi" w:hAnsiTheme="minorHAnsi" w:cstheme="minorHAnsi"/>
        </w:rPr>
      </w:pPr>
      <w:r w:rsidRPr="006413B4">
        <w:rPr>
          <w:rFonts w:asciiTheme="minorHAnsi" w:hAnsiTheme="minorHAnsi" w:cstheme="minorHAnsi"/>
        </w:rPr>
        <w:t>Every 21 days.</w:t>
      </w:r>
    </w:p>
    <w:p w14:paraId="11281FDC" w14:textId="652161AD" w:rsidR="006413B4" w:rsidRPr="006413B4" w:rsidRDefault="006413B4" w:rsidP="006413B4">
      <w:pPr>
        <w:pStyle w:val="ListParagraph"/>
        <w:numPr>
          <w:ilvl w:val="1"/>
          <w:numId w:val="9"/>
        </w:numPr>
        <w:spacing w:after="0"/>
        <w:ind w:hanging="720"/>
        <w:rPr>
          <w:rFonts w:asciiTheme="minorHAnsi" w:hAnsiTheme="minorHAnsi" w:cstheme="minorHAnsi"/>
        </w:rPr>
      </w:pPr>
      <w:r w:rsidRPr="006413B4">
        <w:rPr>
          <w:rFonts w:asciiTheme="minorHAnsi" w:hAnsiTheme="minorHAnsi" w:cstheme="minorHAnsi"/>
        </w:rPr>
        <w:t>When changing lot numbers of primary reagent packs.</w:t>
      </w:r>
    </w:p>
    <w:p w14:paraId="4B5AFBE2" w14:textId="05479FC0" w:rsidR="006413B4" w:rsidRPr="006413B4" w:rsidRDefault="006413B4" w:rsidP="006413B4">
      <w:pPr>
        <w:pStyle w:val="ListParagraph"/>
        <w:numPr>
          <w:ilvl w:val="1"/>
          <w:numId w:val="9"/>
        </w:numPr>
        <w:spacing w:after="0"/>
        <w:ind w:hanging="720"/>
        <w:rPr>
          <w:rFonts w:asciiTheme="minorHAnsi" w:hAnsiTheme="minorHAnsi" w:cstheme="minorHAnsi"/>
        </w:rPr>
      </w:pPr>
      <w:r w:rsidRPr="006413B4">
        <w:rPr>
          <w:rFonts w:asciiTheme="minorHAnsi" w:hAnsiTheme="minorHAnsi" w:cstheme="minorHAnsi"/>
        </w:rPr>
        <w:t>When replacing system components.</w:t>
      </w:r>
    </w:p>
    <w:p w14:paraId="7C7DF972" w14:textId="1450AB2D" w:rsidR="006413B4" w:rsidRPr="006413B4" w:rsidRDefault="006413B4" w:rsidP="006413B4">
      <w:pPr>
        <w:pStyle w:val="ListParagraph"/>
        <w:numPr>
          <w:ilvl w:val="1"/>
          <w:numId w:val="9"/>
        </w:numPr>
        <w:spacing w:after="0"/>
        <w:ind w:hanging="720"/>
        <w:rPr>
          <w:rFonts w:asciiTheme="minorHAnsi" w:hAnsiTheme="minorHAnsi" w:cstheme="minorHAnsi"/>
        </w:rPr>
      </w:pPr>
      <w:r w:rsidRPr="006413B4">
        <w:rPr>
          <w:rFonts w:asciiTheme="minorHAnsi" w:hAnsiTheme="minorHAnsi" w:cstheme="minorHAnsi"/>
        </w:rPr>
        <w:t>When quality control results are repeatedly out of range (See QC Policy).</w:t>
      </w:r>
    </w:p>
    <w:p w14:paraId="07D77D48" w14:textId="77777777" w:rsidR="006413B4" w:rsidRPr="006413B4" w:rsidRDefault="006413B4" w:rsidP="006413B4">
      <w:pPr>
        <w:spacing w:after="0"/>
        <w:rPr>
          <w:rFonts w:asciiTheme="minorHAnsi" w:hAnsiTheme="minorHAnsi" w:cstheme="minorHAnsi"/>
        </w:rPr>
      </w:pPr>
    </w:p>
    <w:p w14:paraId="70EDF82A" w14:textId="2DF5401A" w:rsidR="006413B4" w:rsidRPr="006413B4" w:rsidRDefault="006413B4" w:rsidP="006413B4">
      <w:pPr>
        <w:pStyle w:val="ListParagraph"/>
        <w:numPr>
          <w:ilvl w:val="0"/>
          <w:numId w:val="7"/>
        </w:numPr>
        <w:spacing w:after="0"/>
        <w:ind w:left="720"/>
        <w:rPr>
          <w:rFonts w:asciiTheme="minorHAnsi" w:hAnsiTheme="minorHAnsi" w:cstheme="minorHAnsi"/>
        </w:rPr>
      </w:pPr>
      <w:r w:rsidRPr="006413B4">
        <w:rPr>
          <w:rFonts w:asciiTheme="minorHAnsi" w:hAnsiTheme="minorHAnsi" w:cstheme="minorHAnsi"/>
        </w:rPr>
        <w:t>For Calibrator preparation and stability, see appropriate package insert.</w:t>
      </w:r>
    </w:p>
    <w:p w14:paraId="74564842" w14:textId="77777777" w:rsidR="006413B4" w:rsidRPr="006413B4" w:rsidRDefault="006413B4" w:rsidP="006413B4">
      <w:pPr>
        <w:pStyle w:val="ListParagraph"/>
        <w:spacing w:after="0"/>
        <w:rPr>
          <w:rFonts w:asciiTheme="minorHAnsi" w:hAnsiTheme="minorHAnsi" w:cstheme="minorHAnsi"/>
        </w:rPr>
      </w:pPr>
    </w:p>
    <w:p w14:paraId="2D1F067C" w14:textId="19370AEB" w:rsidR="006413B4" w:rsidRPr="006413B4" w:rsidRDefault="006413B4" w:rsidP="006413B4">
      <w:pPr>
        <w:pStyle w:val="ListParagraph"/>
        <w:numPr>
          <w:ilvl w:val="0"/>
          <w:numId w:val="7"/>
        </w:numPr>
        <w:spacing w:after="0"/>
        <w:ind w:left="720"/>
        <w:rPr>
          <w:rFonts w:asciiTheme="minorHAnsi" w:hAnsiTheme="minorHAnsi" w:cstheme="minorHAnsi"/>
        </w:rPr>
      </w:pPr>
      <w:r w:rsidRPr="006413B4">
        <w:rPr>
          <w:rFonts w:asciiTheme="minorHAnsi" w:hAnsiTheme="minorHAnsi" w:cstheme="minorHAnsi"/>
        </w:rPr>
        <w:t>For each new lot number of Lite Reagent and Solid Phase, use the barcode reader or keyboard to enter the Master Curve values on the system.  The Master Curve card contains the Master Curve values.  For detailed information about entering calibrating values, and performing a calibration, refer to system operating instructions or to the online “HELP” system.</w:t>
      </w:r>
    </w:p>
    <w:p w14:paraId="0B4F363C" w14:textId="77777777" w:rsidR="0026140C" w:rsidRPr="00EE6E73" w:rsidRDefault="0026140C" w:rsidP="00EE6E73">
      <w:pPr>
        <w:spacing w:after="0"/>
        <w:rPr>
          <w:rFonts w:asciiTheme="minorHAnsi" w:hAnsiTheme="minorHAnsi" w:cstheme="minorHAnsi"/>
        </w:rPr>
      </w:pPr>
    </w:p>
    <w:p w14:paraId="4A290519" w14:textId="77777777" w:rsidR="006413B4" w:rsidRPr="00EE6E73" w:rsidRDefault="006413B4" w:rsidP="006413B4">
      <w:pPr>
        <w:spacing w:after="0"/>
        <w:rPr>
          <w:rFonts w:asciiTheme="minorHAnsi" w:hAnsiTheme="minorHAnsi" w:cstheme="minorHAnsi"/>
        </w:rPr>
      </w:pPr>
    </w:p>
    <w:p w14:paraId="3EF4505C" w14:textId="77777777" w:rsidR="006413B4" w:rsidRPr="00EE6E73" w:rsidRDefault="006413B4" w:rsidP="006413B4">
      <w:pPr>
        <w:spacing w:after="0"/>
        <w:rPr>
          <w:rFonts w:asciiTheme="minorHAnsi" w:hAnsiTheme="minorHAnsi" w:cstheme="minorHAnsi"/>
          <w:b/>
        </w:rPr>
      </w:pPr>
      <w:r w:rsidRPr="00EE6E73">
        <w:rPr>
          <w:rFonts w:asciiTheme="minorHAnsi" w:hAnsiTheme="minorHAnsi" w:cstheme="minorHAnsi"/>
          <w:b/>
        </w:rPr>
        <w:t>PROCEDURE</w:t>
      </w:r>
    </w:p>
    <w:p w14:paraId="570A2046" w14:textId="519B7AC4" w:rsidR="006413B4" w:rsidRPr="006413B4" w:rsidRDefault="004428C9" w:rsidP="006413B4">
      <w:pPr>
        <w:spacing w:after="0"/>
        <w:rPr>
          <w:rFonts w:asciiTheme="minorHAnsi" w:hAnsiTheme="minorHAnsi" w:cstheme="minorHAnsi"/>
        </w:rPr>
      </w:pPr>
      <w:r>
        <w:rPr>
          <w:rFonts w:asciiTheme="minorHAnsi" w:hAnsiTheme="minorHAnsi" w:cstheme="minorHAnsi"/>
        </w:rPr>
        <w:t xml:space="preserve">See procedure CHEM.CENTAUR.2.0, </w:t>
      </w:r>
      <w:proofErr w:type="spellStart"/>
      <w:r>
        <w:rPr>
          <w:rFonts w:asciiTheme="minorHAnsi" w:hAnsiTheme="minorHAnsi" w:cstheme="minorHAnsi"/>
        </w:rPr>
        <w:t>Advia</w:t>
      </w:r>
      <w:proofErr w:type="spellEnd"/>
      <w:r>
        <w:rPr>
          <w:rFonts w:asciiTheme="minorHAnsi" w:hAnsiTheme="minorHAnsi" w:cstheme="minorHAnsi"/>
        </w:rPr>
        <w:t xml:space="preserve"> Centaur Operating Procedure, for specific details.</w:t>
      </w:r>
    </w:p>
    <w:p w14:paraId="253B1A57" w14:textId="77777777" w:rsidR="006413B4" w:rsidRPr="00EE6E73" w:rsidRDefault="006413B4" w:rsidP="006413B4">
      <w:pPr>
        <w:spacing w:after="0"/>
        <w:rPr>
          <w:rFonts w:asciiTheme="minorHAnsi" w:hAnsiTheme="minorHAnsi" w:cstheme="minorHAnsi"/>
        </w:rPr>
      </w:pPr>
    </w:p>
    <w:p w14:paraId="78E05CE8" w14:textId="77777777" w:rsidR="0026140C" w:rsidRPr="00EE6E73" w:rsidRDefault="0026140C" w:rsidP="00EE6E73">
      <w:pPr>
        <w:spacing w:after="0"/>
        <w:rPr>
          <w:rFonts w:asciiTheme="minorHAnsi" w:hAnsiTheme="minorHAnsi" w:cstheme="minorHAnsi"/>
          <w:b/>
        </w:rPr>
      </w:pPr>
      <w:r w:rsidRPr="00EE6E73">
        <w:rPr>
          <w:rFonts w:asciiTheme="minorHAnsi" w:hAnsiTheme="minorHAnsi" w:cstheme="minorHAnsi"/>
          <w:b/>
        </w:rPr>
        <w:t>QUALITY CONTROL</w:t>
      </w:r>
    </w:p>
    <w:p w14:paraId="0378CE0D" w14:textId="217FA80E" w:rsidR="006413B4" w:rsidRPr="006413B4" w:rsidRDefault="006413B4" w:rsidP="006413B4">
      <w:pPr>
        <w:pStyle w:val="ListParagraph"/>
        <w:numPr>
          <w:ilvl w:val="2"/>
          <w:numId w:val="9"/>
        </w:numPr>
        <w:spacing w:after="0"/>
        <w:ind w:left="720"/>
        <w:rPr>
          <w:rFonts w:asciiTheme="minorHAnsi" w:hAnsiTheme="minorHAnsi" w:cstheme="minorHAnsi"/>
        </w:rPr>
      </w:pPr>
      <w:r w:rsidRPr="006413B4">
        <w:rPr>
          <w:rFonts w:asciiTheme="minorHAnsi" w:hAnsiTheme="minorHAnsi" w:cstheme="minorHAnsi"/>
        </w:rPr>
        <w:t>Refer to QC Testing Intervals for appropriate control materials and testing intervals.</w:t>
      </w:r>
    </w:p>
    <w:p w14:paraId="4C857DD9" w14:textId="77777777" w:rsidR="006413B4" w:rsidRPr="006413B4" w:rsidRDefault="006413B4" w:rsidP="006413B4">
      <w:pPr>
        <w:spacing w:after="0"/>
        <w:ind w:left="720"/>
        <w:rPr>
          <w:rFonts w:asciiTheme="minorHAnsi" w:hAnsiTheme="minorHAnsi" w:cstheme="minorHAnsi"/>
        </w:rPr>
      </w:pPr>
    </w:p>
    <w:p w14:paraId="52592A90" w14:textId="7B65BADA" w:rsidR="0026140C" w:rsidRPr="006413B4" w:rsidRDefault="006413B4" w:rsidP="006413B4">
      <w:pPr>
        <w:pStyle w:val="ListParagraph"/>
        <w:numPr>
          <w:ilvl w:val="2"/>
          <w:numId w:val="9"/>
        </w:numPr>
        <w:spacing w:after="0"/>
        <w:ind w:left="720"/>
        <w:rPr>
          <w:rFonts w:asciiTheme="minorHAnsi" w:hAnsiTheme="minorHAnsi" w:cstheme="minorHAnsi"/>
        </w:rPr>
      </w:pPr>
      <w:r w:rsidRPr="006413B4">
        <w:rPr>
          <w:rFonts w:asciiTheme="minorHAnsi" w:hAnsiTheme="minorHAnsi" w:cstheme="minorHAnsi"/>
        </w:rPr>
        <w:t>Refer to QC Policy for criteria on accepting/rejecting patients based on control results.</w:t>
      </w:r>
    </w:p>
    <w:p w14:paraId="1A6ED184" w14:textId="77777777" w:rsidR="006413B4" w:rsidRPr="00EE6E73" w:rsidRDefault="006413B4" w:rsidP="006413B4">
      <w:pPr>
        <w:spacing w:after="0"/>
        <w:rPr>
          <w:rFonts w:asciiTheme="minorHAnsi" w:hAnsiTheme="minorHAnsi" w:cstheme="minorHAnsi"/>
        </w:rPr>
      </w:pPr>
    </w:p>
    <w:p w14:paraId="32424232" w14:textId="77777777" w:rsidR="0026140C" w:rsidRPr="00EE6E73" w:rsidRDefault="0026140C" w:rsidP="00EE6E73">
      <w:pPr>
        <w:spacing w:after="0"/>
        <w:rPr>
          <w:rFonts w:asciiTheme="minorHAnsi" w:hAnsiTheme="minorHAnsi" w:cstheme="minorHAnsi"/>
          <w:b/>
        </w:rPr>
      </w:pPr>
      <w:r w:rsidRPr="00EE6E73">
        <w:rPr>
          <w:rFonts w:asciiTheme="minorHAnsi" w:hAnsiTheme="minorHAnsi" w:cstheme="minorHAnsi"/>
          <w:b/>
        </w:rPr>
        <w:t>REPORTING RESULTS</w:t>
      </w:r>
    </w:p>
    <w:p w14:paraId="44F8117A" w14:textId="0417C0C6" w:rsidR="006413B4" w:rsidRPr="004428C9" w:rsidRDefault="006413B4" w:rsidP="006413B4">
      <w:pPr>
        <w:pStyle w:val="ListParagraph"/>
        <w:numPr>
          <w:ilvl w:val="0"/>
          <w:numId w:val="12"/>
        </w:numPr>
        <w:spacing w:after="0"/>
        <w:ind w:left="720"/>
        <w:rPr>
          <w:rFonts w:asciiTheme="minorHAnsi" w:hAnsiTheme="minorHAnsi" w:cstheme="minorHAnsi"/>
        </w:rPr>
      </w:pPr>
      <w:r w:rsidRPr="004428C9">
        <w:rPr>
          <w:rFonts w:asciiTheme="minorHAnsi" w:hAnsiTheme="minorHAnsi" w:cstheme="minorHAnsi"/>
        </w:rPr>
        <w:t>Reference Ranges:</w:t>
      </w:r>
      <w:r w:rsidR="004428C9" w:rsidRPr="004428C9">
        <w:rPr>
          <w:rFonts w:asciiTheme="minorHAnsi" w:hAnsiTheme="minorHAnsi" w:cstheme="minorHAnsi"/>
        </w:rPr>
        <w:tab/>
      </w:r>
      <w:r w:rsidRPr="004428C9">
        <w:rPr>
          <w:rFonts w:asciiTheme="minorHAnsi" w:hAnsiTheme="minorHAnsi" w:cstheme="minorHAnsi"/>
        </w:rPr>
        <w:t xml:space="preserve">Non-reactive for </w:t>
      </w:r>
      <w:proofErr w:type="spellStart"/>
      <w:r w:rsidRPr="004428C9">
        <w:rPr>
          <w:rFonts w:asciiTheme="minorHAnsi" w:hAnsiTheme="minorHAnsi" w:cstheme="minorHAnsi"/>
        </w:rPr>
        <w:t>HBsAg</w:t>
      </w:r>
      <w:proofErr w:type="spellEnd"/>
    </w:p>
    <w:p w14:paraId="7BC35AFF" w14:textId="77777777" w:rsidR="006413B4" w:rsidRPr="006413B4" w:rsidRDefault="006413B4" w:rsidP="006413B4">
      <w:pPr>
        <w:spacing w:after="0"/>
        <w:rPr>
          <w:rFonts w:asciiTheme="minorHAnsi" w:hAnsiTheme="minorHAnsi" w:cstheme="minorHAnsi"/>
        </w:rPr>
      </w:pPr>
    </w:p>
    <w:p w14:paraId="1FAB53CB" w14:textId="206964E0" w:rsidR="006413B4" w:rsidRPr="004428C9" w:rsidRDefault="006413B4" w:rsidP="006413B4">
      <w:pPr>
        <w:pStyle w:val="ListParagraph"/>
        <w:numPr>
          <w:ilvl w:val="0"/>
          <w:numId w:val="12"/>
        </w:numPr>
        <w:spacing w:after="0"/>
        <w:ind w:left="720"/>
        <w:rPr>
          <w:rFonts w:asciiTheme="minorHAnsi" w:hAnsiTheme="minorHAnsi" w:cstheme="minorHAnsi"/>
        </w:rPr>
      </w:pPr>
      <w:r w:rsidRPr="004428C9">
        <w:rPr>
          <w:rFonts w:asciiTheme="minorHAnsi" w:hAnsiTheme="minorHAnsi" w:cstheme="minorHAnsi"/>
        </w:rPr>
        <w:t>Critical Values:</w:t>
      </w:r>
      <w:r w:rsidR="004428C9" w:rsidRPr="004428C9">
        <w:rPr>
          <w:rFonts w:asciiTheme="minorHAnsi" w:hAnsiTheme="minorHAnsi" w:cstheme="minorHAnsi"/>
        </w:rPr>
        <w:tab/>
      </w:r>
      <w:r w:rsidR="004428C9" w:rsidRPr="004428C9">
        <w:rPr>
          <w:rFonts w:asciiTheme="minorHAnsi" w:hAnsiTheme="minorHAnsi" w:cstheme="minorHAnsi"/>
        </w:rPr>
        <w:tab/>
      </w:r>
      <w:r w:rsidR="004428C9">
        <w:rPr>
          <w:rFonts w:asciiTheme="minorHAnsi" w:hAnsiTheme="minorHAnsi" w:cstheme="minorHAnsi"/>
        </w:rPr>
        <w:t>None</w:t>
      </w:r>
    </w:p>
    <w:p w14:paraId="0ABA4F71" w14:textId="77777777" w:rsidR="006413B4" w:rsidRPr="006413B4" w:rsidRDefault="006413B4" w:rsidP="006413B4">
      <w:pPr>
        <w:spacing w:after="0"/>
        <w:rPr>
          <w:rFonts w:asciiTheme="minorHAnsi" w:hAnsiTheme="minorHAnsi" w:cstheme="minorHAnsi"/>
        </w:rPr>
      </w:pPr>
    </w:p>
    <w:p w14:paraId="28865A79" w14:textId="67B909A7" w:rsidR="006413B4" w:rsidRPr="006413B4" w:rsidRDefault="006413B4" w:rsidP="006413B4">
      <w:pPr>
        <w:pStyle w:val="ListParagraph"/>
        <w:numPr>
          <w:ilvl w:val="0"/>
          <w:numId w:val="12"/>
        </w:numPr>
        <w:spacing w:after="0"/>
        <w:ind w:left="720"/>
        <w:rPr>
          <w:rFonts w:asciiTheme="minorHAnsi" w:hAnsiTheme="minorHAnsi" w:cstheme="minorHAnsi"/>
        </w:rPr>
      </w:pPr>
      <w:r w:rsidRPr="006413B4">
        <w:rPr>
          <w:rFonts w:asciiTheme="minorHAnsi" w:hAnsiTheme="minorHAnsi" w:cstheme="minorHAnsi"/>
        </w:rPr>
        <w:t xml:space="preserve">The Cutoff Index Value of 1.00 is used to determine whether a sample is reactive or non-reactive for HBSAG. </w:t>
      </w:r>
    </w:p>
    <w:p w14:paraId="4549A52E" w14:textId="77354EED" w:rsidR="006413B4" w:rsidRPr="00B35AB5" w:rsidRDefault="006413B4" w:rsidP="00B35AB5">
      <w:pPr>
        <w:pStyle w:val="ListParagraph"/>
        <w:numPr>
          <w:ilvl w:val="1"/>
          <w:numId w:val="12"/>
        </w:numPr>
        <w:spacing w:after="0"/>
        <w:ind w:left="1440"/>
        <w:rPr>
          <w:rFonts w:asciiTheme="minorHAnsi" w:hAnsiTheme="minorHAnsi" w:cstheme="minorHAnsi"/>
        </w:rPr>
      </w:pPr>
      <w:r w:rsidRPr="00B35AB5">
        <w:rPr>
          <w:rFonts w:asciiTheme="minorHAnsi" w:hAnsiTheme="minorHAnsi" w:cstheme="minorHAnsi"/>
        </w:rPr>
        <w:t>Samples with a calculated Index Value, value less than 1.00 are considered non-reactive (negative) for HBs, and should be reported as non-reactive (NREAC).</w:t>
      </w:r>
    </w:p>
    <w:p w14:paraId="3F900C9F" w14:textId="68075A5F" w:rsidR="006413B4" w:rsidRPr="00B35AB5" w:rsidRDefault="006413B4" w:rsidP="00B35AB5">
      <w:pPr>
        <w:pStyle w:val="ListParagraph"/>
        <w:numPr>
          <w:ilvl w:val="1"/>
          <w:numId w:val="12"/>
        </w:numPr>
        <w:spacing w:after="0"/>
        <w:ind w:left="1440"/>
        <w:rPr>
          <w:rFonts w:asciiTheme="minorHAnsi" w:hAnsiTheme="minorHAnsi" w:cstheme="minorHAnsi"/>
        </w:rPr>
      </w:pPr>
      <w:r w:rsidRPr="00B35AB5">
        <w:rPr>
          <w:rFonts w:asciiTheme="minorHAnsi" w:hAnsiTheme="minorHAnsi" w:cstheme="minorHAnsi"/>
        </w:rPr>
        <w:t>Samples with initial results ≥ 1.0 Index Value require retest.  Repeat the testing in duplicate.</w:t>
      </w:r>
    </w:p>
    <w:p w14:paraId="1440F945" w14:textId="34B0F8D7" w:rsidR="006413B4" w:rsidRPr="00B35AB5" w:rsidRDefault="006413B4" w:rsidP="00B35AB5">
      <w:pPr>
        <w:pStyle w:val="ListParagraph"/>
        <w:numPr>
          <w:ilvl w:val="2"/>
          <w:numId w:val="12"/>
        </w:numPr>
        <w:spacing w:after="0"/>
        <w:ind w:left="2160"/>
        <w:rPr>
          <w:rFonts w:asciiTheme="minorHAnsi" w:hAnsiTheme="minorHAnsi" w:cstheme="minorHAnsi"/>
        </w:rPr>
      </w:pPr>
      <w:r w:rsidRPr="00B35AB5">
        <w:rPr>
          <w:rFonts w:asciiTheme="minorHAnsi" w:hAnsiTheme="minorHAnsi" w:cstheme="minorHAnsi"/>
        </w:rPr>
        <w:t>If 2 of the 3 results are &lt; 1.00 Index Value report as NREAC.</w:t>
      </w:r>
    </w:p>
    <w:p w14:paraId="5DE46F67" w14:textId="748D892A" w:rsidR="006413B4" w:rsidRPr="00B35AB5" w:rsidRDefault="006413B4" w:rsidP="00B35AB5">
      <w:pPr>
        <w:pStyle w:val="ListParagraph"/>
        <w:numPr>
          <w:ilvl w:val="2"/>
          <w:numId w:val="12"/>
        </w:numPr>
        <w:spacing w:after="0"/>
        <w:ind w:left="2160"/>
        <w:rPr>
          <w:rFonts w:asciiTheme="minorHAnsi" w:hAnsiTheme="minorHAnsi" w:cstheme="minorHAnsi"/>
        </w:rPr>
      </w:pPr>
      <w:r w:rsidRPr="00B35AB5">
        <w:rPr>
          <w:rFonts w:asciiTheme="minorHAnsi" w:hAnsiTheme="minorHAnsi" w:cstheme="minorHAnsi"/>
        </w:rPr>
        <w:t xml:space="preserve">If 2 of the 3 results are still ≥ 1.00, do the confirmation test for HBSAG, report as RECCO (this will generate a confirmation test (HBSAG). </w:t>
      </w:r>
    </w:p>
    <w:p w14:paraId="1F92B4FC" w14:textId="3C82A25F" w:rsidR="006413B4" w:rsidRPr="00B35AB5" w:rsidRDefault="006413B4" w:rsidP="00B35AB5">
      <w:pPr>
        <w:pStyle w:val="ListParagraph"/>
        <w:numPr>
          <w:ilvl w:val="2"/>
          <w:numId w:val="12"/>
        </w:numPr>
        <w:spacing w:after="0"/>
        <w:ind w:left="2160"/>
        <w:rPr>
          <w:rFonts w:asciiTheme="minorHAnsi" w:hAnsiTheme="minorHAnsi" w:cstheme="minorHAnsi"/>
        </w:rPr>
      </w:pPr>
      <w:r w:rsidRPr="00B35AB5">
        <w:rPr>
          <w:rFonts w:asciiTheme="minorHAnsi" w:hAnsiTheme="minorHAnsi" w:cstheme="minorHAnsi"/>
        </w:rPr>
        <w:t>Perform a confirmation.</w:t>
      </w:r>
    </w:p>
    <w:p w14:paraId="6350769C" w14:textId="5D2FC3C1" w:rsidR="006413B4" w:rsidRPr="006413B4" w:rsidRDefault="00B35AB5" w:rsidP="004F3908">
      <w:pPr>
        <w:spacing w:after="0"/>
        <w:ind w:left="2880" w:hanging="720"/>
        <w:rPr>
          <w:rFonts w:asciiTheme="minorHAnsi" w:hAnsiTheme="minorHAnsi" w:cstheme="minorHAnsi"/>
        </w:rPr>
      </w:pPr>
      <w:r w:rsidRPr="00B35AB5">
        <w:rPr>
          <w:rFonts w:asciiTheme="minorHAnsi" w:hAnsiTheme="minorHAnsi" w:cstheme="minorHAnsi"/>
          <w:b/>
        </w:rPr>
        <w:t>NOTE</w:t>
      </w:r>
      <w:r w:rsidR="006413B4" w:rsidRPr="006413B4">
        <w:rPr>
          <w:rFonts w:asciiTheme="minorHAnsi" w:hAnsiTheme="minorHAnsi" w:cstheme="minorHAnsi"/>
        </w:rPr>
        <w:t>:</w:t>
      </w:r>
      <w:r>
        <w:rPr>
          <w:rFonts w:asciiTheme="minorHAnsi" w:hAnsiTheme="minorHAnsi" w:cstheme="minorHAnsi"/>
        </w:rPr>
        <w:t xml:space="preserve">  </w:t>
      </w:r>
      <w:r w:rsidR="006413B4" w:rsidRPr="006413B4">
        <w:rPr>
          <w:rFonts w:asciiTheme="minorHAnsi" w:hAnsiTheme="minorHAnsi" w:cstheme="minorHAnsi"/>
        </w:rPr>
        <w:t>If only HBSAG is ordered (test 37567), it will be on worksheet CIMI9, result as NREAC or NEAC but do not do confirmation. (Don’t report as RECCO)</w:t>
      </w:r>
    </w:p>
    <w:p w14:paraId="20E33BCE" w14:textId="59F81B61" w:rsidR="006413B4" w:rsidRPr="006413B4" w:rsidRDefault="006413B4" w:rsidP="004F3908">
      <w:pPr>
        <w:spacing w:after="0"/>
        <w:ind w:hanging="720"/>
        <w:rPr>
          <w:rFonts w:asciiTheme="minorHAnsi" w:hAnsiTheme="minorHAnsi" w:cstheme="minorHAnsi"/>
        </w:rPr>
      </w:pPr>
    </w:p>
    <w:p w14:paraId="487A0E59" w14:textId="791FE561" w:rsidR="006413B4" w:rsidRPr="006413B4" w:rsidRDefault="00B35AB5" w:rsidP="004F3908">
      <w:pPr>
        <w:spacing w:after="0"/>
        <w:ind w:left="2880" w:hanging="720"/>
        <w:rPr>
          <w:rFonts w:asciiTheme="minorHAnsi" w:hAnsiTheme="minorHAnsi" w:cstheme="minorHAnsi"/>
        </w:rPr>
      </w:pPr>
      <w:r w:rsidRPr="00B35AB5">
        <w:rPr>
          <w:rFonts w:asciiTheme="minorHAnsi" w:hAnsiTheme="minorHAnsi" w:cstheme="minorHAnsi"/>
          <w:b/>
        </w:rPr>
        <w:t>NOTE</w:t>
      </w:r>
      <w:r w:rsidR="006413B4" w:rsidRPr="006413B4">
        <w:rPr>
          <w:rFonts w:asciiTheme="minorHAnsi" w:hAnsiTheme="minorHAnsi" w:cstheme="minorHAnsi"/>
        </w:rPr>
        <w:t>:</w:t>
      </w:r>
      <w:r>
        <w:rPr>
          <w:rFonts w:asciiTheme="minorHAnsi" w:hAnsiTheme="minorHAnsi" w:cstheme="minorHAnsi"/>
        </w:rPr>
        <w:t xml:space="preserve">  </w:t>
      </w:r>
      <w:r w:rsidR="006413B4" w:rsidRPr="006413B4">
        <w:rPr>
          <w:rFonts w:asciiTheme="minorHAnsi" w:hAnsiTheme="minorHAnsi" w:cstheme="minorHAnsi"/>
        </w:rPr>
        <w:t>Results &gt;1000.0 Index also need to be confirmed.</w:t>
      </w:r>
    </w:p>
    <w:p w14:paraId="0D85553C" w14:textId="77777777" w:rsidR="006413B4" w:rsidRPr="006413B4" w:rsidRDefault="006413B4" w:rsidP="004F3908">
      <w:pPr>
        <w:spacing w:after="0"/>
        <w:ind w:left="2880" w:hanging="720"/>
        <w:rPr>
          <w:rFonts w:asciiTheme="minorHAnsi" w:hAnsiTheme="minorHAnsi" w:cstheme="minorHAnsi"/>
        </w:rPr>
      </w:pPr>
    </w:p>
    <w:p w14:paraId="4F239DA9" w14:textId="32646E47" w:rsidR="006413B4" w:rsidRPr="006413B4" w:rsidRDefault="00B35AB5" w:rsidP="004F3908">
      <w:pPr>
        <w:spacing w:after="0"/>
        <w:ind w:left="2880" w:hanging="720"/>
        <w:rPr>
          <w:rFonts w:asciiTheme="minorHAnsi" w:hAnsiTheme="minorHAnsi" w:cstheme="minorHAnsi"/>
        </w:rPr>
      </w:pPr>
      <w:r w:rsidRPr="00B35AB5">
        <w:rPr>
          <w:rFonts w:asciiTheme="minorHAnsi" w:hAnsiTheme="minorHAnsi" w:cstheme="minorHAnsi"/>
          <w:b/>
        </w:rPr>
        <w:t>NOTE</w:t>
      </w:r>
      <w:r w:rsidR="006413B4" w:rsidRPr="006413B4">
        <w:rPr>
          <w:rFonts w:asciiTheme="minorHAnsi" w:hAnsiTheme="minorHAnsi" w:cstheme="minorHAnsi"/>
        </w:rPr>
        <w:t>:</w:t>
      </w:r>
      <w:r>
        <w:rPr>
          <w:rFonts w:asciiTheme="minorHAnsi" w:hAnsiTheme="minorHAnsi" w:cstheme="minorHAnsi"/>
        </w:rPr>
        <w:t xml:space="preserve">  </w:t>
      </w:r>
      <w:r w:rsidR="006413B4" w:rsidRPr="006413B4">
        <w:rPr>
          <w:rFonts w:asciiTheme="minorHAnsi" w:hAnsiTheme="minorHAnsi" w:cstheme="minorHAnsi"/>
        </w:rPr>
        <w:t>Mid America will send out the following specimens for testing with alternate methodology:  Cord Blood, cadaver specimens, heat inactivated specimens, and body fluids other than serum or plasma such as saliva, urine, amniotic fluid or pleural fluid.</w:t>
      </w:r>
    </w:p>
    <w:p w14:paraId="24644572" w14:textId="77777777" w:rsidR="006413B4" w:rsidRPr="006413B4" w:rsidRDefault="006413B4" w:rsidP="00B35AB5">
      <w:pPr>
        <w:spacing w:after="0"/>
        <w:ind w:left="2880"/>
        <w:rPr>
          <w:rFonts w:asciiTheme="minorHAnsi" w:hAnsiTheme="minorHAnsi" w:cstheme="minorHAnsi"/>
        </w:rPr>
      </w:pPr>
    </w:p>
    <w:p w14:paraId="35C8F337" w14:textId="09462E6B" w:rsidR="006413B4" w:rsidRPr="006413B4" w:rsidRDefault="006413B4" w:rsidP="00B35AB5">
      <w:pPr>
        <w:spacing w:after="0"/>
        <w:ind w:left="2880"/>
        <w:rPr>
          <w:rFonts w:asciiTheme="minorHAnsi" w:hAnsiTheme="minorHAnsi" w:cstheme="minorHAnsi"/>
        </w:rPr>
      </w:pPr>
      <w:r w:rsidRPr="006413B4">
        <w:rPr>
          <w:rFonts w:asciiTheme="minorHAnsi" w:hAnsiTheme="minorHAnsi" w:cstheme="minorHAnsi"/>
        </w:rPr>
        <w:t>On all Hepatitis testing, there will be a disclaimer for neonates (&lt;28 days of age) and adolescent (29 days to a8 years).</w:t>
      </w:r>
    </w:p>
    <w:p w14:paraId="792765C9" w14:textId="77777777" w:rsidR="006413B4" w:rsidRPr="006413B4" w:rsidRDefault="006413B4" w:rsidP="00B35AB5">
      <w:pPr>
        <w:spacing w:after="0"/>
        <w:ind w:left="2880"/>
        <w:rPr>
          <w:rFonts w:asciiTheme="minorHAnsi" w:hAnsiTheme="minorHAnsi" w:cstheme="minorHAnsi"/>
        </w:rPr>
      </w:pPr>
    </w:p>
    <w:p w14:paraId="7778C3EE" w14:textId="646F6F0C" w:rsidR="006413B4" w:rsidRPr="006413B4" w:rsidRDefault="006413B4" w:rsidP="00B35AB5">
      <w:pPr>
        <w:spacing w:after="0"/>
        <w:ind w:left="2880"/>
        <w:rPr>
          <w:rFonts w:asciiTheme="minorHAnsi" w:hAnsiTheme="minorHAnsi" w:cstheme="minorHAnsi"/>
        </w:rPr>
      </w:pPr>
      <w:r w:rsidRPr="006413B4">
        <w:rPr>
          <w:rFonts w:asciiTheme="minorHAnsi" w:hAnsiTheme="minorHAnsi" w:cstheme="minorHAnsi"/>
        </w:rPr>
        <w:t>For Neonate (&lt;28 days of age):  The performance of assay has not been established with neonatal specimens.</w:t>
      </w:r>
    </w:p>
    <w:p w14:paraId="6F0181A9" w14:textId="77777777" w:rsidR="006413B4" w:rsidRPr="006413B4" w:rsidRDefault="006413B4" w:rsidP="00B35AB5">
      <w:pPr>
        <w:spacing w:after="0"/>
        <w:ind w:left="2880"/>
        <w:rPr>
          <w:rFonts w:asciiTheme="minorHAnsi" w:hAnsiTheme="minorHAnsi" w:cstheme="minorHAnsi"/>
        </w:rPr>
      </w:pPr>
    </w:p>
    <w:p w14:paraId="27D82882" w14:textId="220417B2" w:rsidR="006413B4" w:rsidRPr="006413B4" w:rsidRDefault="006413B4" w:rsidP="00B35AB5">
      <w:pPr>
        <w:spacing w:after="0"/>
        <w:ind w:left="2880"/>
        <w:rPr>
          <w:rFonts w:asciiTheme="minorHAnsi" w:hAnsiTheme="minorHAnsi" w:cstheme="minorHAnsi"/>
        </w:rPr>
      </w:pPr>
      <w:r w:rsidRPr="006413B4">
        <w:rPr>
          <w:rFonts w:asciiTheme="minorHAnsi" w:hAnsiTheme="minorHAnsi" w:cstheme="minorHAnsi"/>
        </w:rPr>
        <w:t>For 29 days to 18 years:  Assay characteristics have not been established for infants, children, or adolescent patients.</w:t>
      </w:r>
    </w:p>
    <w:p w14:paraId="2A96BD4C" w14:textId="77777777" w:rsidR="006413B4" w:rsidRPr="006413B4" w:rsidRDefault="006413B4" w:rsidP="006413B4">
      <w:pPr>
        <w:spacing w:after="0"/>
        <w:rPr>
          <w:rFonts w:asciiTheme="minorHAnsi" w:hAnsiTheme="minorHAnsi" w:cstheme="minorHAnsi"/>
        </w:rPr>
      </w:pPr>
    </w:p>
    <w:p w14:paraId="73E8DDAE" w14:textId="022C4D18" w:rsidR="006413B4" w:rsidRPr="00B35AB5" w:rsidRDefault="006413B4" w:rsidP="00B35AB5">
      <w:pPr>
        <w:pStyle w:val="ListParagraph"/>
        <w:numPr>
          <w:ilvl w:val="0"/>
          <w:numId w:val="12"/>
        </w:numPr>
        <w:spacing w:after="0"/>
        <w:ind w:left="720"/>
        <w:rPr>
          <w:rFonts w:asciiTheme="minorHAnsi" w:hAnsiTheme="minorHAnsi" w:cstheme="minorHAnsi"/>
        </w:rPr>
      </w:pPr>
      <w:r w:rsidRPr="00B35AB5">
        <w:rPr>
          <w:rFonts w:asciiTheme="minorHAnsi" w:hAnsiTheme="minorHAnsi" w:cstheme="minorHAnsi"/>
        </w:rPr>
        <w:t>Computer Entry:</w:t>
      </w:r>
    </w:p>
    <w:p w14:paraId="478D4A95" w14:textId="77B9C2C4" w:rsidR="006413B4" w:rsidRPr="00B35AB5" w:rsidRDefault="006413B4" w:rsidP="00B35AB5">
      <w:pPr>
        <w:pStyle w:val="ListParagraph"/>
        <w:numPr>
          <w:ilvl w:val="1"/>
          <w:numId w:val="12"/>
        </w:numPr>
        <w:spacing w:after="0"/>
        <w:ind w:left="1440"/>
        <w:rPr>
          <w:rFonts w:asciiTheme="minorHAnsi" w:hAnsiTheme="minorHAnsi" w:cstheme="minorHAnsi"/>
        </w:rPr>
      </w:pPr>
      <w:r w:rsidRPr="00B35AB5">
        <w:rPr>
          <w:rFonts w:asciiTheme="minorHAnsi" w:hAnsiTheme="minorHAnsi" w:cstheme="minorHAnsi"/>
        </w:rPr>
        <w:t>Misys Entry:</w:t>
      </w:r>
      <w:r w:rsidRPr="00B35AB5">
        <w:rPr>
          <w:rFonts w:asciiTheme="minorHAnsi" w:hAnsiTheme="minorHAnsi" w:cstheme="minorHAnsi"/>
        </w:rPr>
        <w:tab/>
      </w:r>
      <w:r w:rsidRPr="00B35AB5">
        <w:rPr>
          <w:rFonts w:asciiTheme="minorHAnsi" w:hAnsiTheme="minorHAnsi" w:cstheme="minorHAnsi"/>
        </w:rPr>
        <w:tab/>
      </w:r>
    </w:p>
    <w:p w14:paraId="1272FF0A" w14:textId="1405F2D9" w:rsidR="006413B4" w:rsidRPr="00B35AB5" w:rsidRDefault="004F3908" w:rsidP="00B35AB5">
      <w:pPr>
        <w:pStyle w:val="ListParagraph"/>
        <w:numPr>
          <w:ilvl w:val="1"/>
          <w:numId w:val="14"/>
        </w:numPr>
        <w:spacing w:after="0"/>
        <w:ind w:left="2160"/>
        <w:rPr>
          <w:rFonts w:asciiTheme="minorHAnsi" w:hAnsiTheme="minorHAnsi" w:cstheme="minorHAnsi"/>
        </w:rPr>
      </w:pPr>
      <w:r>
        <w:rPr>
          <w:rFonts w:asciiTheme="minorHAnsi" w:hAnsiTheme="minorHAnsi" w:cstheme="minorHAnsi"/>
        </w:rPr>
        <w:t>Function:</w:t>
      </w:r>
      <w:r>
        <w:rPr>
          <w:rFonts w:asciiTheme="minorHAnsi" w:hAnsiTheme="minorHAnsi" w:cstheme="minorHAnsi"/>
        </w:rPr>
        <w:tab/>
      </w:r>
      <w:r w:rsidR="006413B4" w:rsidRPr="00B35AB5">
        <w:rPr>
          <w:rFonts w:asciiTheme="minorHAnsi" w:hAnsiTheme="minorHAnsi" w:cstheme="minorHAnsi"/>
        </w:rPr>
        <w:t>MEM or OEM</w:t>
      </w:r>
    </w:p>
    <w:p w14:paraId="60AECBFE" w14:textId="2F4B9C5A" w:rsidR="006413B4" w:rsidRPr="00B35AB5" w:rsidRDefault="006413B4" w:rsidP="00B35AB5">
      <w:pPr>
        <w:pStyle w:val="ListParagraph"/>
        <w:numPr>
          <w:ilvl w:val="1"/>
          <w:numId w:val="14"/>
        </w:numPr>
        <w:spacing w:after="0"/>
        <w:ind w:left="2160"/>
        <w:rPr>
          <w:rFonts w:asciiTheme="minorHAnsi" w:hAnsiTheme="minorHAnsi" w:cstheme="minorHAnsi"/>
        </w:rPr>
      </w:pPr>
      <w:r w:rsidRPr="00B35AB5">
        <w:rPr>
          <w:rFonts w:asciiTheme="minorHAnsi" w:hAnsiTheme="minorHAnsi" w:cstheme="minorHAnsi"/>
        </w:rPr>
        <w:t>Worksheet:</w:t>
      </w:r>
      <w:r w:rsidRPr="00B35AB5">
        <w:rPr>
          <w:rFonts w:asciiTheme="minorHAnsi" w:hAnsiTheme="minorHAnsi" w:cstheme="minorHAnsi"/>
        </w:rPr>
        <w:tab/>
        <w:t>CI</w:t>
      </w:r>
    </w:p>
    <w:p w14:paraId="2CD4B34E" w14:textId="5C27F6FD" w:rsidR="006413B4" w:rsidRPr="00B35AB5" w:rsidRDefault="004F3908" w:rsidP="00B35AB5">
      <w:pPr>
        <w:pStyle w:val="ListParagraph"/>
        <w:numPr>
          <w:ilvl w:val="1"/>
          <w:numId w:val="14"/>
        </w:numPr>
        <w:spacing w:after="0"/>
        <w:ind w:left="2160"/>
        <w:rPr>
          <w:rFonts w:asciiTheme="minorHAnsi" w:hAnsiTheme="minorHAnsi" w:cstheme="minorHAnsi"/>
        </w:rPr>
      </w:pPr>
      <w:r>
        <w:rPr>
          <w:rFonts w:asciiTheme="minorHAnsi" w:hAnsiTheme="minorHAnsi" w:cstheme="minorHAnsi"/>
        </w:rPr>
        <w:t>Method:</w:t>
      </w:r>
      <w:r>
        <w:rPr>
          <w:rFonts w:asciiTheme="minorHAnsi" w:hAnsiTheme="minorHAnsi" w:cstheme="minorHAnsi"/>
        </w:rPr>
        <w:tab/>
      </w:r>
      <w:r w:rsidR="006413B4" w:rsidRPr="00B35AB5">
        <w:rPr>
          <w:rFonts w:asciiTheme="minorHAnsi" w:hAnsiTheme="minorHAnsi" w:cstheme="minorHAnsi"/>
        </w:rPr>
        <w:t>CI4</w:t>
      </w:r>
    </w:p>
    <w:p w14:paraId="76EF7D9E" w14:textId="6E9E30FC" w:rsidR="006413B4" w:rsidRPr="00B35AB5" w:rsidRDefault="004F3908" w:rsidP="00B35AB5">
      <w:pPr>
        <w:pStyle w:val="ListParagraph"/>
        <w:numPr>
          <w:ilvl w:val="1"/>
          <w:numId w:val="14"/>
        </w:numPr>
        <w:spacing w:after="0"/>
        <w:ind w:left="2160"/>
        <w:rPr>
          <w:rFonts w:asciiTheme="minorHAnsi" w:hAnsiTheme="minorHAnsi" w:cstheme="minorHAnsi"/>
        </w:rPr>
      </w:pPr>
      <w:r>
        <w:rPr>
          <w:rFonts w:asciiTheme="minorHAnsi" w:hAnsiTheme="minorHAnsi" w:cstheme="minorHAnsi"/>
        </w:rPr>
        <w:t>Test:</w:t>
      </w:r>
      <w:r>
        <w:rPr>
          <w:rFonts w:asciiTheme="minorHAnsi" w:hAnsiTheme="minorHAnsi" w:cstheme="minorHAnsi"/>
        </w:rPr>
        <w:tab/>
      </w:r>
      <w:r>
        <w:rPr>
          <w:rFonts w:asciiTheme="minorHAnsi" w:hAnsiTheme="minorHAnsi" w:cstheme="minorHAnsi"/>
        </w:rPr>
        <w:tab/>
      </w:r>
      <w:proofErr w:type="spellStart"/>
      <w:r w:rsidR="006413B4" w:rsidRPr="00B35AB5">
        <w:rPr>
          <w:rFonts w:asciiTheme="minorHAnsi" w:hAnsiTheme="minorHAnsi" w:cstheme="minorHAnsi"/>
        </w:rPr>
        <w:t>HBsAg</w:t>
      </w:r>
      <w:proofErr w:type="spellEnd"/>
      <w:r w:rsidR="006413B4" w:rsidRPr="00B35AB5">
        <w:rPr>
          <w:rFonts w:asciiTheme="minorHAnsi" w:hAnsiTheme="minorHAnsi" w:cstheme="minorHAnsi"/>
        </w:rPr>
        <w:t>, HBAGX, HEPSC</w:t>
      </w:r>
    </w:p>
    <w:p w14:paraId="5CB2FEC6" w14:textId="30F118C7" w:rsidR="006413B4" w:rsidRPr="006413B4" w:rsidRDefault="006413B4" w:rsidP="00B35AB5">
      <w:pPr>
        <w:pStyle w:val="ListParagraph"/>
        <w:numPr>
          <w:ilvl w:val="1"/>
          <w:numId w:val="12"/>
        </w:numPr>
        <w:spacing w:after="0"/>
        <w:ind w:left="1440"/>
        <w:rPr>
          <w:rFonts w:asciiTheme="minorHAnsi" w:hAnsiTheme="minorHAnsi" w:cstheme="minorHAnsi"/>
        </w:rPr>
      </w:pPr>
      <w:r w:rsidRPr="006413B4">
        <w:rPr>
          <w:rFonts w:asciiTheme="minorHAnsi" w:hAnsiTheme="minorHAnsi" w:cstheme="minorHAnsi"/>
        </w:rPr>
        <w:t>QLS Entry:</w:t>
      </w:r>
    </w:p>
    <w:p w14:paraId="3992546E" w14:textId="7A2EBC2E" w:rsidR="006413B4" w:rsidRPr="00E70E72" w:rsidRDefault="004F3908" w:rsidP="00E70E72">
      <w:pPr>
        <w:pStyle w:val="ListParagraph"/>
        <w:numPr>
          <w:ilvl w:val="2"/>
          <w:numId w:val="12"/>
        </w:numPr>
        <w:spacing w:after="0"/>
        <w:ind w:left="2160"/>
        <w:rPr>
          <w:rFonts w:asciiTheme="minorHAnsi" w:hAnsiTheme="minorHAnsi" w:cstheme="minorHAnsi"/>
        </w:rPr>
      </w:pPr>
      <w:r>
        <w:rPr>
          <w:rFonts w:asciiTheme="minorHAnsi" w:hAnsiTheme="minorHAnsi" w:cstheme="minorHAnsi"/>
        </w:rPr>
        <w:t>Q</w:t>
      </w:r>
      <w:r w:rsidR="006413B4" w:rsidRPr="00E70E72">
        <w:rPr>
          <w:rFonts w:asciiTheme="minorHAnsi" w:hAnsiTheme="minorHAnsi" w:cstheme="minorHAnsi"/>
        </w:rPr>
        <w:t>LS common pathway</w:t>
      </w:r>
      <w:r>
        <w:rPr>
          <w:rFonts w:asciiTheme="minorHAnsi" w:hAnsiTheme="minorHAnsi" w:cstheme="minorHAnsi"/>
        </w:rPr>
        <w:t>:</w:t>
      </w:r>
      <w:r>
        <w:rPr>
          <w:rFonts w:asciiTheme="minorHAnsi" w:hAnsiTheme="minorHAnsi" w:cstheme="minorHAnsi"/>
        </w:rPr>
        <w:tab/>
        <w:t>3, 3, 1</w:t>
      </w:r>
      <w:r w:rsidR="006413B4" w:rsidRPr="00E70E72">
        <w:rPr>
          <w:rFonts w:asciiTheme="minorHAnsi" w:hAnsiTheme="minorHAnsi" w:cstheme="minorHAnsi"/>
        </w:rPr>
        <w:t xml:space="preserve"> </w:t>
      </w:r>
    </w:p>
    <w:p w14:paraId="3DBDC605" w14:textId="3B868C0C" w:rsidR="006413B4" w:rsidRPr="00E70E72" w:rsidRDefault="006413B4" w:rsidP="00E70E72">
      <w:pPr>
        <w:pStyle w:val="ListParagraph"/>
        <w:numPr>
          <w:ilvl w:val="2"/>
          <w:numId w:val="12"/>
        </w:numPr>
        <w:spacing w:after="0"/>
        <w:ind w:left="2160"/>
        <w:rPr>
          <w:rFonts w:asciiTheme="minorHAnsi" w:hAnsiTheme="minorHAnsi" w:cstheme="minorHAnsi"/>
        </w:rPr>
      </w:pPr>
      <w:r w:rsidRPr="00E70E72">
        <w:rPr>
          <w:rFonts w:asciiTheme="minorHAnsi" w:hAnsiTheme="minorHAnsi" w:cstheme="minorHAnsi"/>
        </w:rPr>
        <w:lastRenderedPageBreak/>
        <w:t>Test code:</w:t>
      </w:r>
      <w:r w:rsidR="00E70E72">
        <w:rPr>
          <w:rFonts w:asciiTheme="minorHAnsi" w:hAnsiTheme="minorHAnsi" w:cstheme="minorHAnsi"/>
        </w:rPr>
        <w:tab/>
      </w:r>
      <w:r w:rsidRPr="00E70E72">
        <w:rPr>
          <w:rFonts w:asciiTheme="minorHAnsi" w:hAnsiTheme="minorHAnsi" w:cstheme="minorHAnsi"/>
        </w:rPr>
        <w:t>498/10306</w:t>
      </w:r>
      <w:r w:rsidRPr="00E70E72">
        <w:rPr>
          <w:rFonts w:asciiTheme="minorHAnsi" w:hAnsiTheme="minorHAnsi" w:cstheme="minorHAnsi"/>
        </w:rPr>
        <w:tab/>
      </w:r>
      <w:r w:rsidR="00E70E72">
        <w:rPr>
          <w:rFonts w:asciiTheme="minorHAnsi" w:hAnsiTheme="minorHAnsi" w:cstheme="minorHAnsi"/>
        </w:rPr>
        <w:tab/>
      </w:r>
      <w:r w:rsidRPr="00E70E72">
        <w:rPr>
          <w:rFonts w:asciiTheme="minorHAnsi" w:hAnsiTheme="minorHAnsi" w:cstheme="minorHAnsi"/>
        </w:rPr>
        <w:t>37567 (HBSAG only – no confirmation)</w:t>
      </w:r>
    </w:p>
    <w:p w14:paraId="3462814A" w14:textId="33B77F6D" w:rsidR="006413B4" w:rsidRPr="006413B4" w:rsidRDefault="006413B4" w:rsidP="00E70E72">
      <w:pPr>
        <w:pStyle w:val="ListParagraph"/>
        <w:numPr>
          <w:ilvl w:val="2"/>
          <w:numId w:val="12"/>
        </w:numPr>
        <w:spacing w:after="0"/>
        <w:ind w:left="2160"/>
        <w:rPr>
          <w:rFonts w:asciiTheme="minorHAnsi" w:hAnsiTheme="minorHAnsi" w:cstheme="minorHAnsi"/>
        </w:rPr>
      </w:pPr>
      <w:r w:rsidRPr="006413B4">
        <w:rPr>
          <w:rFonts w:asciiTheme="minorHAnsi" w:hAnsiTheme="minorHAnsi" w:cstheme="minorHAnsi"/>
        </w:rPr>
        <w:t xml:space="preserve">Worksheet: </w:t>
      </w:r>
      <w:r w:rsidRPr="006413B4">
        <w:rPr>
          <w:rFonts w:asciiTheme="minorHAnsi" w:hAnsiTheme="minorHAnsi" w:cstheme="minorHAnsi"/>
        </w:rPr>
        <w:tab/>
        <w:t>CIMI7</w:t>
      </w:r>
      <w:r w:rsidRPr="006413B4">
        <w:rPr>
          <w:rFonts w:asciiTheme="minorHAnsi" w:hAnsiTheme="minorHAnsi" w:cstheme="minorHAnsi"/>
        </w:rPr>
        <w:tab/>
      </w:r>
      <w:r w:rsidRPr="006413B4">
        <w:rPr>
          <w:rFonts w:asciiTheme="minorHAnsi" w:hAnsiTheme="minorHAnsi" w:cstheme="minorHAnsi"/>
        </w:rPr>
        <w:tab/>
      </w:r>
      <w:r w:rsidR="00E70E72">
        <w:rPr>
          <w:rFonts w:asciiTheme="minorHAnsi" w:hAnsiTheme="minorHAnsi" w:cstheme="minorHAnsi"/>
        </w:rPr>
        <w:tab/>
      </w:r>
      <w:r w:rsidRPr="006413B4">
        <w:rPr>
          <w:rFonts w:asciiTheme="minorHAnsi" w:hAnsiTheme="minorHAnsi" w:cstheme="minorHAnsi"/>
        </w:rPr>
        <w:t>CIMI9 (for test 37567)</w:t>
      </w:r>
    </w:p>
    <w:p w14:paraId="4206B4B2" w14:textId="707C0717" w:rsidR="006413B4" w:rsidRPr="006413B4" w:rsidRDefault="006413B4" w:rsidP="00E70E72">
      <w:pPr>
        <w:pStyle w:val="ListParagraph"/>
        <w:numPr>
          <w:ilvl w:val="1"/>
          <w:numId w:val="12"/>
        </w:numPr>
        <w:spacing w:after="0"/>
        <w:ind w:left="1440"/>
        <w:rPr>
          <w:rFonts w:asciiTheme="minorHAnsi" w:hAnsiTheme="minorHAnsi" w:cstheme="minorHAnsi"/>
        </w:rPr>
      </w:pPr>
      <w:r w:rsidRPr="006413B4">
        <w:rPr>
          <w:rFonts w:asciiTheme="minorHAnsi" w:hAnsiTheme="minorHAnsi" w:cstheme="minorHAnsi"/>
        </w:rPr>
        <w:t>Computer Downtime:</w:t>
      </w:r>
    </w:p>
    <w:p w14:paraId="6D3680A5" w14:textId="76F506A1" w:rsidR="006413B4" w:rsidRPr="006413B4" w:rsidRDefault="006413B4" w:rsidP="00E70E72">
      <w:pPr>
        <w:spacing w:after="0"/>
        <w:ind w:left="1440"/>
        <w:rPr>
          <w:rFonts w:asciiTheme="minorHAnsi" w:hAnsiTheme="minorHAnsi" w:cstheme="minorHAnsi"/>
        </w:rPr>
      </w:pPr>
      <w:r w:rsidRPr="006413B4">
        <w:rPr>
          <w:rFonts w:asciiTheme="minorHAnsi" w:hAnsiTheme="minorHAnsi" w:cstheme="minorHAnsi"/>
        </w:rPr>
        <w:t>Refer to the Laboratory Computer Downtime procedure if LIS or HIS is</w:t>
      </w:r>
      <w:r w:rsidR="00E70E72">
        <w:rPr>
          <w:rFonts w:asciiTheme="minorHAnsi" w:hAnsiTheme="minorHAnsi" w:cstheme="minorHAnsi"/>
        </w:rPr>
        <w:t xml:space="preserve"> </w:t>
      </w:r>
      <w:r w:rsidRPr="006413B4">
        <w:rPr>
          <w:rFonts w:asciiTheme="minorHAnsi" w:hAnsiTheme="minorHAnsi" w:cstheme="minorHAnsi"/>
        </w:rPr>
        <w:t>non-functional.</w:t>
      </w:r>
    </w:p>
    <w:p w14:paraId="32F23827" w14:textId="540EFA86" w:rsidR="0026140C" w:rsidRPr="006413B4" w:rsidRDefault="006413B4" w:rsidP="00E70E72">
      <w:pPr>
        <w:pStyle w:val="ListParagraph"/>
        <w:numPr>
          <w:ilvl w:val="1"/>
          <w:numId w:val="12"/>
        </w:numPr>
        <w:spacing w:after="0"/>
        <w:ind w:left="1440"/>
        <w:rPr>
          <w:rFonts w:asciiTheme="minorHAnsi" w:hAnsiTheme="minorHAnsi" w:cstheme="minorHAnsi"/>
        </w:rPr>
      </w:pPr>
      <w:proofErr w:type="spellStart"/>
      <w:r w:rsidRPr="006413B4">
        <w:rPr>
          <w:rFonts w:asciiTheme="minorHAnsi" w:hAnsiTheme="minorHAnsi" w:cstheme="minorHAnsi"/>
        </w:rPr>
        <w:t>HGsAg</w:t>
      </w:r>
      <w:proofErr w:type="spellEnd"/>
      <w:r w:rsidRPr="006413B4">
        <w:rPr>
          <w:rFonts w:asciiTheme="minorHAnsi" w:hAnsiTheme="minorHAnsi" w:cstheme="minorHAnsi"/>
        </w:rPr>
        <w:t xml:space="preserve"> results are qualitative.</w:t>
      </w:r>
    </w:p>
    <w:p w14:paraId="0A6EB47E" w14:textId="77777777" w:rsidR="006413B4" w:rsidRPr="006413B4" w:rsidRDefault="006413B4" w:rsidP="006413B4">
      <w:pPr>
        <w:pStyle w:val="ListParagraph"/>
        <w:spacing w:after="0"/>
        <w:ind w:left="1440"/>
        <w:rPr>
          <w:rFonts w:asciiTheme="minorHAnsi" w:hAnsiTheme="minorHAnsi" w:cstheme="minorHAnsi"/>
        </w:rPr>
      </w:pPr>
    </w:p>
    <w:p w14:paraId="11610EA8" w14:textId="77777777" w:rsidR="0026140C" w:rsidRPr="00EE6E73" w:rsidRDefault="0026140C" w:rsidP="00EE6E73">
      <w:pPr>
        <w:spacing w:after="0"/>
        <w:rPr>
          <w:rFonts w:asciiTheme="minorHAnsi" w:hAnsiTheme="minorHAnsi" w:cstheme="minorHAnsi"/>
          <w:b/>
        </w:rPr>
      </w:pPr>
      <w:r w:rsidRPr="00EE6E73">
        <w:rPr>
          <w:rFonts w:asciiTheme="minorHAnsi" w:hAnsiTheme="minorHAnsi" w:cstheme="minorHAnsi"/>
          <w:b/>
        </w:rPr>
        <w:t>PROCEDURE NOTES</w:t>
      </w:r>
    </w:p>
    <w:p w14:paraId="45E3312D" w14:textId="35AE98A5" w:rsidR="00E70E72" w:rsidRPr="00E70E72" w:rsidRDefault="00E70E72" w:rsidP="00E70E72">
      <w:pPr>
        <w:pStyle w:val="ListParagraph"/>
        <w:numPr>
          <w:ilvl w:val="0"/>
          <w:numId w:val="15"/>
        </w:numPr>
        <w:spacing w:after="0"/>
        <w:ind w:left="720"/>
        <w:rPr>
          <w:rFonts w:asciiTheme="minorHAnsi" w:hAnsiTheme="minorHAnsi" w:cstheme="minorHAnsi"/>
        </w:rPr>
      </w:pPr>
      <w:r w:rsidRPr="00E70E72">
        <w:rPr>
          <w:rFonts w:asciiTheme="minorHAnsi" w:hAnsiTheme="minorHAnsi" w:cstheme="minorHAnsi"/>
        </w:rPr>
        <w:t>Clinical Significance</w:t>
      </w:r>
    </w:p>
    <w:p w14:paraId="37E26291" w14:textId="7364BB12" w:rsidR="00E70E72" w:rsidRPr="00E70E72" w:rsidRDefault="00E70E72" w:rsidP="00E70E72">
      <w:pPr>
        <w:spacing w:after="0"/>
        <w:ind w:left="720"/>
        <w:rPr>
          <w:rFonts w:asciiTheme="minorHAnsi" w:hAnsiTheme="minorHAnsi" w:cstheme="minorHAnsi"/>
        </w:rPr>
      </w:pPr>
      <w:r w:rsidRPr="00E70E72">
        <w:rPr>
          <w:rFonts w:asciiTheme="minorHAnsi" w:hAnsiTheme="minorHAnsi" w:cstheme="minorHAnsi"/>
        </w:rPr>
        <w:t>T</w:t>
      </w:r>
      <w:r w:rsidR="004F3908">
        <w:rPr>
          <w:rFonts w:asciiTheme="minorHAnsi" w:hAnsiTheme="minorHAnsi" w:cstheme="minorHAnsi"/>
        </w:rPr>
        <w:t xml:space="preserve">he ADVIA Centaur </w:t>
      </w:r>
      <w:proofErr w:type="spellStart"/>
      <w:r w:rsidR="004F3908">
        <w:rPr>
          <w:rFonts w:asciiTheme="minorHAnsi" w:hAnsiTheme="minorHAnsi" w:cstheme="minorHAnsi"/>
        </w:rPr>
        <w:t>HBsAg</w:t>
      </w:r>
      <w:r w:rsidR="00B07C9D">
        <w:rPr>
          <w:rFonts w:asciiTheme="minorHAnsi" w:hAnsiTheme="minorHAnsi" w:cstheme="minorHAnsi"/>
        </w:rPr>
        <w:t>II</w:t>
      </w:r>
      <w:proofErr w:type="spellEnd"/>
      <w:r w:rsidR="004F3908">
        <w:rPr>
          <w:rFonts w:asciiTheme="minorHAnsi" w:hAnsiTheme="minorHAnsi" w:cstheme="minorHAnsi"/>
        </w:rPr>
        <w:t xml:space="preserve"> assay is</w:t>
      </w:r>
      <w:r w:rsidRPr="00E70E72">
        <w:rPr>
          <w:rFonts w:asciiTheme="minorHAnsi" w:hAnsiTheme="minorHAnsi" w:cstheme="minorHAnsi"/>
        </w:rPr>
        <w:t xml:space="preserve"> a magnetic particle chemiluminometric immunoassay used to measure the amount of hepatitis B surface antigen in human serum and plasma.  Hepatitis B virus (HBV) is endemic throughout the world and is the major cause of liver disease.  HBV is transmitted through dire</w:t>
      </w:r>
      <w:r>
        <w:rPr>
          <w:rFonts w:asciiTheme="minorHAnsi" w:hAnsiTheme="minorHAnsi" w:cstheme="minorHAnsi"/>
        </w:rPr>
        <w:t xml:space="preserve">ct contact with blood and body </w:t>
      </w:r>
      <w:r w:rsidRPr="00E70E72">
        <w:rPr>
          <w:rFonts w:asciiTheme="minorHAnsi" w:hAnsiTheme="minorHAnsi" w:cstheme="minorHAnsi"/>
        </w:rPr>
        <w:t>fluids.  Common modes of transmission include blood transfusion, needle puncture, direct</w:t>
      </w:r>
      <w:r>
        <w:rPr>
          <w:rFonts w:asciiTheme="minorHAnsi" w:hAnsiTheme="minorHAnsi" w:cstheme="minorHAnsi"/>
        </w:rPr>
        <w:t xml:space="preserve"> </w:t>
      </w:r>
      <w:r w:rsidRPr="00E70E72">
        <w:rPr>
          <w:rFonts w:asciiTheme="minorHAnsi" w:hAnsiTheme="minorHAnsi" w:cstheme="minorHAnsi"/>
        </w:rPr>
        <w:t>contact with open wounds, sexual contact, and mother-neonate contact during birth.</w:t>
      </w:r>
    </w:p>
    <w:p w14:paraId="02EC18A4" w14:textId="77777777" w:rsidR="00E70E72" w:rsidRPr="00E70E72" w:rsidRDefault="00E70E72" w:rsidP="00E70E72">
      <w:pPr>
        <w:spacing w:after="0"/>
        <w:rPr>
          <w:rFonts w:asciiTheme="minorHAnsi" w:hAnsiTheme="minorHAnsi" w:cstheme="minorHAnsi"/>
        </w:rPr>
      </w:pPr>
    </w:p>
    <w:p w14:paraId="7FC7BE71" w14:textId="54EED78C" w:rsidR="00E70E72" w:rsidRPr="00E70E72" w:rsidRDefault="00E70E72" w:rsidP="00E70E72">
      <w:pPr>
        <w:spacing w:after="0"/>
        <w:ind w:left="720"/>
        <w:rPr>
          <w:rFonts w:asciiTheme="minorHAnsi" w:hAnsiTheme="minorHAnsi" w:cstheme="minorHAnsi"/>
        </w:rPr>
      </w:pPr>
      <w:r w:rsidRPr="00E70E72">
        <w:rPr>
          <w:rFonts w:asciiTheme="minorHAnsi" w:hAnsiTheme="minorHAnsi" w:cstheme="minorHAnsi"/>
        </w:rPr>
        <w:t>The average incubation period for HBV infection is 6 to 8 weeks (range 1 to 6 months).  Common clinical symptoms include malaise, fever, gastroenteritis, and icterus.  HBV infection can result in typical icteric hepatitis, subclinical anicteric hepatitis, fulminant hepatitis, or chronic or persistent hepatitis.  In adults, 90 to 95% of patients with HBV infection completely recover from acute illness and clear the virus.  Approximately 5 to 10% of patients with HBV become chronic carriers.  In HBV infected neonates, approximately 90% develop chronic hepatitis B infection.  It is estimated that over 300</w:t>
      </w:r>
      <w:r>
        <w:rPr>
          <w:rFonts w:asciiTheme="minorHAnsi" w:hAnsiTheme="minorHAnsi" w:cstheme="minorHAnsi"/>
        </w:rPr>
        <w:t xml:space="preserve"> </w:t>
      </w:r>
      <w:r w:rsidRPr="00E70E72">
        <w:rPr>
          <w:rFonts w:asciiTheme="minorHAnsi" w:hAnsiTheme="minorHAnsi" w:cstheme="minorHAnsi"/>
        </w:rPr>
        <w:t>million people worldwide are chronic carriers of the virus.  Chronic HBV infection is clearly associated with the development of hepatocellular carcinoma.</w:t>
      </w:r>
    </w:p>
    <w:p w14:paraId="2CE1DFFA" w14:textId="77777777" w:rsidR="00E70E72" w:rsidRPr="00E70E72" w:rsidRDefault="00E70E72" w:rsidP="00E70E72">
      <w:pPr>
        <w:spacing w:after="0"/>
        <w:rPr>
          <w:rFonts w:asciiTheme="minorHAnsi" w:hAnsiTheme="minorHAnsi" w:cstheme="minorHAnsi"/>
        </w:rPr>
      </w:pPr>
    </w:p>
    <w:p w14:paraId="705A3516" w14:textId="6F51ECF2" w:rsidR="00E70E72" w:rsidRPr="00E70E72" w:rsidRDefault="00E70E72" w:rsidP="00E70E72">
      <w:pPr>
        <w:pStyle w:val="ListParagraph"/>
        <w:numPr>
          <w:ilvl w:val="0"/>
          <w:numId w:val="15"/>
        </w:numPr>
        <w:spacing w:after="0"/>
        <w:ind w:left="720"/>
        <w:rPr>
          <w:rFonts w:asciiTheme="minorHAnsi" w:hAnsiTheme="minorHAnsi" w:cstheme="minorHAnsi"/>
        </w:rPr>
      </w:pPr>
      <w:r w:rsidRPr="00E70E72">
        <w:rPr>
          <w:rFonts w:asciiTheme="minorHAnsi" w:hAnsiTheme="minorHAnsi" w:cstheme="minorHAnsi"/>
        </w:rPr>
        <w:t>Hepatitis B surface antigen (</w:t>
      </w:r>
      <w:proofErr w:type="spellStart"/>
      <w:r w:rsidRPr="00E70E72">
        <w:rPr>
          <w:rFonts w:asciiTheme="minorHAnsi" w:hAnsiTheme="minorHAnsi" w:cstheme="minorHAnsi"/>
        </w:rPr>
        <w:t>HBsAg</w:t>
      </w:r>
      <w:proofErr w:type="spellEnd"/>
      <w:r w:rsidRPr="00E70E72">
        <w:rPr>
          <w:rFonts w:asciiTheme="minorHAnsi" w:hAnsiTheme="minorHAnsi" w:cstheme="minorHAnsi"/>
        </w:rPr>
        <w:t xml:space="preserve">) is a distinctive serological marker of acute or chronic hepatitis B infection.  </w:t>
      </w:r>
      <w:proofErr w:type="spellStart"/>
      <w:r w:rsidRPr="00E70E72">
        <w:rPr>
          <w:rFonts w:asciiTheme="minorHAnsi" w:hAnsiTheme="minorHAnsi" w:cstheme="minorHAnsi"/>
        </w:rPr>
        <w:t>HBsAg</w:t>
      </w:r>
      <w:proofErr w:type="spellEnd"/>
      <w:r w:rsidRPr="00E70E72">
        <w:rPr>
          <w:rFonts w:asciiTheme="minorHAnsi" w:hAnsiTheme="minorHAnsi" w:cstheme="minorHAnsi"/>
        </w:rPr>
        <w:t xml:space="preserve"> is the first antigen to appear following infection with hepatitis B virus and is generally detected 1 to 10 weeks before the onset of clinical symptoms.  </w:t>
      </w:r>
      <w:proofErr w:type="spellStart"/>
      <w:r w:rsidRPr="00E70E72">
        <w:rPr>
          <w:rFonts w:asciiTheme="minorHAnsi" w:hAnsiTheme="minorHAnsi" w:cstheme="minorHAnsi"/>
        </w:rPr>
        <w:t>HBsAg</w:t>
      </w:r>
      <w:proofErr w:type="spellEnd"/>
      <w:r w:rsidRPr="00E70E72">
        <w:rPr>
          <w:rFonts w:asciiTheme="minorHAnsi" w:hAnsiTheme="minorHAnsi" w:cstheme="minorHAnsi"/>
        </w:rPr>
        <w:t xml:space="preserve"> assays are routinely used to diagnose suspected HBV infection and to monitor the status of infected individuals to determine whether the infection has resolved or the patient has become a chronic carrier of the virus. In patients that recover from HBV infection, </w:t>
      </w:r>
      <w:proofErr w:type="spellStart"/>
      <w:r w:rsidRPr="00E70E72">
        <w:rPr>
          <w:rFonts w:asciiTheme="minorHAnsi" w:hAnsiTheme="minorHAnsi" w:cstheme="minorHAnsi"/>
        </w:rPr>
        <w:t>HBsAg</w:t>
      </w:r>
      <w:proofErr w:type="spellEnd"/>
      <w:r w:rsidRPr="00E70E72">
        <w:rPr>
          <w:rFonts w:asciiTheme="minorHAnsi" w:hAnsiTheme="minorHAnsi" w:cstheme="minorHAnsi"/>
        </w:rPr>
        <w:t xml:space="preserve"> levels disappear 3 to 5 months after the onset of the infection.  In patients with chronic HBV infection, </w:t>
      </w:r>
      <w:proofErr w:type="spellStart"/>
      <w:r w:rsidRPr="00E70E72">
        <w:rPr>
          <w:rFonts w:asciiTheme="minorHAnsi" w:hAnsiTheme="minorHAnsi" w:cstheme="minorHAnsi"/>
        </w:rPr>
        <w:t>HBsAg</w:t>
      </w:r>
      <w:proofErr w:type="spellEnd"/>
      <w:r w:rsidRPr="00E70E72">
        <w:rPr>
          <w:rFonts w:asciiTheme="minorHAnsi" w:hAnsiTheme="minorHAnsi" w:cstheme="minorHAnsi"/>
        </w:rPr>
        <w:t xml:space="preserve"> levels may remain detectable for life.  Prenatal </w:t>
      </w:r>
      <w:proofErr w:type="spellStart"/>
      <w:r w:rsidRPr="00E70E72">
        <w:rPr>
          <w:rFonts w:asciiTheme="minorHAnsi" w:hAnsiTheme="minorHAnsi" w:cstheme="minorHAnsi"/>
        </w:rPr>
        <w:t>HBsAg</w:t>
      </w:r>
      <w:proofErr w:type="spellEnd"/>
      <w:r w:rsidRPr="00E70E72">
        <w:rPr>
          <w:rFonts w:asciiTheme="minorHAnsi" w:hAnsiTheme="minorHAnsi" w:cstheme="minorHAnsi"/>
        </w:rPr>
        <w:t xml:space="preserve"> screening has been recommended so that newborns from HBV carrier mothers may obtain prophylactic treatment.</w:t>
      </w:r>
    </w:p>
    <w:p w14:paraId="4FB380D5" w14:textId="77777777" w:rsidR="00E70E72" w:rsidRPr="00E70E72" w:rsidRDefault="00E70E72" w:rsidP="00E70E72">
      <w:pPr>
        <w:spacing w:after="0"/>
        <w:rPr>
          <w:rFonts w:asciiTheme="minorHAnsi" w:hAnsiTheme="minorHAnsi" w:cstheme="minorHAnsi"/>
        </w:rPr>
      </w:pPr>
    </w:p>
    <w:p w14:paraId="34623E2D" w14:textId="1AF7AB17" w:rsidR="00E70E72" w:rsidRPr="00E70E72" w:rsidRDefault="00E70E72" w:rsidP="00E70E72">
      <w:pPr>
        <w:pStyle w:val="ListParagraph"/>
        <w:numPr>
          <w:ilvl w:val="0"/>
          <w:numId w:val="15"/>
        </w:numPr>
        <w:spacing w:after="0"/>
        <w:ind w:left="720"/>
        <w:rPr>
          <w:rFonts w:asciiTheme="minorHAnsi" w:hAnsiTheme="minorHAnsi" w:cstheme="minorHAnsi"/>
        </w:rPr>
      </w:pPr>
      <w:r w:rsidRPr="00E70E72">
        <w:rPr>
          <w:rFonts w:asciiTheme="minorHAnsi" w:hAnsiTheme="minorHAnsi" w:cstheme="minorHAnsi"/>
        </w:rPr>
        <w:t>Back-up Method:</w:t>
      </w:r>
    </w:p>
    <w:p w14:paraId="537BF861" w14:textId="36CB2B43" w:rsidR="0026140C" w:rsidRDefault="00E70E72" w:rsidP="00E70E72">
      <w:pPr>
        <w:spacing w:after="0"/>
        <w:ind w:left="720"/>
        <w:rPr>
          <w:rFonts w:asciiTheme="minorHAnsi" w:hAnsiTheme="minorHAnsi" w:cstheme="minorHAnsi"/>
        </w:rPr>
      </w:pPr>
      <w:r w:rsidRPr="00E70E72">
        <w:rPr>
          <w:rFonts w:asciiTheme="minorHAnsi" w:hAnsiTheme="minorHAnsi" w:cstheme="minorHAnsi"/>
        </w:rPr>
        <w:t>If testing cannot be performed, arrangements will be made to send testing to a referral lab.  The referral lab will be determined by the manager, supervisor or lead technologist at the downtime.</w:t>
      </w:r>
    </w:p>
    <w:p w14:paraId="4EDC8B1E" w14:textId="77777777" w:rsidR="00E70E72" w:rsidRPr="00EE6E73" w:rsidRDefault="00E70E72" w:rsidP="00EE6E73">
      <w:pPr>
        <w:spacing w:after="0"/>
        <w:rPr>
          <w:rFonts w:asciiTheme="minorHAnsi" w:hAnsiTheme="minorHAnsi" w:cstheme="minorHAnsi"/>
        </w:rPr>
      </w:pPr>
    </w:p>
    <w:p w14:paraId="55F487AA" w14:textId="77777777" w:rsidR="0026140C" w:rsidRPr="00EE6E73" w:rsidRDefault="0026140C" w:rsidP="00EE6E73">
      <w:pPr>
        <w:spacing w:after="0"/>
        <w:rPr>
          <w:rFonts w:asciiTheme="minorHAnsi" w:hAnsiTheme="minorHAnsi" w:cstheme="minorHAnsi"/>
          <w:b/>
        </w:rPr>
      </w:pPr>
      <w:r w:rsidRPr="00EE6E73">
        <w:rPr>
          <w:rFonts w:asciiTheme="minorHAnsi" w:hAnsiTheme="minorHAnsi" w:cstheme="minorHAnsi"/>
          <w:b/>
        </w:rPr>
        <w:lastRenderedPageBreak/>
        <w:t>LIMITATIONS</w:t>
      </w:r>
    </w:p>
    <w:p w14:paraId="0C64A2A5" w14:textId="7A6994B3" w:rsidR="00E70E72" w:rsidRDefault="00E70E72" w:rsidP="00225166">
      <w:pPr>
        <w:pStyle w:val="ListParagraph"/>
        <w:numPr>
          <w:ilvl w:val="0"/>
          <w:numId w:val="17"/>
        </w:numPr>
        <w:spacing w:after="0"/>
        <w:ind w:left="720"/>
      </w:pPr>
      <w:r>
        <w:t xml:space="preserve">The ADVIA Centaur </w:t>
      </w:r>
      <w:proofErr w:type="spellStart"/>
      <w:r>
        <w:t>HBsAg</w:t>
      </w:r>
      <w:r w:rsidR="00B07C9D">
        <w:t>II</w:t>
      </w:r>
      <w:proofErr w:type="spellEnd"/>
      <w:r>
        <w:t xml:space="preserve"> assay is limited to the detection of </w:t>
      </w:r>
      <w:proofErr w:type="spellStart"/>
      <w:r>
        <w:t>HBsAg</w:t>
      </w:r>
      <w:proofErr w:type="spellEnd"/>
      <w:r>
        <w:t xml:space="preserve"> in human serum or plasma (potassium EDTA plasma, lithium or sodium heparinized plasma).</w:t>
      </w:r>
    </w:p>
    <w:p w14:paraId="0BC05090" w14:textId="77777777" w:rsidR="00E70E72" w:rsidRDefault="00E70E72" w:rsidP="00225166">
      <w:pPr>
        <w:spacing w:after="0"/>
        <w:ind w:left="720"/>
      </w:pPr>
    </w:p>
    <w:p w14:paraId="3C497181" w14:textId="3F7A9E46" w:rsidR="00E70E72" w:rsidRDefault="00E70E72" w:rsidP="00225166">
      <w:pPr>
        <w:pStyle w:val="ListParagraph"/>
        <w:numPr>
          <w:ilvl w:val="0"/>
          <w:numId w:val="17"/>
        </w:numPr>
        <w:spacing w:after="0"/>
        <w:ind w:left="720"/>
      </w:pPr>
      <w:r>
        <w:t xml:space="preserve">For diagnostic purposes, the ADVIA Centaur </w:t>
      </w:r>
      <w:proofErr w:type="spellStart"/>
      <w:r>
        <w:t>HBsAg</w:t>
      </w:r>
      <w:r w:rsidR="00B07C9D">
        <w:t>II</w:t>
      </w:r>
      <w:proofErr w:type="spellEnd"/>
      <w:r>
        <w:t xml:space="preserve"> test results should always be assessed in conjunction with the patient’s medical history, clinical examination, and other findings.</w:t>
      </w:r>
    </w:p>
    <w:p w14:paraId="68942D04" w14:textId="77777777" w:rsidR="00E70E72" w:rsidRDefault="00E70E72" w:rsidP="00225166">
      <w:pPr>
        <w:spacing w:after="0"/>
        <w:ind w:left="720"/>
      </w:pPr>
    </w:p>
    <w:p w14:paraId="03AE3EA3" w14:textId="0E4CD175" w:rsidR="00E70E72" w:rsidRDefault="00E70E72" w:rsidP="00225166">
      <w:pPr>
        <w:pStyle w:val="ListParagraph"/>
        <w:numPr>
          <w:ilvl w:val="0"/>
          <w:numId w:val="17"/>
        </w:numPr>
        <w:spacing w:after="0"/>
        <w:ind w:left="720"/>
      </w:pPr>
      <w:r>
        <w:t>It is recognized that the current methods for the detection of hepatitis B surface antigen may not detect potentially infected individuals.  A nonreactive test result does not exclude the possibility of exposure to or infection with hepatitis B virus.  A nonreactive test result in individuals with prior exposure to hepatitis B may be due to antigen levels below the detection limit of this assay or lack of antigen reactivity to the antibodies in this assay.</w:t>
      </w:r>
    </w:p>
    <w:p w14:paraId="4EA59E5F" w14:textId="77777777" w:rsidR="00E70E72" w:rsidRDefault="00E70E72" w:rsidP="00225166">
      <w:pPr>
        <w:spacing w:after="0"/>
        <w:ind w:left="720"/>
      </w:pPr>
    </w:p>
    <w:p w14:paraId="2C184041" w14:textId="0A30B334" w:rsidR="00E70E72" w:rsidRDefault="00E70E72" w:rsidP="00225166">
      <w:pPr>
        <w:pStyle w:val="ListParagraph"/>
        <w:numPr>
          <w:ilvl w:val="0"/>
          <w:numId w:val="17"/>
        </w:numPr>
        <w:spacing w:after="0"/>
        <w:ind w:left="720"/>
      </w:pPr>
      <w:r>
        <w:t xml:space="preserve">The analytical sensitivity of the ADVIA Centaur </w:t>
      </w:r>
      <w:proofErr w:type="spellStart"/>
      <w:r>
        <w:t>HBsAg</w:t>
      </w:r>
      <w:r w:rsidR="00B07C9D">
        <w:t>II</w:t>
      </w:r>
      <w:proofErr w:type="spellEnd"/>
      <w:r>
        <w:t xml:space="preserve"> assay was verified with WHO 1</w:t>
      </w:r>
      <w:r w:rsidRPr="00225166">
        <w:rPr>
          <w:vertAlign w:val="superscript"/>
        </w:rPr>
        <w:t>st</w:t>
      </w:r>
      <w:r>
        <w:t xml:space="preserve"> International Reference Standard, </w:t>
      </w:r>
      <w:r w:rsidR="00B07C9D">
        <w:t>00/588</w:t>
      </w:r>
      <w:r>
        <w:t xml:space="preserve"> and the Boston </w:t>
      </w:r>
      <w:proofErr w:type="spellStart"/>
      <w:r>
        <w:t>Biomedica</w:t>
      </w:r>
      <w:proofErr w:type="spellEnd"/>
      <w:r>
        <w:t xml:space="preserve"> Inc.  </w:t>
      </w:r>
      <w:proofErr w:type="spellStart"/>
      <w:r>
        <w:t>HBsAg</w:t>
      </w:r>
      <w:proofErr w:type="spellEnd"/>
      <w:r>
        <w:t xml:space="preserve"> sensitivity panel (ad and ay subtypes).  The analytical sensitivity of the assay was determined to be 0.0</w:t>
      </w:r>
      <w:r w:rsidR="00B07C9D">
        <w:t>40</w:t>
      </w:r>
      <w:r>
        <w:t xml:space="preserve"> IU/mL and 0.034 PEI Units ad and 0.033 PEI Units ay at the 1.00 Index Cutoff.  Refer to the </w:t>
      </w:r>
      <w:r w:rsidRPr="00225166">
        <w:rPr>
          <w:i/>
        </w:rPr>
        <w:t>Analytical Sensitivity</w:t>
      </w:r>
      <w:r>
        <w:t xml:space="preserve"> section for additional information.</w:t>
      </w:r>
      <w:r>
        <w:tab/>
      </w:r>
    </w:p>
    <w:p w14:paraId="3965CE63" w14:textId="77777777" w:rsidR="00E70E72" w:rsidRDefault="00E70E72" w:rsidP="00225166">
      <w:pPr>
        <w:spacing w:after="0"/>
        <w:ind w:left="720"/>
      </w:pPr>
    </w:p>
    <w:p w14:paraId="11AB7E77" w14:textId="09578E70" w:rsidR="00E70E72" w:rsidRDefault="00E70E72" w:rsidP="00225166">
      <w:pPr>
        <w:pStyle w:val="ListParagraph"/>
        <w:numPr>
          <w:ilvl w:val="0"/>
          <w:numId w:val="17"/>
        </w:numPr>
        <w:spacing w:after="0"/>
        <w:ind w:left="720"/>
      </w:pPr>
      <w:r>
        <w:t xml:space="preserve">The performance of the ADVIA Centaur </w:t>
      </w:r>
      <w:proofErr w:type="spellStart"/>
      <w:r>
        <w:t>HBsAg</w:t>
      </w:r>
      <w:r w:rsidR="00B07C9D">
        <w:t>II</w:t>
      </w:r>
      <w:proofErr w:type="spellEnd"/>
      <w:r>
        <w:t xml:space="preserve"> assay has not been established with cord blood, neonatal specimens, cadaver specimens, heat-inactivated specimens, or body fluids other than serum or plasma, such as saliva, urine, amniotic fluid, or pleural fluid.</w:t>
      </w:r>
    </w:p>
    <w:p w14:paraId="7B1F4E2E" w14:textId="77777777" w:rsidR="00E70E72" w:rsidRDefault="00E70E72" w:rsidP="00225166">
      <w:pPr>
        <w:spacing w:after="0"/>
        <w:ind w:left="720"/>
      </w:pPr>
    </w:p>
    <w:p w14:paraId="7762DBA9" w14:textId="0AA7B5E1" w:rsidR="00E70E72" w:rsidRDefault="00E70E72" w:rsidP="00225166">
      <w:pPr>
        <w:pStyle w:val="ListParagraph"/>
        <w:numPr>
          <w:ilvl w:val="0"/>
          <w:numId w:val="17"/>
        </w:numPr>
        <w:spacing w:after="0"/>
        <w:ind w:left="720"/>
      </w:pPr>
      <w:r>
        <w:t>The performance of the assay has not been established for populations of immunocompromised or immunosuppressed patients.  Results from these individuals must be interpreted with caution.</w:t>
      </w:r>
    </w:p>
    <w:p w14:paraId="2691C9A6" w14:textId="77777777" w:rsidR="00E70E72" w:rsidRDefault="00E70E72" w:rsidP="00225166">
      <w:pPr>
        <w:spacing w:after="0"/>
        <w:ind w:left="720"/>
      </w:pPr>
    </w:p>
    <w:p w14:paraId="41F1A452" w14:textId="443C8DD4" w:rsidR="00E70E72" w:rsidRDefault="00E70E72" w:rsidP="00225166">
      <w:pPr>
        <w:pStyle w:val="ListParagraph"/>
        <w:numPr>
          <w:ilvl w:val="0"/>
          <w:numId w:val="17"/>
        </w:numPr>
        <w:spacing w:after="0"/>
        <w:ind w:left="720"/>
      </w:pPr>
      <w:r>
        <w:t>Heterophilic antibodies in human serum can react with reagent immunoglobulins, interferi</w:t>
      </w:r>
      <w:r w:rsidR="00B07C9D">
        <w:t xml:space="preserve">ng with in vitro immunoassays. </w:t>
      </w:r>
      <w:r>
        <w:t>Patients routinely exposed to animals or to animal serum products can be prone to this interference and anomalous values may be observed.  Additional information may be required for diagnosis.</w:t>
      </w:r>
    </w:p>
    <w:p w14:paraId="6E39AE69" w14:textId="77777777" w:rsidR="00E70E72" w:rsidRDefault="00E70E72" w:rsidP="00225166">
      <w:pPr>
        <w:spacing w:after="0"/>
        <w:ind w:left="720"/>
      </w:pPr>
    </w:p>
    <w:p w14:paraId="35E4DD11" w14:textId="73AB6CD2" w:rsidR="00E70E72" w:rsidRDefault="00E70E72" w:rsidP="00225166">
      <w:pPr>
        <w:pStyle w:val="ListParagraph"/>
        <w:numPr>
          <w:ilvl w:val="0"/>
          <w:numId w:val="17"/>
        </w:numPr>
        <w:spacing w:after="0"/>
        <w:ind w:left="720"/>
      </w:pPr>
      <w:r>
        <w:t>INTERFERENCE</w:t>
      </w:r>
    </w:p>
    <w:tbl>
      <w:tblPr>
        <w:tblW w:w="0" w:type="auto"/>
        <w:tblInd w:w="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1"/>
        <w:gridCol w:w="4641"/>
      </w:tblGrid>
      <w:tr w:rsidR="00E70E72" w14:paraId="363D5BC4" w14:textId="77777777" w:rsidTr="00E70E72">
        <w:trPr>
          <w:trHeight w:val="273"/>
        </w:trPr>
        <w:tc>
          <w:tcPr>
            <w:tcW w:w="3041" w:type="dxa"/>
          </w:tcPr>
          <w:p w14:paraId="2801B6CF" w14:textId="60D591B4" w:rsidR="00E70E72" w:rsidRPr="008876C2" w:rsidRDefault="00E70E72" w:rsidP="00E70E72">
            <w:pPr>
              <w:spacing w:after="0"/>
              <w:jc w:val="center"/>
              <w:rPr>
                <w:b/>
              </w:rPr>
            </w:pPr>
            <w:r w:rsidRPr="008876C2">
              <w:rPr>
                <w:b/>
              </w:rPr>
              <w:t>Serum specimens that are ….</w:t>
            </w:r>
          </w:p>
        </w:tc>
        <w:tc>
          <w:tcPr>
            <w:tcW w:w="4641" w:type="dxa"/>
          </w:tcPr>
          <w:p w14:paraId="71F3EFA4" w14:textId="7D6754C9" w:rsidR="00E70E72" w:rsidRPr="008876C2" w:rsidRDefault="00E70E72" w:rsidP="00225166">
            <w:pPr>
              <w:spacing w:after="0"/>
              <w:jc w:val="center"/>
              <w:rPr>
                <w:b/>
              </w:rPr>
            </w:pPr>
            <w:r w:rsidRPr="008876C2">
              <w:rPr>
                <w:b/>
              </w:rPr>
              <w:t>Demonstrate ≤ 10% change in results up to ….</w:t>
            </w:r>
          </w:p>
        </w:tc>
      </w:tr>
      <w:tr w:rsidR="00E70E72" w14:paraId="0FB26FB4" w14:textId="77777777" w:rsidTr="00E70E72">
        <w:trPr>
          <w:trHeight w:val="273"/>
        </w:trPr>
        <w:tc>
          <w:tcPr>
            <w:tcW w:w="3041" w:type="dxa"/>
          </w:tcPr>
          <w:p w14:paraId="6AF64B56" w14:textId="77777777" w:rsidR="00E70E72" w:rsidRDefault="00E70E72" w:rsidP="00E70E72">
            <w:pPr>
              <w:spacing w:after="0"/>
            </w:pPr>
            <w:r>
              <w:t>hemolyzed</w:t>
            </w:r>
          </w:p>
        </w:tc>
        <w:tc>
          <w:tcPr>
            <w:tcW w:w="4641" w:type="dxa"/>
          </w:tcPr>
          <w:p w14:paraId="05B519FB" w14:textId="77777777" w:rsidR="00E70E72" w:rsidRDefault="00E70E72" w:rsidP="00E70E72">
            <w:pPr>
              <w:spacing w:after="0"/>
            </w:pPr>
            <w:r>
              <w:t>500 mg/</w:t>
            </w:r>
            <w:proofErr w:type="spellStart"/>
            <w:r>
              <w:t>dL</w:t>
            </w:r>
            <w:proofErr w:type="spellEnd"/>
            <w:r>
              <w:t xml:space="preserve"> of hemoglobin</w:t>
            </w:r>
          </w:p>
        </w:tc>
      </w:tr>
      <w:tr w:rsidR="00E70E72" w14:paraId="74523B12" w14:textId="77777777" w:rsidTr="00E70E72">
        <w:trPr>
          <w:trHeight w:val="257"/>
        </w:trPr>
        <w:tc>
          <w:tcPr>
            <w:tcW w:w="3041" w:type="dxa"/>
          </w:tcPr>
          <w:p w14:paraId="4B7404BD" w14:textId="77777777" w:rsidR="00E70E72" w:rsidRDefault="00E70E72" w:rsidP="00E70E72">
            <w:pPr>
              <w:spacing w:after="0"/>
            </w:pPr>
            <w:r>
              <w:t>lipemic</w:t>
            </w:r>
          </w:p>
        </w:tc>
        <w:tc>
          <w:tcPr>
            <w:tcW w:w="4641" w:type="dxa"/>
          </w:tcPr>
          <w:p w14:paraId="3CE690EA" w14:textId="77777777" w:rsidR="00E70E72" w:rsidRDefault="00E70E72" w:rsidP="00E70E72">
            <w:pPr>
              <w:spacing w:after="0"/>
            </w:pPr>
            <w:r>
              <w:t>1000 mg/</w:t>
            </w:r>
            <w:proofErr w:type="spellStart"/>
            <w:r>
              <w:t>dL</w:t>
            </w:r>
            <w:proofErr w:type="spellEnd"/>
            <w:r>
              <w:t xml:space="preserve"> of triglycerides</w:t>
            </w:r>
          </w:p>
        </w:tc>
      </w:tr>
      <w:tr w:rsidR="00E70E72" w14:paraId="1084BA52" w14:textId="77777777" w:rsidTr="00E70E72">
        <w:trPr>
          <w:trHeight w:val="273"/>
        </w:trPr>
        <w:tc>
          <w:tcPr>
            <w:tcW w:w="3041" w:type="dxa"/>
          </w:tcPr>
          <w:p w14:paraId="11B1081E" w14:textId="77777777" w:rsidR="00E70E72" w:rsidRDefault="00E70E72" w:rsidP="00E70E72">
            <w:pPr>
              <w:spacing w:after="0"/>
            </w:pPr>
            <w:r>
              <w:t>icteric</w:t>
            </w:r>
          </w:p>
        </w:tc>
        <w:tc>
          <w:tcPr>
            <w:tcW w:w="4641" w:type="dxa"/>
          </w:tcPr>
          <w:p w14:paraId="4F913400" w14:textId="77777777" w:rsidR="00E70E72" w:rsidRDefault="00E70E72" w:rsidP="00E70E72">
            <w:pPr>
              <w:spacing w:after="0"/>
            </w:pPr>
            <w:r>
              <w:t>40 mg/</w:t>
            </w:r>
            <w:proofErr w:type="spellStart"/>
            <w:r>
              <w:t>dL</w:t>
            </w:r>
            <w:proofErr w:type="spellEnd"/>
            <w:r>
              <w:t xml:space="preserve"> of conjugated bilirubin</w:t>
            </w:r>
          </w:p>
        </w:tc>
      </w:tr>
      <w:tr w:rsidR="00E70E72" w14:paraId="4E472F45" w14:textId="77777777" w:rsidTr="00E70E72">
        <w:trPr>
          <w:trHeight w:val="257"/>
        </w:trPr>
        <w:tc>
          <w:tcPr>
            <w:tcW w:w="3041" w:type="dxa"/>
          </w:tcPr>
          <w:p w14:paraId="4EEC98DB" w14:textId="77777777" w:rsidR="00E70E72" w:rsidRDefault="00E70E72" w:rsidP="00E70E72">
            <w:pPr>
              <w:spacing w:after="0"/>
            </w:pPr>
            <w:r>
              <w:t>icteric</w:t>
            </w:r>
          </w:p>
        </w:tc>
        <w:tc>
          <w:tcPr>
            <w:tcW w:w="4641" w:type="dxa"/>
          </w:tcPr>
          <w:p w14:paraId="65B0E4D2" w14:textId="77777777" w:rsidR="00E70E72" w:rsidRDefault="00E70E72" w:rsidP="00E70E72">
            <w:pPr>
              <w:spacing w:after="0"/>
            </w:pPr>
            <w:r>
              <w:t>40 mg/</w:t>
            </w:r>
            <w:proofErr w:type="spellStart"/>
            <w:r>
              <w:t>dL</w:t>
            </w:r>
            <w:proofErr w:type="spellEnd"/>
            <w:r>
              <w:t xml:space="preserve"> of unconjugated bilirubin</w:t>
            </w:r>
          </w:p>
        </w:tc>
      </w:tr>
      <w:tr w:rsidR="00E70E72" w14:paraId="7EEBFAFB" w14:textId="77777777" w:rsidTr="00E70E72">
        <w:trPr>
          <w:trHeight w:val="273"/>
        </w:trPr>
        <w:tc>
          <w:tcPr>
            <w:tcW w:w="3041" w:type="dxa"/>
          </w:tcPr>
          <w:p w14:paraId="1BED41E3" w14:textId="77777777" w:rsidR="00E70E72" w:rsidRDefault="00E70E72" w:rsidP="00E70E72">
            <w:pPr>
              <w:spacing w:after="0"/>
            </w:pPr>
            <w:proofErr w:type="spellStart"/>
            <w:r>
              <w:t>proteinemic</w:t>
            </w:r>
            <w:proofErr w:type="spellEnd"/>
            <w:r>
              <w:t xml:space="preserve"> (high)</w:t>
            </w:r>
          </w:p>
        </w:tc>
        <w:tc>
          <w:tcPr>
            <w:tcW w:w="4641" w:type="dxa"/>
          </w:tcPr>
          <w:p w14:paraId="78055071" w14:textId="77777777" w:rsidR="00E70E72" w:rsidRDefault="00E70E72" w:rsidP="00E70E72">
            <w:pPr>
              <w:spacing w:after="0"/>
            </w:pPr>
            <w:r>
              <w:t>12 g/</w:t>
            </w:r>
            <w:proofErr w:type="spellStart"/>
            <w:r>
              <w:t>dL</w:t>
            </w:r>
            <w:proofErr w:type="spellEnd"/>
            <w:r>
              <w:t xml:space="preserve"> of protein</w:t>
            </w:r>
          </w:p>
        </w:tc>
      </w:tr>
    </w:tbl>
    <w:p w14:paraId="3E0859A8" w14:textId="1EFA24ED" w:rsidR="00E70E72" w:rsidRDefault="00E70E72" w:rsidP="00E70E72">
      <w:pPr>
        <w:spacing w:after="0"/>
      </w:pPr>
    </w:p>
    <w:p w14:paraId="61646037" w14:textId="1E186EFA" w:rsidR="00E70E72" w:rsidRDefault="00E70E72" w:rsidP="00225166">
      <w:pPr>
        <w:spacing w:after="0"/>
        <w:ind w:left="720"/>
      </w:pPr>
      <w:r>
        <w:t xml:space="preserve">For additional information on performance characteristics including cross reactivity, see </w:t>
      </w:r>
      <w:r>
        <w:tab/>
        <w:t>the product information in the ADVIA Centaur ASSAY Manual.</w:t>
      </w:r>
    </w:p>
    <w:p w14:paraId="0AC67913" w14:textId="77777777" w:rsidR="00225166" w:rsidRPr="00EE6E73" w:rsidRDefault="00225166" w:rsidP="00EE6E73">
      <w:pPr>
        <w:spacing w:after="0"/>
        <w:rPr>
          <w:rFonts w:asciiTheme="minorHAnsi" w:hAnsiTheme="minorHAnsi" w:cstheme="minorHAnsi"/>
        </w:rPr>
      </w:pPr>
    </w:p>
    <w:p w14:paraId="507F2C04" w14:textId="77777777" w:rsidR="0026140C" w:rsidRPr="00EE6E73" w:rsidRDefault="0026140C" w:rsidP="00EE6E73">
      <w:pPr>
        <w:spacing w:after="0"/>
        <w:rPr>
          <w:rFonts w:asciiTheme="minorHAnsi" w:hAnsiTheme="minorHAnsi" w:cstheme="minorHAnsi"/>
          <w:b/>
        </w:rPr>
      </w:pPr>
      <w:r w:rsidRPr="00EE6E73">
        <w:rPr>
          <w:rFonts w:asciiTheme="minorHAnsi" w:hAnsiTheme="minorHAnsi" w:cstheme="minorHAnsi"/>
          <w:b/>
        </w:rPr>
        <w:t>REFERENCES</w:t>
      </w:r>
    </w:p>
    <w:p w14:paraId="39C87ECE" w14:textId="1EBBDD14" w:rsidR="0026140C" w:rsidRDefault="00225166" w:rsidP="00EE6E73">
      <w:pPr>
        <w:spacing w:after="0"/>
        <w:rPr>
          <w:rFonts w:asciiTheme="minorHAnsi" w:hAnsiTheme="minorHAnsi" w:cstheme="minorHAnsi"/>
        </w:rPr>
      </w:pPr>
      <w:r w:rsidRPr="00225166">
        <w:rPr>
          <w:rFonts w:asciiTheme="minorHAnsi" w:hAnsiTheme="minorHAnsi" w:cstheme="minorHAnsi"/>
        </w:rPr>
        <w:t xml:space="preserve">See ADVIA Centaur Assay Procedure, procedure for </w:t>
      </w:r>
      <w:proofErr w:type="spellStart"/>
      <w:r w:rsidRPr="00225166">
        <w:rPr>
          <w:rFonts w:asciiTheme="minorHAnsi" w:hAnsiTheme="minorHAnsi" w:cstheme="minorHAnsi"/>
        </w:rPr>
        <w:t>HBs</w:t>
      </w:r>
      <w:r w:rsidR="00B07C9D">
        <w:rPr>
          <w:rFonts w:asciiTheme="minorHAnsi" w:hAnsiTheme="minorHAnsi" w:cstheme="minorHAnsi"/>
        </w:rPr>
        <w:t>II</w:t>
      </w:r>
      <w:proofErr w:type="spellEnd"/>
      <w:r w:rsidRPr="00225166">
        <w:rPr>
          <w:rFonts w:asciiTheme="minorHAnsi" w:hAnsiTheme="minorHAnsi" w:cstheme="minorHAnsi"/>
        </w:rPr>
        <w:t xml:space="preserve"> (</w:t>
      </w:r>
      <w:r w:rsidR="00B07C9D">
        <w:rPr>
          <w:rFonts w:asciiTheme="minorHAnsi" w:hAnsiTheme="minorHAnsi" w:cstheme="minorHAnsi"/>
        </w:rPr>
        <w:t>10635153_EN Rev. E, 2015-01</w:t>
      </w:r>
      <w:bookmarkStart w:id="0" w:name="_GoBack"/>
      <w:bookmarkEnd w:id="0"/>
      <w:r w:rsidRPr="00225166">
        <w:rPr>
          <w:rFonts w:asciiTheme="minorHAnsi" w:hAnsiTheme="minorHAnsi" w:cstheme="minorHAnsi"/>
        </w:rPr>
        <w:t>).</w:t>
      </w:r>
    </w:p>
    <w:p w14:paraId="778FDA09" w14:textId="77777777" w:rsidR="00224E3F" w:rsidRPr="00EE6E73" w:rsidRDefault="00224E3F" w:rsidP="00EE6E73">
      <w:pPr>
        <w:spacing w:after="0"/>
        <w:rPr>
          <w:rFonts w:asciiTheme="minorHAnsi" w:hAnsiTheme="minorHAnsi" w:cstheme="minorHAnsi"/>
        </w:rPr>
      </w:pPr>
    </w:p>
    <w:sectPr w:rsidR="00224E3F" w:rsidRPr="00EE6E73">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0DABE" w14:textId="77777777" w:rsidR="004428C9" w:rsidRDefault="004428C9" w:rsidP="00E14E6E">
      <w:pPr>
        <w:spacing w:after="0" w:line="240" w:lineRule="auto"/>
      </w:pPr>
      <w:r>
        <w:separator/>
      </w:r>
    </w:p>
  </w:endnote>
  <w:endnote w:type="continuationSeparator" w:id="0">
    <w:p w14:paraId="358A19DF" w14:textId="77777777" w:rsidR="004428C9" w:rsidRDefault="004428C9" w:rsidP="00E1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BA461" w14:textId="1137725B" w:rsidR="004428C9" w:rsidRDefault="004428C9" w:rsidP="0026140C">
    <w:pPr>
      <w:pStyle w:val="Footer"/>
      <w:rPr>
        <w:rFonts w:asciiTheme="minorHAnsi" w:hAnsiTheme="minorHAnsi" w:cstheme="minorHAnsi"/>
        <w:b/>
        <w:color w:val="808080" w:themeColor="background1" w:themeShade="80"/>
        <w:sz w:val="20"/>
        <w:szCs w:val="20"/>
      </w:rPr>
    </w:pPr>
    <w:r w:rsidRPr="000234BB">
      <w:rPr>
        <w:rFonts w:asciiTheme="minorHAnsi" w:hAnsiTheme="minorHAnsi" w:cstheme="minorHAnsi"/>
        <w:color w:val="808080" w:themeColor="background1" w:themeShade="80"/>
        <w:sz w:val="20"/>
        <w:szCs w:val="20"/>
      </w:rPr>
      <w:t>©MACL Confidential, for Internal Use Only</w:t>
    </w:r>
    <w:r>
      <w:rPr>
        <w:rFonts w:asciiTheme="minorHAnsi" w:hAnsiTheme="minorHAnsi" w:cstheme="minorHAnsi"/>
        <w:color w:val="808080" w:themeColor="background1" w:themeShade="80"/>
        <w:sz w:val="20"/>
        <w:szCs w:val="20"/>
      </w:rPr>
      <w:t xml:space="preserve"> </w:t>
    </w:r>
    <w:r w:rsidRPr="000234BB">
      <w:rPr>
        <w:rFonts w:asciiTheme="minorHAnsi" w:hAnsiTheme="minorHAnsi" w:cstheme="minorHAnsi"/>
        <w:color w:val="808080" w:themeColor="background1" w:themeShade="80"/>
        <w:sz w:val="20"/>
        <w:szCs w:val="20"/>
      </w:rPr>
      <w:tab/>
      <w:t xml:space="preserve">Effective </w:t>
    </w:r>
    <w:sdt>
      <w:sdtPr>
        <w:rPr>
          <w:rFonts w:asciiTheme="minorHAnsi" w:hAnsiTheme="minorHAnsi" w:cstheme="minorHAnsi"/>
          <w:color w:val="808080" w:themeColor="background1" w:themeShade="80"/>
          <w:sz w:val="20"/>
          <w:szCs w:val="20"/>
        </w:rPr>
        <w:alias w:val="Effective Date"/>
        <w:tag w:val="Effective_x0020_Date0"/>
        <w:id w:val="579335050"/>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Effective_x0020_Date[1]" w:storeItemID="{1B8DD281-542C-4D20-B238-0D3B1C8DA2A4}"/>
        <w:date w:fullDate="2013-03-21T00:00:00Z">
          <w:dateFormat w:val="M/d/yyyy"/>
          <w:lid w:val="en-US"/>
          <w:storeMappedDataAs w:val="dateTime"/>
          <w:calendar w:val="gregorian"/>
        </w:date>
      </w:sdtPr>
      <w:sdtEndPr/>
      <w:sdtContent>
        <w:r>
          <w:rPr>
            <w:rFonts w:asciiTheme="minorHAnsi" w:hAnsiTheme="minorHAnsi" w:cstheme="minorHAnsi"/>
            <w:color w:val="808080" w:themeColor="background1" w:themeShade="80"/>
            <w:sz w:val="20"/>
            <w:szCs w:val="20"/>
          </w:rPr>
          <w:t>3/21/2013</w:t>
        </w:r>
      </w:sdtContent>
    </w:sdt>
    <w:r w:rsidRPr="000234BB">
      <w:rPr>
        <w:rFonts w:asciiTheme="minorHAnsi" w:hAnsiTheme="minorHAnsi" w:cstheme="minorHAnsi"/>
        <w:color w:val="808080" w:themeColor="background1" w:themeShade="80"/>
        <w:sz w:val="20"/>
        <w:szCs w:val="20"/>
      </w:rPr>
      <w:tab/>
      <w:t xml:space="preserve">Page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PAGE  \* Arabic  \* MERGEFORMAT </w:instrText>
    </w:r>
    <w:r w:rsidRPr="000234BB">
      <w:rPr>
        <w:rFonts w:asciiTheme="minorHAnsi" w:hAnsiTheme="minorHAnsi" w:cstheme="minorHAnsi"/>
        <w:b/>
        <w:color w:val="808080" w:themeColor="background1" w:themeShade="80"/>
        <w:sz w:val="20"/>
        <w:szCs w:val="20"/>
      </w:rPr>
      <w:fldChar w:fldCharType="separate"/>
    </w:r>
    <w:r w:rsidR="00B07C9D">
      <w:rPr>
        <w:rFonts w:asciiTheme="minorHAnsi" w:hAnsiTheme="minorHAnsi" w:cstheme="minorHAnsi"/>
        <w:b/>
        <w:noProof/>
        <w:color w:val="808080" w:themeColor="background1" w:themeShade="80"/>
        <w:sz w:val="20"/>
        <w:szCs w:val="20"/>
      </w:rPr>
      <w:t>8</w:t>
    </w:r>
    <w:r w:rsidRPr="000234BB">
      <w:rPr>
        <w:rFonts w:asciiTheme="minorHAnsi" w:hAnsiTheme="minorHAnsi" w:cstheme="minorHAnsi"/>
        <w:b/>
        <w:color w:val="808080" w:themeColor="background1" w:themeShade="80"/>
        <w:sz w:val="20"/>
        <w:szCs w:val="20"/>
      </w:rPr>
      <w:fldChar w:fldCharType="end"/>
    </w:r>
    <w:r w:rsidRPr="000234BB">
      <w:rPr>
        <w:rFonts w:asciiTheme="minorHAnsi" w:hAnsiTheme="minorHAnsi" w:cstheme="minorHAnsi"/>
        <w:color w:val="808080" w:themeColor="background1" w:themeShade="80"/>
        <w:sz w:val="20"/>
        <w:szCs w:val="20"/>
      </w:rPr>
      <w:t xml:space="preserve"> of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NUMPAGES  \* Arabic  \* MERGEFORMAT </w:instrText>
    </w:r>
    <w:r w:rsidRPr="000234BB">
      <w:rPr>
        <w:rFonts w:asciiTheme="minorHAnsi" w:hAnsiTheme="minorHAnsi" w:cstheme="minorHAnsi"/>
        <w:b/>
        <w:color w:val="808080" w:themeColor="background1" w:themeShade="80"/>
        <w:sz w:val="20"/>
        <w:szCs w:val="20"/>
      </w:rPr>
      <w:fldChar w:fldCharType="separate"/>
    </w:r>
    <w:r w:rsidR="00B07C9D">
      <w:rPr>
        <w:rFonts w:asciiTheme="minorHAnsi" w:hAnsiTheme="minorHAnsi" w:cstheme="minorHAnsi"/>
        <w:b/>
        <w:noProof/>
        <w:color w:val="808080" w:themeColor="background1" w:themeShade="80"/>
        <w:sz w:val="20"/>
        <w:szCs w:val="20"/>
      </w:rPr>
      <w:t>8</w:t>
    </w:r>
    <w:r w:rsidRPr="000234BB">
      <w:rPr>
        <w:rFonts w:asciiTheme="minorHAnsi" w:hAnsiTheme="minorHAnsi" w:cstheme="minorHAnsi"/>
        <w:b/>
        <w:color w:val="808080" w:themeColor="background1" w:themeShade="80"/>
        <w:sz w:val="20"/>
        <w:szCs w:val="20"/>
      </w:rPr>
      <w:fldChar w:fldCharType="end"/>
    </w:r>
  </w:p>
  <w:p w14:paraId="329DFDBF" w14:textId="3F70FC33" w:rsidR="004428C9" w:rsidRPr="002573D1" w:rsidRDefault="004428C9">
    <w:pPr>
      <w:pStyle w:val="Footer"/>
      <w:rPr>
        <w:rFonts w:asciiTheme="minorHAnsi" w:hAnsiTheme="minorHAnsi" w:cstheme="minorHAnsi"/>
        <w:color w:val="808080" w:themeColor="background1" w:themeShade="80"/>
        <w:sz w:val="20"/>
        <w:szCs w:val="20"/>
      </w:rPr>
    </w:pPr>
    <w:r>
      <w:rPr>
        <w:rFonts w:asciiTheme="minorHAnsi" w:hAnsiTheme="minorHAnsi" w:cstheme="minorHAnsi"/>
        <w:b/>
        <w:color w:val="808080" w:themeColor="background1" w:themeShade="80"/>
        <w:sz w:val="20"/>
        <w:szCs w:val="20"/>
      </w:rPr>
      <w:tab/>
    </w:r>
    <w:sdt>
      <w:sdtPr>
        <w:rPr>
          <w:rFonts w:asciiTheme="minorHAnsi" w:hAnsiTheme="minorHAnsi" w:cstheme="minorHAnsi"/>
          <w:color w:val="808080" w:themeColor="background1" w:themeShade="80"/>
          <w:sz w:val="20"/>
          <w:szCs w:val="20"/>
        </w:rPr>
        <w:alias w:val="Label"/>
        <w:tag w:val="DLCPolicyLabelValue"/>
        <w:id w:val="465789287"/>
        <w:lock w:val="contentLocked"/>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4:DLCPolicyLabelValue[1]" w:storeItemID="{1B8DD281-542C-4D20-B238-0D3B1C8DA2A4}"/>
        <w:text w:multiLine="1"/>
      </w:sdtPr>
      <w:sdtEndPr/>
      <w:sdtContent>
        <w:r w:rsidR="00ED6F8B">
          <w:rPr>
            <w:rFonts w:asciiTheme="minorHAnsi" w:hAnsiTheme="minorHAnsi" w:cstheme="minorHAnsi"/>
            <w:color w:val="808080" w:themeColor="background1" w:themeShade="80"/>
            <w:sz w:val="20"/>
            <w:szCs w:val="20"/>
          </w:rPr>
          <w:t>Document Version: 2.0</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C7D4F" w14:textId="77777777" w:rsidR="004428C9" w:rsidRDefault="004428C9" w:rsidP="00E14E6E">
      <w:pPr>
        <w:spacing w:after="0" w:line="240" w:lineRule="auto"/>
      </w:pPr>
      <w:r>
        <w:separator/>
      </w:r>
    </w:p>
  </w:footnote>
  <w:footnote w:type="continuationSeparator" w:id="0">
    <w:p w14:paraId="4691368B" w14:textId="77777777" w:rsidR="004428C9" w:rsidRDefault="004428C9" w:rsidP="00E14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7EBBB" w14:textId="0CAD667E" w:rsidR="004428C9" w:rsidRDefault="004428C9">
    <w:pPr>
      <w:pStyle w:val="Header"/>
    </w:pPr>
    <w:r>
      <w:rPr>
        <w:noProof/>
      </w:rPr>
      <w:drawing>
        <wp:inline distT="0" distB="0" distL="0" distR="0" wp14:anchorId="774E9109" wp14:editId="1C1EF1DE">
          <wp:extent cx="743712" cy="7345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l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712" cy="734568"/>
                  </a:xfrm>
                  <a:prstGeom prst="rect">
                    <a:avLst/>
                  </a:prstGeom>
                </pic:spPr>
              </pic:pic>
            </a:graphicData>
          </a:graphic>
        </wp:inline>
      </w:drawing>
    </w:r>
    <w:r>
      <w:t xml:space="preserve">     </w:t>
    </w:r>
    <w:sdt>
      <w:sdtPr>
        <w:alias w:val="Title"/>
        <w:tag w:val=""/>
        <w:id w:val="1600909516"/>
        <w:placeholder>
          <w:docPart w:val="F9950E7230E24FB9B16D928327555311"/>
        </w:placeholder>
        <w:dataBinding w:prefixMappings="xmlns:ns0='http://purl.org/dc/elements/1.1/' xmlns:ns1='http://schemas.openxmlformats.org/package/2006/metadata/core-properties' " w:xpath="/ns1:coreProperties[1]/ns0:title[1]" w:storeItemID="{6C3C8BC8-F283-45AE-878A-BAB7291924A1}"/>
        <w:text/>
      </w:sdtPr>
      <w:sdtEndPr/>
      <w:sdtContent>
        <w:r w:rsidR="00ED6F8B">
          <w:t>HEPATITIS B SURFACE ANTIGEN BY ADVIA CENTAUR (HBSII) (HBSAGII)</w:t>
        </w:r>
      </w:sdtContent>
    </w:sdt>
  </w:p>
  <w:p w14:paraId="2963D59E" w14:textId="77777777" w:rsidR="004428C9" w:rsidRDefault="004428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17121"/>
    <w:multiLevelType w:val="hybridMultilevel"/>
    <w:tmpl w:val="5F6E81DE"/>
    <w:lvl w:ilvl="0" w:tplc="C464B320">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042F205E"/>
    <w:multiLevelType w:val="hybridMultilevel"/>
    <w:tmpl w:val="8606329C"/>
    <w:lvl w:ilvl="0" w:tplc="5CC6A242">
      <w:start w:val="1"/>
      <w:numFmt w:val="upperLetter"/>
      <w:lvlText w:val="%1."/>
      <w:lvlJc w:val="left"/>
      <w:pPr>
        <w:ind w:left="2160" w:hanging="720"/>
      </w:pPr>
      <w:rPr>
        <w:rFonts w:hint="default"/>
      </w:rPr>
    </w:lvl>
    <w:lvl w:ilvl="1" w:tplc="D878F502">
      <w:start w:val="1"/>
      <w:numFmt w:val="decimal"/>
      <w:lvlText w:val="%2."/>
      <w:lvlJc w:val="left"/>
      <w:pPr>
        <w:ind w:left="2880" w:hanging="720"/>
      </w:pPr>
      <w:rPr>
        <w:rFonts w:hint="default"/>
      </w:rPr>
    </w:lvl>
    <w:lvl w:ilvl="2" w:tplc="3F982B7E">
      <w:start w:val="1"/>
      <w:numFmt w:val="lowerLetter"/>
      <w:lvlText w:val="%3."/>
      <w:lvlJc w:val="left"/>
      <w:pPr>
        <w:ind w:left="3780" w:hanging="72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6227D99"/>
    <w:multiLevelType w:val="hybridMultilevel"/>
    <w:tmpl w:val="36F241A6"/>
    <w:lvl w:ilvl="0" w:tplc="A31C05EA">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AD45E1"/>
    <w:multiLevelType w:val="hybridMultilevel"/>
    <w:tmpl w:val="3E1642F8"/>
    <w:lvl w:ilvl="0" w:tplc="0409000F">
      <w:start w:val="1"/>
      <w:numFmt w:val="decimal"/>
      <w:lvlText w:val="%1."/>
      <w:lvlJc w:val="left"/>
      <w:pPr>
        <w:tabs>
          <w:tab w:val="num" w:pos="1260"/>
        </w:tabs>
        <w:ind w:left="1260" w:hanging="360"/>
      </w:pPr>
      <w:rPr>
        <w:rFonts w:hint="default"/>
        <w:color w:val="auto"/>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0E2C530D"/>
    <w:multiLevelType w:val="hybridMultilevel"/>
    <w:tmpl w:val="DB724B90"/>
    <w:lvl w:ilvl="0" w:tplc="5CC6A242">
      <w:start w:val="1"/>
      <w:numFmt w:val="upperLetter"/>
      <w:lvlText w:val="%1."/>
      <w:lvlJc w:val="left"/>
      <w:pPr>
        <w:ind w:left="2160" w:hanging="720"/>
      </w:pPr>
      <w:rPr>
        <w:rFonts w:hint="default"/>
      </w:rPr>
    </w:lvl>
    <w:lvl w:ilvl="1" w:tplc="04090019">
      <w:start w:val="1"/>
      <w:numFmt w:val="lowerLetter"/>
      <w:lvlText w:val="%2."/>
      <w:lvlJc w:val="left"/>
      <w:pPr>
        <w:ind w:left="2880" w:hanging="720"/>
      </w:pPr>
      <w:rPr>
        <w:rFonts w:hint="default"/>
      </w:rPr>
    </w:lvl>
    <w:lvl w:ilvl="2" w:tplc="3F982B7E">
      <w:start w:val="1"/>
      <w:numFmt w:val="lowerLetter"/>
      <w:lvlText w:val="%3."/>
      <w:lvlJc w:val="left"/>
      <w:pPr>
        <w:ind w:left="3780" w:hanging="72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20D37EC"/>
    <w:multiLevelType w:val="hybridMultilevel"/>
    <w:tmpl w:val="449A20D8"/>
    <w:lvl w:ilvl="0" w:tplc="D878F502">
      <w:start w:val="1"/>
      <w:numFmt w:val="decimal"/>
      <w:lvlText w:val="%1."/>
      <w:lvlJc w:val="left"/>
      <w:pPr>
        <w:ind w:left="43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6903661"/>
    <w:multiLevelType w:val="hybridMultilevel"/>
    <w:tmpl w:val="AD9487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D64E4B"/>
    <w:multiLevelType w:val="hybridMultilevel"/>
    <w:tmpl w:val="9840392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7211389"/>
    <w:multiLevelType w:val="hybridMultilevel"/>
    <w:tmpl w:val="584E0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6847F9"/>
    <w:multiLevelType w:val="hybridMultilevel"/>
    <w:tmpl w:val="A530B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DD2B48"/>
    <w:multiLevelType w:val="hybridMultilevel"/>
    <w:tmpl w:val="37AE82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563D3D"/>
    <w:multiLevelType w:val="hybridMultilevel"/>
    <w:tmpl w:val="6CB60A00"/>
    <w:lvl w:ilvl="0" w:tplc="ACEA3C4A">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8E36CDC"/>
    <w:multiLevelType w:val="hybridMultilevel"/>
    <w:tmpl w:val="72BC0BF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8F74CD60">
      <w:start w:val="1"/>
      <w:numFmt w:val="upp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EA5A24"/>
    <w:multiLevelType w:val="hybridMultilevel"/>
    <w:tmpl w:val="A13AAB18"/>
    <w:lvl w:ilvl="0" w:tplc="46ACB8BA">
      <w:start w:val="1"/>
      <w:numFmt w:val="upperLetter"/>
      <w:lvlText w:val="%1."/>
      <w:lvlJc w:val="left"/>
      <w:pPr>
        <w:ind w:left="2160" w:hanging="720"/>
      </w:pPr>
      <w:rPr>
        <w:rFonts w:hint="default"/>
      </w:rPr>
    </w:lvl>
    <w:lvl w:ilvl="1" w:tplc="5BB6D294">
      <w:start w:val="1"/>
      <w:numFmt w:val="decimal"/>
      <w:lvlText w:val="%2."/>
      <w:lvlJc w:val="left"/>
      <w:pPr>
        <w:ind w:left="2880" w:hanging="72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3A16B90"/>
    <w:multiLevelType w:val="hybridMultilevel"/>
    <w:tmpl w:val="7EA052BC"/>
    <w:lvl w:ilvl="0" w:tplc="04090015">
      <w:start w:val="1"/>
      <w:numFmt w:val="upperLetter"/>
      <w:lvlText w:val="%1."/>
      <w:lvlJc w:val="left"/>
      <w:pPr>
        <w:tabs>
          <w:tab w:val="num" w:pos="1260"/>
        </w:tabs>
        <w:ind w:left="1260" w:hanging="360"/>
      </w:pPr>
      <w:rPr>
        <w:rFonts w:hint="default"/>
        <w:color w:val="auto"/>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64F435C7"/>
    <w:multiLevelType w:val="hybridMultilevel"/>
    <w:tmpl w:val="C3063100"/>
    <w:lvl w:ilvl="0" w:tplc="D47666BC">
      <w:start w:val="1"/>
      <w:numFmt w:val="upperLetter"/>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7C604F0E"/>
    <w:multiLevelType w:val="hybridMultilevel"/>
    <w:tmpl w:val="6DA0F7DC"/>
    <w:lvl w:ilvl="0" w:tplc="D47666BC">
      <w:start w:val="1"/>
      <w:numFmt w:val="upperLetter"/>
      <w:lvlText w:val="%1."/>
      <w:lvlJc w:val="left"/>
      <w:pPr>
        <w:ind w:left="1080" w:hanging="720"/>
      </w:pPr>
      <w:rPr>
        <w:rFonts w:hint="default"/>
      </w:rPr>
    </w:lvl>
    <w:lvl w:ilvl="1" w:tplc="5FC21102">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4"/>
  </w:num>
  <w:num w:numId="4">
    <w:abstractNumId w:val="6"/>
  </w:num>
  <w:num w:numId="5">
    <w:abstractNumId w:val="16"/>
  </w:num>
  <w:num w:numId="6">
    <w:abstractNumId w:val="15"/>
  </w:num>
  <w:num w:numId="7">
    <w:abstractNumId w:val="13"/>
  </w:num>
  <w:num w:numId="8">
    <w:abstractNumId w:val="10"/>
  </w:num>
  <w:num w:numId="9">
    <w:abstractNumId w:val="12"/>
  </w:num>
  <w:num w:numId="10">
    <w:abstractNumId w:val="9"/>
  </w:num>
  <w:num w:numId="11">
    <w:abstractNumId w:val="7"/>
  </w:num>
  <w:num w:numId="12">
    <w:abstractNumId w:val="1"/>
  </w:num>
  <w:num w:numId="13">
    <w:abstractNumId w:val="5"/>
  </w:num>
  <w:num w:numId="14">
    <w:abstractNumId w:val="4"/>
  </w:num>
  <w:num w:numId="15">
    <w:abstractNumId w:val="2"/>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F5F"/>
    <w:rsid w:val="00120252"/>
    <w:rsid w:val="00142A69"/>
    <w:rsid w:val="0017385B"/>
    <w:rsid w:val="001F572E"/>
    <w:rsid w:val="00224E3F"/>
    <w:rsid w:val="00225166"/>
    <w:rsid w:val="0023064A"/>
    <w:rsid w:val="002573D1"/>
    <w:rsid w:val="0026140C"/>
    <w:rsid w:val="00276075"/>
    <w:rsid w:val="00421225"/>
    <w:rsid w:val="004428C9"/>
    <w:rsid w:val="004C7B0A"/>
    <w:rsid w:val="004F3908"/>
    <w:rsid w:val="006413B4"/>
    <w:rsid w:val="008A0912"/>
    <w:rsid w:val="008D0CE9"/>
    <w:rsid w:val="00A156F9"/>
    <w:rsid w:val="00A34166"/>
    <w:rsid w:val="00B07C9D"/>
    <w:rsid w:val="00B35AB5"/>
    <w:rsid w:val="00BA5B41"/>
    <w:rsid w:val="00CB2D10"/>
    <w:rsid w:val="00E14E6E"/>
    <w:rsid w:val="00E30F5F"/>
    <w:rsid w:val="00E70E72"/>
    <w:rsid w:val="00ED6F8B"/>
    <w:rsid w:val="00EE6E73"/>
    <w:rsid w:val="00FF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1265"/>
    <o:shapelayout v:ext="edit">
      <o:idmap v:ext="edit" data="1"/>
    </o:shapelayout>
  </w:shapeDefaults>
  <w:decimalSymbol w:val="."/>
  <w:listSeparator w:val=","/>
  <w14:docId w14:val="0D9B36F3"/>
  <w15:docId w15:val="{1EE97783-E4B9-429A-AFBC-B98920E1F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F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 w:type="paragraph" w:styleId="ListParagraph">
    <w:name w:val="List Paragraph"/>
    <w:basedOn w:val="Normal"/>
    <w:uiPriority w:val="34"/>
    <w:qFormat/>
    <w:rsid w:val="002306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950E7230E24FB9B16D928327555311"/>
        <w:category>
          <w:name w:val="General"/>
          <w:gallery w:val="placeholder"/>
        </w:category>
        <w:types>
          <w:type w:val="bbPlcHdr"/>
        </w:types>
        <w:behaviors>
          <w:behavior w:val="content"/>
        </w:behaviors>
        <w:guid w:val="{1243C8F3-050B-4163-BFFD-1C69EC8F8D7F}"/>
      </w:docPartPr>
      <w:docPartBody>
        <w:p w:rsidR="00791C15" w:rsidRDefault="00FD0275">
          <w:r w:rsidRPr="00E47382">
            <w:rPr>
              <w:rStyle w:val="PlaceholderText"/>
            </w:rPr>
            <w:t>[Title]</w:t>
          </w:r>
        </w:p>
      </w:docPartBody>
    </w:docPart>
    <w:docPart>
      <w:docPartPr>
        <w:name w:val="A2BAE3C039664281805D2486B523D737"/>
        <w:category>
          <w:name w:val="General"/>
          <w:gallery w:val="placeholder"/>
        </w:category>
        <w:types>
          <w:type w:val="bbPlcHdr"/>
        </w:types>
        <w:behaviors>
          <w:behavior w:val="content"/>
        </w:behaviors>
        <w:guid w:val="{8F074D08-2069-4755-82D0-F595693E9B1F}"/>
      </w:docPartPr>
      <w:docPartBody>
        <w:p w:rsidR="00D63726" w:rsidRDefault="00791C15" w:rsidP="00791C15">
          <w:pPr>
            <w:pStyle w:val="A2BAE3C039664281805D2486B523D737"/>
          </w:pPr>
          <w:r w:rsidRPr="007D3766">
            <w:rPr>
              <w:rStyle w:val="PlaceholderText"/>
            </w:rPr>
            <w:t>[Procedure Number]</w:t>
          </w:r>
        </w:p>
      </w:docPartBody>
    </w:docPart>
    <w:docPart>
      <w:docPartPr>
        <w:name w:val="82B3587B7ED2497BBE9163E6AAAF0741"/>
        <w:category>
          <w:name w:val="General"/>
          <w:gallery w:val="placeholder"/>
        </w:category>
        <w:types>
          <w:type w:val="bbPlcHdr"/>
        </w:types>
        <w:behaviors>
          <w:behavior w:val="content"/>
        </w:behaviors>
        <w:guid w:val="{433559D6-7CA4-45BB-9FF0-8EAA1CB8B766}"/>
      </w:docPartPr>
      <w:docPartBody>
        <w:p w:rsidR="00D63726" w:rsidRDefault="00791C15" w:rsidP="00791C15">
          <w:pPr>
            <w:pStyle w:val="82B3587B7ED2497BBE9163E6AAAF0741"/>
          </w:pPr>
          <w:r w:rsidRPr="00C21AE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E54"/>
    <w:rsid w:val="002E7E54"/>
    <w:rsid w:val="00791C15"/>
    <w:rsid w:val="00D63726"/>
    <w:rsid w:val="00ED2355"/>
    <w:rsid w:val="00F84311"/>
    <w:rsid w:val="00FD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66B55E"/>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4311"/>
    <w:rPr>
      <w:color w:val="808080"/>
    </w:rPr>
  </w:style>
  <w:style w:type="paragraph" w:customStyle="1" w:styleId="A2BAE3C039664281805D2486B523D737">
    <w:name w:val="A2BAE3C039664281805D2486B523D737"/>
    <w:rsid w:val="00791C15"/>
  </w:style>
  <w:style w:type="paragraph" w:customStyle="1" w:styleId="82B3587B7ED2497BBE9163E6AAAF0741">
    <w:name w:val="82B3587B7ED2497BBE9163E6AAAF0741"/>
    <w:rsid w:val="00791C15"/>
  </w:style>
  <w:style w:type="paragraph" w:customStyle="1" w:styleId="08E36213F8934CE19520AE697B9FE78A">
    <w:name w:val="08E36213F8934CE19520AE697B9FE78A"/>
    <w:rsid w:val="00D637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SOP Document</p:Name>
  <p:Description/>
  <p:Statement/>
  <p:PolicyItems>
    <p:PolicyItem featureId="Microsoft.Office.RecordsManagement.PolicyFeatures.PolicyLabel" staticId="0x0101000C7D50628C209B4DA9825EE7983DB559004D2BE744C2BE2C45AF259DAF2AC17333|742097234" UniqueId="9e091aa6-8389-4ec9-91a9-42af0fd9b0d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segment>
          <segment type="metadata">_UIVersionString</segment>
        </label>
      </p:CustomData>
    </p:PolicyItem>
  </p:PolicyItems>
</p:Policy>
</file>

<file path=customXml/item2.xml><?xml version="1.0" encoding="utf-8"?>
<?mso-contentType ?>
<customXsn xmlns="http://schemas.microsoft.com/office/2006/metadata/customXsn">
  <xsnLocation>http://maclsp64/_cts/SOP Document/c515cd4c31478adbcustomXsn.xsn</xsnLocation>
  <cached>True</cached>
  <openByDefault>True</openByDefault>
  <xsnScope>http://maclsp64</xsnScope>
</customXsn>
</file>

<file path=customXml/item3.xml><?xml version="1.0" encoding="utf-8"?>
<p:properties xmlns:p="http://schemas.microsoft.com/office/2006/metadata/properties" xmlns:xsi="http://www.w3.org/2001/XMLSchema-instance" xmlns:pc="http://schemas.microsoft.com/office/infopath/2007/PartnerControls">
  <documentManagement>
    <Locations_x0020_Quickpart xmlns="7bb6ae39-40b3-4b4f-9ace-18387bc29df9" xsi:nil="true"/>
    <Effective_x0020_Date xmlns="7bb6ae39-40b3-4b4f-9ace-18387bc29df9">2013-03-21T04:00:00+00:00</Effective_x0020_Date>
    <Locations xmlns="7bb6ae39-40b3-4b4f-9ace-18387bc29df9">
      <Value>1</Value>
    </Locations>
    <Disposal_x0020_Approved_x0020_Date xmlns="7bb6ae39-40b3-4b4f-9ace-18387bc29df9" xsi:nil="true"/>
    <Owner xmlns="7bb6ae39-40b3-4b4f-9ace-18387bc29df9">
      <UserInfo>
        <DisplayName>Brtva, Rebecca A</DisplayName>
        <AccountId>1497</AccountId>
        <AccountType/>
      </UserInfo>
    </Owner>
    <DLCPolicyLabelClientValue xmlns="862cb136-aef3-45d6-820f-9c9bc07b493d">Document Version: {_UIVersionString}</DLCPolicyLabelClientValue>
    <OrigGuid xmlns="7bb6ae39-40b3-4b4f-9ace-18387bc29df9" xsi:nil="true"/>
    <Revision_x0020_Notes xmlns="7bb6ae39-40b3-4b4f-9ace-18387bc29df9" xsi:nil="true"/>
    <Disposal_x0020_Approved xmlns="7bb6ae39-40b3-4b4f-9ace-18387bc29df9">false</Disposal_x0020_Approved>
    <PublishedVer xmlns="7bb6ae39-40b3-4b4f-9ace-18387bc29df9" xsi:nil="true"/>
    <Procedure_x0020_Number xmlns="7bb6ae39-40b3-4b4f-9ace-18387bc29df9">CHEM.CENTAUR.ASSAY.10.0</Procedure_x0020_Number>
    <Implementation_x0020_Date xmlns="7bb6ae39-40b3-4b4f-9ace-18387bc29df9">2013-03-19T04:00:00+00:00</Implementation_x0020_Date>
    <retired xmlns="7bb6ae39-40b3-4b4f-9ace-18387bc29df9">false</retired>
    <Departments xmlns="7bb6ae39-40b3-4b4f-9ace-18387bc29df9">
      <Value>2</Value>
    </Departments>
    <DLCPolicyLabelLock xmlns="862cb136-aef3-45d6-820f-9c9bc07b493d" xsi:nil="true"/>
    <Next_x0020_Review_x0020_Date xmlns="7bb6ae39-40b3-4b4f-9ace-18387bc29df9">2016-02-01T05:00:00+00:00</Next_x0020_Review_x0020_Date>
    <AnnualAlertVer xmlns="7bb6ae39-40b3-4b4f-9ace-18387bc29df9" xsi:nil="true"/>
    <Disposal_x0020_Approved_x0020_By xmlns="7bb6ae39-40b3-4b4f-9ace-18387bc29df9">
      <UserInfo>
        <DisplayName/>
        <AccountId xsi:nil="true"/>
        <AccountType/>
      </UserInfo>
    </Disposal_x0020_Approved_x0020_By>
    <SOP_x0020_Author xmlns="7bb6ae39-40b3-4b4f-9ace-18387bc29df9">
      <UserInfo>
        <DisplayName>Feldman, Marian</DisplayName>
        <AccountId>38</AccountId>
        <AccountType/>
      </UserInfo>
    </SOP_x0020_Author>
    <dueDate xmlns="862cb136-aef3-45d6-820f-9c9bc07b493d" xsi:nil="true"/>
    <Effective_x0020_Date_x0020_Status xmlns="862cb136-aef3-45d6-820f-9c9bc07b493d" xsi:nil="true"/>
    <PeriodicReviewCheckStatus xmlns="862cb136-aef3-45d6-820f-9c9bc07b493d">false</PeriodicReviewCheckStatus>
    <Retired_x0020_Date xmlns="862cb136-aef3-45d6-820f-9c9bc07b493d" xsi:nil="true"/>
    <DisableReview xmlns="862cb136-aef3-45d6-820f-9c9bc07b493d" xsi:nil="true"/>
    <DLCPolicyLabelValue xmlns="862cb136-aef3-45d6-820f-9c9bc07b493d">Document Version: 2.1</DLCPolicyLabelVal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OP Document" ma:contentTypeID="0x0101000C7D50628C209B4DA9825EE7983DB559004D2BE744C2BE2C45AF259DAF2AC17333" ma:contentTypeVersion="165" ma:contentTypeDescription="A standard content type for SOP's. Inherits from Document." ma:contentTypeScope="" ma:versionID="e4b3c393e93d6bf3ee1ff619b12fc7d0">
  <xsd:schema xmlns:xsd="http://www.w3.org/2001/XMLSchema" xmlns:xs="http://www.w3.org/2001/XMLSchema" xmlns:p="http://schemas.microsoft.com/office/2006/metadata/properties" xmlns:ns1="http://schemas.microsoft.com/sharepoint/v3" xmlns:ns2="7bb6ae39-40b3-4b4f-9ace-18387bc29df9" xmlns:ns3="862cb136-aef3-45d6-820f-9c9bc07b493d" targetNamespace="http://schemas.microsoft.com/office/2006/metadata/properties" ma:root="true" ma:fieldsID="59d1b4cc2e60ff8ea1a10d2df22277bd" ns1:_="" ns2:_="" ns3:_="">
    <xsd:import namespace="http://schemas.microsoft.com/sharepoint/v3"/>
    <xsd:import namespace="7bb6ae39-40b3-4b4f-9ace-18387bc29df9"/>
    <xsd:import namespace="862cb136-aef3-45d6-820f-9c9bc07b493d"/>
    <xsd:element name="properties">
      <xsd:complexType>
        <xsd:sequence>
          <xsd:element name="documentManagement">
            <xsd:complexType>
              <xsd:all>
                <xsd:element ref="ns2:Procedure_x0020_Number"/>
                <xsd:element ref="ns2:Implementation_x0020_Date" minOccurs="0"/>
                <xsd:element ref="ns2:Effective_x0020_Date"/>
                <xsd:element ref="ns2:Departments" minOccurs="0"/>
                <xsd:element ref="ns2:Locations" minOccurs="0"/>
                <xsd:element ref="ns2:Next_x0020_Review_x0020_Date"/>
                <xsd:element ref="ns2:OrigGuid" minOccurs="0"/>
                <xsd:element ref="ns2:Disposal_x0020_Approved" minOccurs="0"/>
                <xsd:element ref="ns2:Disposal_x0020_Approved_x0020_Date" minOccurs="0"/>
                <xsd:element ref="ns2:Disposal_x0020_Approved_x0020_By" minOccurs="0"/>
                <xsd:element ref="ns2:Owner"/>
                <xsd:element ref="ns2:SOP_x0020_Author"/>
                <xsd:element ref="ns2:Revision_x0020_Notes" minOccurs="0"/>
                <xsd:element ref="ns2:PublishedVer" minOccurs="0"/>
                <xsd:element ref="ns2:AnnualAlertVer" minOccurs="0"/>
                <xsd:element ref="ns2:retired" minOccurs="0"/>
                <xsd:element ref="ns3:dueDate" minOccurs="0"/>
                <xsd:element ref="ns1:_dlc_Exempt" minOccurs="0"/>
                <xsd:element ref="ns3:DLCPolicyLabelValue" minOccurs="0"/>
                <xsd:element ref="ns3:DLCPolicyLabelClientValue" minOccurs="0"/>
                <xsd:element ref="ns3:DLCPolicyLabelLock" minOccurs="0"/>
                <xsd:element ref="ns2:Locations_x0020_Quickpart" minOccurs="0"/>
                <xsd:element ref="ns3:Effective_x0020_Date_x0020_Status" minOccurs="0"/>
                <xsd:element ref="ns3:PeriodicReviewCheckStatus" minOccurs="0"/>
                <xsd:element ref="ns3:Retired_x0020_Date" minOccurs="0"/>
                <xsd:element ref="ns3:Disable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b6ae39-40b3-4b4f-9ace-18387bc29df9" elementFormDefault="qualified">
    <xsd:import namespace="http://schemas.microsoft.com/office/2006/documentManagement/types"/>
    <xsd:import namespace="http://schemas.microsoft.com/office/infopath/2007/PartnerControls"/>
    <xsd:element name="Procedure_x0020_Number" ma:index="8" ma:displayName="Procedure Number" ma:internalName="Procedure_x0020_Number0" ma:readOnly="false">
      <xsd:simpleType>
        <xsd:restriction base="dms:Text">
          <xsd:maxLength value="255"/>
        </xsd:restriction>
      </xsd:simpleType>
    </xsd:element>
    <xsd:element name="Implementation_x0020_Date" ma:index="9" nillable="true" ma:displayName="Implementation Date" ma:format="DateOnly" ma:internalName="Implementation_x0020_Date0">
      <xsd:simpleType>
        <xsd:restriction base="dms:DateTime"/>
      </xsd:simpleType>
    </xsd:element>
    <xsd:element name="Effective_x0020_Date" ma:index="10" ma:displayName="Effective Date" ma:format="DateOnly" ma:internalName="Effective_x0020_Date0" ma:readOnly="false">
      <xsd:simpleType>
        <xsd:restriction base="dms:DateTime"/>
      </xsd:simpleType>
    </xsd:element>
    <xsd:element name="Departments" ma:index="11" nillable="true" ma:displayName="Departments" ma:list="{bd4a8209-cc3a-4ae9-bab4-7788c5a68b39}" ma:internalName="Department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22fe2876-cf2c-4ec8-912f-f38142ac28eb}" ma:internalName="Location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Next_x0020_Review_x0020_Date" ma:index="13" ma:displayName="Next Review Date" ma:format="DateOnly" ma:internalName="Next_x0020_Review_x0020_Date0" ma:readOnly="false">
      <xsd:simpleType>
        <xsd:restriction base="dms:DateTime"/>
      </xsd:simpleType>
    </xsd:element>
    <xsd:element name="OrigGuid" ma:index="14" nillable="true" ma:displayName="PubGuid" ma:internalName="OrigGuid0" ma:readOnly="false">
      <xsd:simpleType>
        <xsd:restriction base="dms:Text">
          <xsd:maxLength value="255"/>
        </xsd:restriction>
      </xsd:simpleType>
    </xsd:element>
    <xsd:element name="Disposal_x0020_Approved" ma:index="15" nillable="true" ma:displayName="Disposal Approved" ma:default="0" ma:hidden="true" ma:internalName="Disposal_x0020_Approved" ma:readOnly="false">
      <xsd:simpleType>
        <xsd:restriction base="dms:Boolean"/>
      </xsd:simpleType>
    </xsd:element>
    <xsd:element name="Disposal_x0020_Approved_x0020_Date" ma:index="16" nillable="true" ma:displayName="Disposal Approved Date" ma:format="DateOnly" ma:hidden="true" ma:internalName="Disposal_x0020_Approved_x0020_Date" ma:readOnly="false">
      <xsd:simpleType>
        <xsd:restriction base="dms:DateTime"/>
      </xsd:simpleType>
    </xsd:element>
    <xsd:element name="Disposal_x0020_Approved_x0020_By" ma:index="17" nillable="true" ma:displayName="Disposal Approved By" ma:hidden="true" ma:list="UserInfo" ma:SharePointGroup="0" ma:internalName="Disposal_x0020_Approv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 ma:index="18" ma:displayName="Owner" ma:list="UserInfo" ma:SharePointGroup="0" ma:internalName="Own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OP_x0020_Author" ma:index="19" ma:displayName="SOP Author" ma:list="UserInfo" ma:SharePointGroup="0" ma:internalName="SOP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Notes" ma:index="20" nillable="true" ma:displayName="Revision Notes" ma:hidden="true" ma:internalName="Revision_x0020_Notes0" ma:readOnly="false">
      <xsd:simpleType>
        <xsd:restriction base="dms:Note"/>
      </xsd:simpleType>
    </xsd:element>
    <xsd:element name="PublishedVer" ma:index="21" nillable="true" ma:displayName="PublishedVer" ma:hidden="true" ma:internalName="PublishedVer" ma:readOnly="false">
      <xsd:simpleType>
        <xsd:restriction base="dms:Number"/>
      </xsd:simpleType>
    </xsd:element>
    <xsd:element name="AnnualAlertVer" ma:index="22" nillable="true" ma:displayName="AnnualAlertVer" ma:hidden="true" ma:internalName="AnnualAlertVer" ma:readOnly="false">
      <xsd:simpleType>
        <xsd:restriction base="dms:Number"/>
      </xsd:simpleType>
    </xsd:element>
    <xsd:element name="retired" ma:index="24" nillable="true" ma:displayName="Retired" ma:default="0" ma:internalName="retired">
      <xsd:simpleType>
        <xsd:restriction base="dms:Boolean"/>
      </xsd:simpleType>
    </xsd:element>
    <xsd:element name="Locations_x0020_Quickpart" ma:index="32" nillable="true" ma:displayName="Locations Quickpart" ma:description="A copy of the locations lookup used for Quick parts in Word" ma:hidden="true" ma:internalName="Locations_x0020_Quickpart"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cb136-aef3-45d6-820f-9c9bc07b493d" elementFormDefault="qualified">
    <xsd:import namespace="http://schemas.microsoft.com/office/2006/documentManagement/types"/>
    <xsd:import namespace="http://schemas.microsoft.com/office/infopath/2007/PartnerControls"/>
    <xsd:element name="dueDate" ma:index="26" nillable="true" ma:displayName="Due Date" ma:format="DateTime" ma:hidden="true" ma:internalName="dueDate" ma:readOnly="false">
      <xsd:simpleType>
        <xsd:restriction base="dms:DateTime"/>
      </xsd:simple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Effective_x0020_Date_x0020_Status" ma:index="33" nillable="true" ma:displayName="Effective Date Status" ma:description="Effective Date and Status of Current Policy" ma:hidden="true" ma:internalName="Effective_x0020_Date_x0020_Status" ma:readOnly="false">
      <xsd:simpleType>
        <xsd:restriction base="dms:Unknown"/>
      </xsd:simpleType>
    </xsd:element>
    <xsd:element name="PeriodicReviewCheckStatus" ma:index="35" nillable="true" ma:displayName="PeriodicReviewCheckStatus" ma:default="0" ma:internalName="PeriodicReviewCheckStatus">
      <xsd:simpleType>
        <xsd:restriction base="dms:Boolean"/>
      </xsd:simpleType>
    </xsd:element>
    <xsd:element name="Retired_x0020_Date" ma:index="36" nillable="true" ma:displayName="Retired Date" ma:format="DateOnly" ma:internalName="Retired_x0020_Date">
      <xsd:simpleType>
        <xsd:restriction base="dms:DateTime"/>
      </xsd:simpleType>
    </xsd:element>
    <xsd:element name="DisableReview" ma:index="54" nillable="true" ma:displayName="DisableReview" ma:default="0" ma:description="Used to Enable and Disable the Review Worfklow for a large number of recipients." ma:hidden="true" ma:internalName="DisableReview"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AC25-FB2F-4040-B632-73C7EBE46CA5}"/>
</file>

<file path=customXml/itemProps2.xml><?xml version="1.0" encoding="utf-8"?>
<ds:datastoreItem xmlns:ds="http://schemas.openxmlformats.org/officeDocument/2006/customXml" ds:itemID="{22AA2347-E1E1-4B5A-97FD-322E01419FEF}"/>
</file>

<file path=customXml/itemProps3.xml><?xml version="1.0" encoding="utf-8"?>
<ds:datastoreItem xmlns:ds="http://schemas.openxmlformats.org/officeDocument/2006/customXml" ds:itemID="{1B8DD281-542C-4D20-B238-0D3B1C8DA2A4}"/>
</file>

<file path=customXml/itemProps4.xml><?xml version="1.0" encoding="utf-8"?>
<ds:datastoreItem xmlns:ds="http://schemas.openxmlformats.org/officeDocument/2006/customXml" ds:itemID="{7DD44EB6-361A-47F1-B3EF-F6CDC80E1069}"/>
</file>

<file path=customXml/itemProps5.xml><?xml version="1.0" encoding="utf-8"?>
<ds:datastoreItem xmlns:ds="http://schemas.openxmlformats.org/officeDocument/2006/customXml" ds:itemID="{AC6B4DF0-8850-42DF-9D17-2DE70E6895DD}"/>
</file>

<file path=customXml/itemProps6.xml><?xml version="1.0" encoding="utf-8"?>
<ds:datastoreItem xmlns:ds="http://schemas.openxmlformats.org/officeDocument/2006/customXml" ds:itemID="{805F64E6-EB25-47DA-A84A-88BB12EC04E9}"/>
</file>

<file path=docProps/app.xml><?xml version="1.0" encoding="utf-8"?>
<Properties xmlns="http://schemas.openxmlformats.org/officeDocument/2006/extended-properties" xmlns:vt="http://schemas.openxmlformats.org/officeDocument/2006/docPropsVTypes">
  <Template>Normal</Template>
  <TotalTime>0</TotalTime>
  <Pages>8</Pages>
  <Words>2003</Words>
  <Characters>11421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HEPATITIS B SURFACE ANTIGEN BY ADVIA CENTAUR (HBS) (HBSAG)</vt:lpstr>
    </vt:vector>
  </TitlesOfParts>
  <Company>MACL</Company>
  <LinksUpToDate>false</LinksUpToDate>
  <CharactersWithSpaces>13398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HEPATITIS B SURFACE ANTIGEN BY ADVIA CENTAUR (HBSII) (HBSAGII)</dc:title>
  <dc:subject/>
  <dc:creator>Huggins, Kara L</dc:creator>
  <cp:keywords/>
  <dc:description/>
  <cp:lastModifiedBy>Brtva, Rebecca A</cp:lastModifiedBy>
  <cp:revision>2</cp:revision>
  <dcterms:created xsi:type="dcterms:W3CDTF">2016-02-15T23:10:00Z</dcterms:created>
  <dcterms:modified xsi:type="dcterms:W3CDTF">2016-02-15T23:10:00Z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0x0101000C7D50628C209B4DA9825EE7983DB559004D2BE744C2BE2C45AF259DAF2AC17333</vt:lpwstr>
  </property>
</Properties>
</file>