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3C39F" w14:textId="77777777" w:rsidR="0026140C" w:rsidRDefault="0026140C" w:rsidP="0026140C">
      <w:pPr>
        <w:rPr>
          <w:rFonts w:cs="Calibri"/>
        </w:rPr>
      </w:pPr>
    </w:p>
    <w:p w14:paraId="419494C9" w14:textId="7D8DA4A3" w:rsidR="0026140C" w:rsidRPr="000234BB" w:rsidRDefault="00015777"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875803">
            <w:rPr>
              <w:rFonts w:cs="Calibri"/>
              <w:b/>
              <w:sz w:val="24"/>
              <w:szCs w:val="24"/>
            </w:rPr>
            <w:t>CHEM.DXI.ASSAY.</w:t>
          </w:r>
          <w:r w:rsidR="00235CE4">
            <w:rPr>
              <w:rFonts w:cs="Calibri"/>
              <w:b/>
              <w:sz w:val="24"/>
              <w:szCs w:val="24"/>
            </w:rPr>
            <w:t>8</w:t>
          </w:r>
          <w:r w:rsidR="00F94C1B">
            <w:rPr>
              <w:rFonts w:cs="Calibri"/>
              <w:b/>
              <w:sz w:val="24"/>
              <w:szCs w:val="24"/>
            </w:rPr>
            <w:t>.0</w:t>
          </w:r>
          <w:r w:rsidR="005E3B90">
            <w:rPr>
              <w:rFonts w:cs="Calibri"/>
              <w:b/>
              <w:sz w:val="24"/>
              <w:szCs w:val="24"/>
            </w:rPr>
            <w:t xml:space="preserve">  </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1417CC">
            <w:rPr>
              <w:rFonts w:cs="Calibri"/>
              <w:b/>
              <w:sz w:val="24"/>
              <w:szCs w:val="24"/>
            </w:rPr>
            <w:t xml:space="preserve">DXI </w:t>
          </w:r>
          <w:r w:rsidR="005E3B90">
            <w:rPr>
              <w:rFonts w:cs="Calibri"/>
              <w:b/>
              <w:sz w:val="24"/>
              <w:szCs w:val="24"/>
            </w:rPr>
            <w:t xml:space="preserve">Sex Hormone Binding Globulin (SHBG) </w:t>
          </w:r>
        </w:sdtContent>
      </w:sdt>
    </w:p>
    <w:p w14:paraId="70FDCE7A" w14:textId="533F4B16" w:rsidR="005E3B90" w:rsidRPr="005E3B90" w:rsidRDefault="0026140C" w:rsidP="005E3B90">
      <w:r w:rsidRPr="000234BB">
        <w:rPr>
          <w:rFonts w:cs="Calibri"/>
          <w:b/>
        </w:rPr>
        <w:t>P</w:t>
      </w:r>
      <w:r w:rsidR="005E3B90">
        <w:rPr>
          <w:rFonts w:cs="Calibri"/>
          <w:b/>
        </w:rPr>
        <w:t>RINCIPLE</w:t>
      </w:r>
      <w:r w:rsidR="00E4761F">
        <w:rPr>
          <w:rFonts w:cs="Calibri"/>
          <w:b/>
        </w:rPr>
        <w:t xml:space="preserve">                                                                                                                                                                   </w:t>
      </w:r>
      <w:r w:rsidR="005E3B90" w:rsidRPr="005E3B90">
        <w:t xml:space="preserve">The Access SHBG assay is a paramagnetic particle, </w:t>
      </w:r>
      <w:proofErr w:type="spellStart"/>
      <w:r w:rsidR="005E3B90" w:rsidRPr="005E3B90">
        <w:t>chemiluminescent</w:t>
      </w:r>
      <w:proofErr w:type="spellEnd"/>
      <w:r w:rsidR="005E3B90" w:rsidRPr="005E3B90">
        <w:t xml:space="preserve"> immunoassay for the quantitative determination of Sex Hormone Binding Globulin levels in human serum and plasma using the Access Immunoassay Systems</w:t>
      </w:r>
      <w:r w:rsidR="005E3B90">
        <w:t>.</w:t>
      </w:r>
      <w:r w:rsidR="00E4761F">
        <w:t xml:space="preserve">  </w:t>
      </w:r>
      <w:r w:rsidR="001F6A79">
        <w:tab/>
      </w:r>
      <w:r w:rsidR="001F6A79">
        <w:tab/>
      </w:r>
      <w:r w:rsidR="001F6A79">
        <w:tab/>
      </w:r>
      <w:r w:rsidR="001F6A79">
        <w:tab/>
      </w:r>
      <w:r w:rsidR="001F6A79">
        <w:tab/>
      </w:r>
      <w:r w:rsidR="001F6A79">
        <w:tab/>
      </w:r>
      <w:r w:rsidR="001F6A79">
        <w:tab/>
      </w:r>
      <w:r w:rsidR="001F6A79">
        <w:tab/>
        <w:t xml:space="preserve">                      </w:t>
      </w:r>
      <w:r w:rsidR="00E4761F">
        <w:t xml:space="preserve"> </w:t>
      </w:r>
      <w:r w:rsidR="001F6A79">
        <w:t>The Access SHBG assay is indicated for use in the assessment of androgen disorders.</w:t>
      </w:r>
      <w:r w:rsidR="00E4761F">
        <w:t xml:space="preserve">                                                                                                                                          </w:t>
      </w:r>
      <w:r w:rsidR="005E3B90" w:rsidRPr="005E3B90">
        <w:t xml:space="preserve">The Access SHBG assay is a sequential two-step </w:t>
      </w:r>
      <w:proofErr w:type="spellStart"/>
      <w:r w:rsidR="005E3B90" w:rsidRPr="005E3B90">
        <w:t>immunoenzymatic</w:t>
      </w:r>
      <w:proofErr w:type="spellEnd"/>
      <w:r w:rsidR="005E3B90" w:rsidRPr="005E3B90">
        <w:t xml:space="preserve"> (“sandwich”) assay. A sample is added to a reaction vessel along with paramagnetic particles coated with monoclonal anti-SHBG antibody and saline buffer with proteins. After incubation in a reaction vessel, materials bound to the solid phase are held in a magnetic field while unbound materials are washed away. A second monoclonal anti-SHBG antibody conjugated to alkaline phosphatase is added to the reaction vessel. After the second incubation in the reaction vessel, materials bound to the solid phase are held in a magnetic field while unbound materials are washed away. Then, the </w:t>
      </w:r>
      <w:proofErr w:type="spellStart"/>
      <w:r w:rsidR="005E3B90" w:rsidRPr="005E3B90">
        <w:t>chemiluminescent</w:t>
      </w:r>
      <w:proofErr w:type="spellEnd"/>
      <w:r w:rsidR="005E3B90" w:rsidRPr="005E3B90">
        <w:t xml:space="preserve"> substrate </w:t>
      </w:r>
      <w:proofErr w:type="spellStart"/>
      <w:r w:rsidR="005E3B90" w:rsidRPr="005E3B90">
        <w:t>Lumi-Phos</w:t>
      </w:r>
      <w:proofErr w:type="spellEnd"/>
      <w:r w:rsidR="005E3B90" w:rsidRPr="005E3B90">
        <w:t xml:space="preserve"> 530 is added to the vessel and light generated by the reaction is measured with a </w:t>
      </w:r>
      <w:proofErr w:type="spellStart"/>
      <w:r w:rsidR="005E3B90" w:rsidRPr="005E3B90">
        <w:t>luminometer</w:t>
      </w:r>
      <w:proofErr w:type="spellEnd"/>
      <w:r w:rsidR="005E3B90" w:rsidRPr="005E3B90">
        <w:t xml:space="preserve">. The light production is directly proportional to the concentration of SHBG in the sample. The amount of </w:t>
      </w:r>
      <w:proofErr w:type="spellStart"/>
      <w:r w:rsidR="005E3B90" w:rsidRPr="005E3B90">
        <w:t>analyte</w:t>
      </w:r>
      <w:proofErr w:type="spellEnd"/>
      <w:r w:rsidR="005E3B90" w:rsidRPr="005E3B90">
        <w:t xml:space="preserve"> in the sample is determined from a stored, </w:t>
      </w:r>
      <w:proofErr w:type="spellStart"/>
      <w:r w:rsidR="005E3B90" w:rsidRPr="005E3B90">
        <w:t>mulit</w:t>
      </w:r>
      <w:proofErr w:type="spellEnd"/>
      <w:r w:rsidR="005E3B90" w:rsidRPr="005E3B90">
        <w:t>-point calibration curve.</w:t>
      </w:r>
    </w:p>
    <w:p w14:paraId="64798D33" w14:textId="43194CEE" w:rsidR="00513BF5" w:rsidRDefault="005E3B90" w:rsidP="0026140C">
      <w:pPr>
        <w:rPr>
          <w:rFonts w:cs="Calibri"/>
          <w:b/>
        </w:rPr>
      </w:pPr>
      <w:r>
        <w:rPr>
          <w:rFonts w:cs="Calibri"/>
          <w:b/>
        </w:rPr>
        <w:t>DOCUMENT OWNER</w:t>
      </w:r>
      <w:r w:rsidR="00E4761F">
        <w:rPr>
          <w:rFonts w:cs="Calibri"/>
          <w:b/>
        </w:rPr>
        <w:t xml:space="preserve">                                                                                                                                       </w:t>
      </w:r>
      <w:r>
        <w:rPr>
          <w:rFonts w:cs="Calibri"/>
        </w:rPr>
        <w:t>Manager, Regional Chemistry</w:t>
      </w:r>
    </w:p>
    <w:p w14:paraId="54780CE4" w14:textId="2DAAA1D7" w:rsidR="0026140C" w:rsidRPr="000857B0" w:rsidRDefault="0026140C" w:rsidP="0026140C">
      <w:pPr>
        <w:rPr>
          <w:rFonts w:cs="Calibri"/>
        </w:rPr>
      </w:pPr>
      <w:r w:rsidRPr="000234BB">
        <w:rPr>
          <w:rFonts w:cs="Calibri"/>
          <w:b/>
        </w:rPr>
        <w:t>RELATED DOCUMENTS</w:t>
      </w:r>
      <w:r w:rsidR="00E4761F">
        <w:rPr>
          <w:rFonts w:cs="Calibri"/>
          <w:b/>
        </w:rPr>
        <w:t xml:space="preserve">                                                                           </w:t>
      </w:r>
      <w:r w:rsidR="00FB65DA">
        <w:rPr>
          <w:rFonts w:cs="Calibri"/>
          <w:b/>
        </w:rPr>
        <w:t xml:space="preserve"> </w:t>
      </w:r>
      <w:r w:rsidR="00E4761F">
        <w:rPr>
          <w:rFonts w:cs="Calibri"/>
          <w:b/>
        </w:rPr>
        <w:t xml:space="preserve">                                                           </w:t>
      </w:r>
      <w:r w:rsidR="009D4DFE">
        <w:rPr>
          <w:rFonts w:cs="Calibri"/>
        </w:rPr>
        <w:t>CHEM.DXI.1.0</w:t>
      </w:r>
      <w:r w:rsidR="00FB65DA">
        <w:rPr>
          <w:rFonts w:cs="Calibri"/>
        </w:rPr>
        <w:t xml:space="preserve"> </w:t>
      </w:r>
      <w:r w:rsidR="00FB65DA">
        <w:rPr>
          <w:rFonts w:cs="Calibri"/>
        </w:rPr>
        <w:tab/>
      </w:r>
      <w:r w:rsidR="009D4DFE">
        <w:rPr>
          <w:rFonts w:cs="Calibri"/>
        </w:rPr>
        <w:t>DXI Operation</w:t>
      </w:r>
      <w:r w:rsidR="003068CB">
        <w:rPr>
          <w:rFonts w:cs="Calibri"/>
        </w:rPr>
        <w:t xml:space="preserve"> Procedure</w:t>
      </w:r>
      <w:r w:rsidR="009D4DFE">
        <w:rPr>
          <w:rFonts w:cs="Calibri"/>
        </w:rPr>
        <w:t xml:space="preserve">                                </w:t>
      </w:r>
      <w:r w:rsidR="003068CB">
        <w:rPr>
          <w:rFonts w:cs="Calibri"/>
        </w:rPr>
        <w:t xml:space="preserve">                    </w:t>
      </w:r>
      <w:r w:rsidR="009D4DFE">
        <w:rPr>
          <w:rFonts w:cs="Calibri"/>
        </w:rPr>
        <w:t xml:space="preserve">                                     </w:t>
      </w:r>
      <w:r w:rsidR="00FB65DA">
        <w:rPr>
          <w:rFonts w:cs="Calibri"/>
        </w:rPr>
        <w:t xml:space="preserve">    </w:t>
      </w:r>
      <w:r w:rsidR="009D4DFE">
        <w:rPr>
          <w:rFonts w:cs="Calibri"/>
        </w:rPr>
        <w:t xml:space="preserve">      </w:t>
      </w:r>
      <w:r w:rsidR="00FB65DA">
        <w:rPr>
          <w:rFonts w:cs="Calibri"/>
        </w:rPr>
        <w:t xml:space="preserve">  </w:t>
      </w:r>
      <w:r w:rsidR="009D4DFE">
        <w:rPr>
          <w:rFonts w:cs="Calibri"/>
        </w:rPr>
        <w:t xml:space="preserve">      </w:t>
      </w:r>
    </w:p>
    <w:p w14:paraId="7B4F3FF4" w14:textId="77777777" w:rsidR="006913CB" w:rsidRPr="006913CB" w:rsidRDefault="006913CB" w:rsidP="006913CB">
      <w:pPr>
        <w:spacing w:after="0" w:line="259" w:lineRule="auto"/>
        <w:rPr>
          <w:b/>
        </w:rPr>
      </w:pPr>
      <w:r w:rsidRPr="006913CB">
        <w:rPr>
          <w:b/>
        </w:rPr>
        <w:t>SPECIMEN</w:t>
      </w:r>
    </w:p>
    <w:p w14:paraId="2A55745E" w14:textId="77777777" w:rsidR="006913CB" w:rsidRPr="006913CB" w:rsidRDefault="006913CB" w:rsidP="006913CB">
      <w:pPr>
        <w:spacing w:after="0" w:line="259" w:lineRule="auto"/>
      </w:pPr>
      <w:r w:rsidRPr="006913CB">
        <w:t>A. Specimen Type</w:t>
      </w:r>
    </w:p>
    <w:p w14:paraId="2B5E1663" w14:textId="77777777" w:rsidR="006913CB" w:rsidRPr="006913CB" w:rsidRDefault="006913CB" w:rsidP="006913CB">
      <w:pPr>
        <w:spacing w:after="0" w:line="259" w:lineRule="auto"/>
      </w:pPr>
      <w:r w:rsidRPr="006913CB">
        <w:tab/>
        <w:t>1. Serum</w:t>
      </w:r>
    </w:p>
    <w:p w14:paraId="538D9E71" w14:textId="394C70D7" w:rsidR="006913CB" w:rsidRPr="006913CB" w:rsidRDefault="006913CB" w:rsidP="006913CB">
      <w:pPr>
        <w:spacing w:after="0" w:line="259" w:lineRule="auto"/>
      </w:pPr>
      <w:r w:rsidRPr="006913CB">
        <w:tab/>
        <w:t>2. Plasmas (heparin)</w:t>
      </w:r>
    </w:p>
    <w:p w14:paraId="7B044404" w14:textId="77777777" w:rsidR="006913CB" w:rsidRPr="006913CB" w:rsidRDefault="006913CB" w:rsidP="006913CB">
      <w:pPr>
        <w:spacing w:after="0" w:line="259" w:lineRule="auto"/>
      </w:pPr>
      <w:r w:rsidRPr="006913CB">
        <w:t>B. Specimen Stability</w:t>
      </w:r>
    </w:p>
    <w:p w14:paraId="2B8FE70E" w14:textId="71E0A907" w:rsidR="002F6123" w:rsidRDefault="002F6123" w:rsidP="002F6123">
      <w:pPr>
        <w:spacing w:after="0" w:line="240" w:lineRule="auto"/>
      </w:pPr>
      <w:r>
        <w:tab/>
        <w:t>1.</w:t>
      </w:r>
      <w:r>
        <w:tab/>
        <w:t xml:space="preserve"> </w:t>
      </w:r>
      <w:r w:rsidRPr="002F6123">
        <w:t>Room Temperature (</w:t>
      </w:r>
      <w:r w:rsidR="00015777">
        <w:t>15-30</w:t>
      </w:r>
      <w:r w:rsidRPr="002F6123">
        <w:t>°C) – 8 hours</w:t>
      </w:r>
    </w:p>
    <w:p w14:paraId="4A9FC5DF" w14:textId="77777777" w:rsidR="002F6123" w:rsidRDefault="002F6123" w:rsidP="002F6123">
      <w:pPr>
        <w:spacing w:after="0" w:line="240" w:lineRule="auto"/>
      </w:pPr>
      <w:r>
        <w:tab/>
        <w:t>2.</w:t>
      </w:r>
      <w:r>
        <w:tab/>
        <w:t xml:space="preserve"> </w:t>
      </w:r>
      <w:r w:rsidRPr="002F6123">
        <w:t xml:space="preserve">Refrigerated (2-8°C) – </w:t>
      </w:r>
      <w:r>
        <w:t>5</w:t>
      </w:r>
      <w:r w:rsidRPr="002F6123">
        <w:t xml:space="preserve"> days</w:t>
      </w:r>
      <w:bookmarkStart w:id="0" w:name="_GoBack"/>
      <w:bookmarkEnd w:id="0"/>
    </w:p>
    <w:p w14:paraId="6E76E848" w14:textId="1C05E172" w:rsidR="002F6123" w:rsidRDefault="002F6123" w:rsidP="002F6123">
      <w:pPr>
        <w:spacing w:after="0" w:line="240" w:lineRule="auto"/>
      </w:pPr>
      <w:r>
        <w:tab/>
        <w:t>3.</w:t>
      </w:r>
      <w:r>
        <w:tab/>
      </w:r>
      <w:r w:rsidRPr="002F6123">
        <w:t>Frozen (</w:t>
      </w:r>
      <w:r w:rsidR="00474BDA">
        <w:rPr>
          <w:u w:val="single"/>
        </w:rPr>
        <w:t>&lt;</w:t>
      </w:r>
      <w:r w:rsidRPr="002F6123">
        <w:t>-20°C) – 2 months</w:t>
      </w:r>
      <w:r w:rsidR="001F6A79">
        <w:t xml:space="preserve"> or for shipment</w:t>
      </w:r>
    </w:p>
    <w:p w14:paraId="14542825" w14:textId="65292F47" w:rsidR="002F6123" w:rsidRDefault="002F6123" w:rsidP="002F6123">
      <w:pPr>
        <w:spacing w:after="0" w:line="240" w:lineRule="auto"/>
      </w:pPr>
      <w:r w:rsidRPr="002F6123">
        <w:t>C. Special Instructions</w:t>
      </w:r>
    </w:p>
    <w:p w14:paraId="7807B27F" w14:textId="14771A8A" w:rsidR="006913CB" w:rsidRPr="002F6123" w:rsidRDefault="006913CB" w:rsidP="002F6123">
      <w:pPr>
        <w:spacing w:after="0" w:line="240" w:lineRule="auto"/>
      </w:pPr>
      <w:r>
        <w:tab/>
        <w:t xml:space="preserve">1. </w:t>
      </w:r>
      <w:r w:rsidRPr="002F6123">
        <w:t xml:space="preserve">Thaw specimens no more than </w:t>
      </w:r>
      <w:r>
        <w:t>two</w:t>
      </w:r>
      <w:r w:rsidRPr="002F6123">
        <w:t xml:space="preserve"> times</w:t>
      </w:r>
    </w:p>
    <w:p w14:paraId="7B94CABC" w14:textId="5353D755" w:rsidR="002F6123" w:rsidRPr="002F6123" w:rsidRDefault="002F6123" w:rsidP="002F6123">
      <w:pPr>
        <w:rPr>
          <w:rFonts w:cs="Calibri"/>
        </w:rPr>
      </w:pPr>
      <w:r w:rsidRPr="002F6123">
        <w:tab/>
      </w:r>
      <w:r w:rsidR="006913CB">
        <w:t>2</w:t>
      </w:r>
      <w:r w:rsidRPr="002F6123">
        <w:t xml:space="preserve">. Avoid using </w:t>
      </w:r>
      <w:proofErr w:type="spellStart"/>
      <w:r w:rsidRPr="002F6123">
        <w:t>hemolyzed</w:t>
      </w:r>
      <w:proofErr w:type="spellEnd"/>
      <w:r w:rsidRPr="002F6123">
        <w:t xml:space="preserve"> or </w:t>
      </w:r>
      <w:proofErr w:type="spellStart"/>
      <w:r w:rsidRPr="002F6123">
        <w:t>lipemic</w:t>
      </w:r>
      <w:proofErr w:type="spellEnd"/>
      <w:r w:rsidRPr="002F6123">
        <w:t xml:space="preserve"> samples</w:t>
      </w:r>
    </w:p>
    <w:p w14:paraId="1AD8D6D6" w14:textId="22BDC565" w:rsidR="00E4761F" w:rsidRPr="00E4761F" w:rsidRDefault="00E4761F" w:rsidP="002F6123">
      <w:pPr>
        <w:spacing w:after="0" w:line="240" w:lineRule="auto"/>
        <w:rPr>
          <w:b/>
        </w:rPr>
      </w:pPr>
      <w:r w:rsidRPr="00E4761F">
        <w:rPr>
          <w:b/>
        </w:rPr>
        <w:t>REAGENTS</w:t>
      </w:r>
    </w:p>
    <w:p w14:paraId="2CDC52E3" w14:textId="77777777" w:rsidR="002F6123" w:rsidRPr="002F6123" w:rsidRDefault="002F6123" w:rsidP="002F6123">
      <w:pPr>
        <w:spacing w:after="0" w:line="240" w:lineRule="auto"/>
      </w:pPr>
      <w:r w:rsidRPr="002F6123">
        <w:t>A. The reagent is ready to use.</w:t>
      </w:r>
    </w:p>
    <w:p w14:paraId="1B649068" w14:textId="77777777" w:rsidR="002F6123" w:rsidRPr="002F6123" w:rsidRDefault="002F6123" w:rsidP="002F6123">
      <w:pPr>
        <w:spacing w:after="0" w:line="240" w:lineRule="auto"/>
      </w:pPr>
      <w:r w:rsidRPr="002F6123">
        <w:t>B. Store upright and refrigerate at 2-10°C.</w:t>
      </w:r>
    </w:p>
    <w:p w14:paraId="7C049342" w14:textId="77777777" w:rsidR="002F6123" w:rsidRPr="002F6123" w:rsidRDefault="002F6123" w:rsidP="002F6123">
      <w:pPr>
        <w:spacing w:after="0" w:line="240" w:lineRule="auto"/>
      </w:pPr>
      <w:r w:rsidRPr="002F6123">
        <w:t xml:space="preserve">C. Refrigerate at 2-10°C for a minimum of two hours before use on the instrument. </w:t>
      </w:r>
    </w:p>
    <w:p w14:paraId="569254FE" w14:textId="77777777" w:rsidR="002F6123" w:rsidRPr="002F6123" w:rsidRDefault="002F6123" w:rsidP="002F6123">
      <w:pPr>
        <w:spacing w:after="0" w:line="240" w:lineRule="auto"/>
      </w:pPr>
      <w:r w:rsidRPr="002F6123">
        <w:t>D. Stable until the expiration date on the label when stored at 2-10°C.</w:t>
      </w:r>
    </w:p>
    <w:p w14:paraId="46D38497" w14:textId="77777777" w:rsidR="002F6123" w:rsidRPr="002F6123" w:rsidRDefault="002F6123" w:rsidP="002F6123">
      <w:pPr>
        <w:spacing w:after="0" w:line="240" w:lineRule="auto"/>
      </w:pPr>
      <w:r w:rsidRPr="002F6123">
        <w:t>E. Stable at 2-10°C for 28 days after initial use.</w:t>
      </w:r>
    </w:p>
    <w:p w14:paraId="3B927969" w14:textId="77777777" w:rsidR="002F6123" w:rsidRPr="002F6123" w:rsidRDefault="002F6123" w:rsidP="002F6123">
      <w:pPr>
        <w:spacing w:after="0" w:line="240" w:lineRule="auto"/>
      </w:pPr>
      <w:r w:rsidRPr="002F6123">
        <w:lastRenderedPageBreak/>
        <w:t>F. Mix contents of new (un</w:t>
      </w:r>
      <w:r>
        <w:t>-</w:t>
      </w:r>
      <w:r w:rsidRPr="002F6123">
        <w:t>punctured) reagent packs by gently inverting pack several times before loading onto the instrument.</w:t>
      </w:r>
    </w:p>
    <w:p w14:paraId="7D4881D7" w14:textId="77777777" w:rsidR="002F6123" w:rsidRPr="002F6123" w:rsidRDefault="002F6123" w:rsidP="002F6123">
      <w:pPr>
        <w:spacing w:after="0" w:line="240" w:lineRule="auto"/>
      </w:pPr>
      <w:r w:rsidRPr="002F6123">
        <w:t>G. Signs of possible deterioration are a broken elastomeric layer on the pack or control values out of range.</w:t>
      </w:r>
    </w:p>
    <w:p w14:paraId="61AA06FF" w14:textId="77777777" w:rsidR="002F6123" w:rsidRDefault="002F6123" w:rsidP="002F6123">
      <w:r w:rsidRPr="002F6123">
        <w:t>H. For in vitro diagnostic use</w:t>
      </w:r>
      <w:r>
        <w:t xml:space="preserve">                                                                                                                                             </w:t>
      </w:r>
      <w:r w:rsidRPr="002F6123">
        <w:t>I. Handle all reagents with caution and avoid contact with skin, eyes, or mouth.  Refer to the Method Manual for any known toxicity.</w:t>
      </w:r>
    </w:p>
    <w:p w14:paraId="30F2CA72" w14:textId="77777777" w:rsidR="003068CB" w:rsidRPr="00C66F2C" w:rsidRDefault="009D4DFE" w:rsidP="003068CB">
      <w:pPr>
        <w:spacing w:after="0" w:line="240" w:lineRule="auto"/>
      </w:pPr>
      <w:r>
        <w:rPr>
          <w:rFonts w:cs="Calibri"/>
          <w:b/>
        </w:rPr>
        <w:t>EQUIPMENT</w:t>
      </w:r>
      <w:r w:rsidR="00E4761F">
        <w:rPr>
          <w:rFonts w:cs="Calibri"/>
          <w:b/>
        </w:rPr>
        <w:t xml:space="preserve">                                                                                                                                                      </w:t>
      </w:r>
      <w:r w:rsidR="003068CB" w:rsidRPr="00C66F2C">
        <w:t xml:space="preserve">Beckman Coulter Access </w:t>
      </w:r>
      <w:proofErr w:type="spellStart"/>
      <w:r w:rsidR="003068CB" w:rsidRPr="00C66F2C">
        <w:t>UniCel</w:t>
      </w:r>
      <w:proofErr w:type="spellEnd"/>
      <w:r w:rsidR="003068CB" w:rsidRPr="00C66F2C">
        <w:t xml:space="preserve"> </w:t>
      </w:r>
      <w:proofErr w:type="spellStart"/>
      <w:r w:rsidR="003068CB" w:rsidRPr="00C66F2C">
        <w:t>DxI</w:t>
      </w:r>
      <w:proofErr w:type="spellEnd"/>
      <w:r w:rsidR="003068CB" w:rsidRPr="00C66F2C">
        <w:t xml:space="preserve"> 600</w:t>
      </w:r>
    </w:p>
    <w:p w14:paraId="6D4D3753" w14:textId="77777777" w:rsidR="003068CB" w:rsidRDefault="003068CB" w:rsidP="003068CB">
      <w:pPr>
        <w:rPr>
          <w:b/>
        </w:rPr>
      </w:pPr>
    </w:p>
    <w:p w14:paraId="3E389D11" w14:textId="5C12B337" w:rsidR="004267E6" w:rsidRPr="004267E6" w:rsidRDefault="00E4761F" w:rsidP="008716C0">
      <w:proofErr w:type="gramStart"/>
      <w:r w:rsidRPr="00E4761F">
        <w:rPr>
          <w:b/>
        </w:rPr>
        <w:t>CALIBRATION</w:t>
      </w:r>
      <w:r w:rsidR="008716C0">
        <w:rPr>
          <w:b/>
        </w:rPr>
        <w:t xml:space="preserve">                                                                                                                                                                </w:t>
      </w:r>
      <w:r w:rsidR="004267E6" w:rsidRPr="004267E6">
        <w:t>A.</w:t>
      </w:r>
      <w:proofErr w:type="gramEnd"/>
      <w:r w:rsidR="004267E6" w:rsidRPr="004267E6">
        <w:t xml:space="preserve"> An active calibration curve is required for all tests.</w:t>
      </w:r>
      <w:r w:rsidR="008716C0">
        <w:t xml:space="preserve">                                                                                            </w:t>
      </w:r>
      <w:r w:rsidR="004267E6" w:rsidRPr="004267E6">
        <w:t>B. Calibration is required every 28 days for Access SHBG.</w:t>
      </w:r>
      <w:r w:rsidR="008716C0">
        <w:t xml:space="preserve">                                                                                     </w:t>
      </w:r>
      <w:r w:rsidR="004267E6" w:rsidRPr="004267E6">
        <w:t>C. Calibrators are provided lyophilized.  Reconstitute each vial volumetrically with 1mL CLWR.  Allow 30 minutes for dissolution.  Mix gently before use.</w:t>
      </w:r>
      <w:r w:rsidR="008716C0">
        <w:t xml:space="preserve">                                                                                                                     </w:t>
      </w:r>
      <w:r w:rsidR="004267E6" w:rsidRPr="004267E6">
        <w:t xml:space="preserve"> D. Lyophilized calibrators are stable until the expiration date stated on the label when stored at 2-8°C.</w:t>
      </w:r>
      <w:r w:rsidR="008716C0">
        <w:t xml:space="preserve">   </w:t>
      </w:r>
      <w:r w:rsidR="004267E6" w:rsidRPr="004267E6">
        <w:t>E. Reconstituted stability is 28 days at 2-8°C.</w:t>
      </w:r>
      <w:r w:rsidR="008716C0">
        <w:t xml:space="preserve">                                                                                                           </w:t>
      </w:r>
      <w:r w:rsidR="004267E6" w:rsidRPr="004267E6">
        <w:t>F. Refer to calibration card for exact concentrations.</w:t>
      </w:r>
      <w:r w:rsidR="008716C0">
        <w:t xml:space="preserve">                                                                                                      </w:t>
      </w:r>
      <w:r w:rsidR="004267E6" w:rsidRPr="003068CB">
        <w:t>G</w:t>
      </w:r>
      <w:r w:rsidR="004267E6" w:rsidRPr="004267E6">
        <w:t xml:space="preserve">. Refer to the appropriate system manual and/or Help system for information on calibration theory, configuring calibrators, calibrator test request entry, and reviewing calibration data. </w:t>
      </w:r>
    </w:p>
    <w:p w14:paraId="1CEE692C" w14:textId="77777777" w:rsidR="004267E6" w:rsidRPr="004267E6" w:rsidRDefault="004267E6" w:rsidP="004267E6">
      <w:pPr>
        <w:spacing w:after="0" w:line="240" w:lineRule="auto"/>
      </w:pPr>
    </w:p>
    <w:p w14:paraId="27169CC7" w14:textId="5D709CB3" w:rsidR="00E4761F" w:rsidRPr="00E4761F" w:rsidRDefault="00E4761F" w:rsidP="00F70AED">
      <w:pPr>
        <w:spacing w:after="0" w:line="240" w:lineRule="auto"/>
        <w:rPr>
          <w:b/>
        </w:rPr>
      </w:pPr>
      <w:r w:rsidRPr="00E4761F">
        <w:rPr>
          <w:b/>
        </w:rPr>
        <w:t>QUALITY CONTROL</w:t>
      </w:r>
    </w:p>
    <w:p w14:paraId="4CF3456D" w14:textId="65C375C0" w:rsidR="00B14B5D" w:rsidRDefault="00B14B5D" w:rsidP="00B14B5D">
      <w:pPr>
        <w:pStyle w:val="ListParagraph"/>
        <w:numPr>
          <w:ilvl w:val="0"/>
          <w:numId w:val="1"/>
        </w:numPr>
        <w:rPr>
          <w:rFonts w:cs="Calibri"/>
        </w:rPr>
      </w:pPr>
      <w:r>
        <w:rPr>
          <w:rFonts w:cs="Calibri"/>
        </w:rPr>
        <w:t>Refer to</w:t>
      </w:r>
      <w:r w:rsidRPr="009170FD">
        <w:rPr>
          <w:rFonts w:cs="Calibri"/>
        </w:rPr>
        <w:t xml:space="preserve"> </w:t>
      </w:r>
      <w:r>
        <w:rPr>
          <w:rFonts w:cs="Calibri"/>
        </w:rPr>
        <w:t xml:space="preserve">CHEM.QC.REGIONAL.2.0 Quality Control Testing Intervals for </w:t>
      </w:r>
      <w:r w:rsidRPr="0058798D">
        <w:rPr>
          <w:rFonts w:cs="Calibri"/>
        </w:rPr>
        <w:t>QC Testing Intervals for appropriate control materials and testing intervals</w:t>
      </w:r>
      <w:r>
        <w:rPr>
          <w:rFonts w:cs="Calibri"/>
        </w:rPr>
        <w:t>.</w:t>
      </w:r>
    </w:p>
    <w:p w14:paraId="2BBB551E" w14:textId="77777777" w:rsidR="00B14B5D" w:rsidRDefault="00B14B5D" w:rsidP="00B14B5D">
      <w:pPr>
        <w:pStyle w:val="ListParagraph"/>
        <w:numPr>
          <w:ilvl w:val="0"/>
          <w:numId w:val="1"/>
        </w:numPr>
        <w:rPr>
          <w:rFonts w:cs="Calibri"/>
        </w:rPr>
      </w:pPr>
      <w:r w:rsidRPr="008F40BA">
        <w:rPr>
          <w:rFonts w:cs="Calibri"/>
        </w:rPr>
        <w:t>Refer to CHEM.QC.REGIONAL.1.0 Regional Chemistry laboratory Quality Control for criteria on accepting/rejecting patients based on control results.</w:t>
      </w:r>
    </w:p>
    <w:p w14:paraId="30F69B77" w14:textId="77777777" w:rsidR="00F134A5" w:rsidRPr="00F134A5" w:rsidRDefault="00F134A5" w:rsidP="00F134A5">
      <w:pPr>
        <w:pStyle w:val="ListParagraph"/>
        <w:numPr>
          <w:ilvl w:val="0"/>
          <w:numId w:val="1"/>
        </w:numPr>
        <w:rPr>
          <w:rFonts w:cs="Calibri"/>
        </w:rPr>
      </w:pPr>
      <w:r w:rsidRPr="00F134A5">
        <w:rPr>
          <w:rFonts w:cs="Calibri"/>
        </w:rPr>
        <w:t>Refer to CHEM.QC.REGCHEM.2.2  QC PREP and STABILITY</w:t>
      </w:r>
    </w:p>
    <w:p w14:paraId="5115EE8E" w14:textId="77777777" w:rsidR="00F134A5" w:rsidRPr="008F40BA" w:rsidRDefault="00F134A5" w:rsidP="00F134A5">
      <w:pPr>
        <w:pStyle w:val="ListParagraph"/>
        <w:rPr>
          <w:rFonts w:cs="Calibri"/>
        </w:rPr>
      </w:pPr>
    </w:p>
    <w:p w14:paraId="08584453" w14:textId="3F4ECBF5" w:rsidR="003068CB" w:rsidRPr="00680C71" w:rsidRDefault="0026140C" w:rsidP="003068CB">
      <w:pPr>
        <w:spacing w:after="0" w:line="240" w:lineRule="auto"/>
      </w:pPr>
      <w:proofErr w:type="gramStart"/>
      <w:r w:rsidRPr="000234BB">
        <w:rPr>
          <w:rFonts w:cs="Calibri"/>
          <w:b/>
        </w:rPr>
        <w:t>PROCEDURE</w:t>
      </w:r>
      <w:r w:rsidR="00E4761F">
        <w:rPr>
          <w:rFonts w:cs="Calibri"/>
          <w:b/>
        </w:rPr>
        <w:t xml:space="preserve">                                                                                                                                                                      </w:t>
      </w:r>
      <w:r w:rsidR="003068CB">
        <w:t>A.</w:t>
      </w:r>
      <w:proofErr w:type="gramEnd"/>
      <w:r w:rsidR="003068CB">
        <w:t xml:space="preserve"> </w:t>
      </w:r>
      <w:r w:rsidR="003068CB" w:rsidRPr="00680C71">
        <w:t>See</w:t>
      </w:r>
      <w:r w:rsidR="003068CB">
        <w:t>,</w:t>
      </w:r>
      <w:r w:rsidR="003068CB" w:rsidRPr="00680C71">
        <w:t xml:space="preserve"> </w:t>
      </w:r>
      <w:r w:rsidR="003068CB">
        <w:t>DX</w:t>
      </w:r>
      <w:r w:rsidR="003068CB" w:rsidRPr="00523A1F">
        <w:t xml:space="preserve">I Operating </w:t>
      </w:r>
      <w:r w:rsidR="003068CB" w:rsidRPr="00F05C3F">
        <w:t>Procedure,</w:t>
      </w:r>
      <w:r w:rsidR="003068CB" w:rsidRPr="00F05C3F">
        <w:rPr>
          <w:rFonts w:cs="Calibri"/>
        </w:rPr>
        <w:t xml:space="preserve"> CHEM</w:t>
      </w:r>
      <w:r w:rsidR="003068CB" w:rsidRPr="00680C71">
        <w:rPr>
          <w:rFonts w:cs="Calibri"/>
        </w:rPr>
        <w:t>.</w:t>
      </w:r>
      <w:r w:rsidR="003068CB">
        <w:rPr>
          <w:rFonts w:cs="Calibri"/>
        </w:rPr>
        <w:t>DXI</w:t>
      </w:r>
      <w:r w:rsidR="003068CB" w:rsidRPr="00680C71">
        <w:rPr>
          <w:rFonts w:cs="Calibri"/>
        </w:rPr>
        <w:t xml:space="preserve">.1.0 </w:t>
      </w:r>
      <w:r w:rsidR="003068CB" w:rsidRPr="00680C71">
        <w:t>for specific details.</w:t>
      </w:r>
    </w:p>
    <w:p w14:paraId="3D41D2C2" w14:textId="77777777" w:rsidR="003068CB" w:rsidRDefault="003068CB" w:rsidP="003068CB">
      <w:pPr>
        <w:spacing w:after="0" w:line="240" w:lineRule="auto"/>
      </w:pPr>
      <w:r w:rsidRPr="00680C71">
        <w:t>B. Refer to the appropriate system manuals and/or Help system for information on managing samples, configuring tests, requesting tests, and reviewing test results.</w:t>
      </w:r>
    </w:p>
    <w:p w14:paraId="3C66A49D" w14:textId="77777777" w:rsidR="003068CB" w:rsidRPr="00680C71" w:rsidRDefault="003068CB" w:rsidP="003068CB">
      <w:pPr>
        <w:spacing w:after="0" w:line="240" w:lineRule="auto"/>
      </w:pPr>
    </w:p>
    <w:p w14:paraId="0641205D" w14:textId="1D03AB87" w:rsidR="00A77766" w:rsidRPr="00A77766" w:rsidRDefault="00E4761F" w:rsidP="003068CB">
      <w:r w:rsidRPr="005B52E4">
        <w:rPr>
          <w:b/>
        </w:rPr>
        <w:t>DILUTIONS</w:t>
      </w:r>
      <w:r w:rsidR="004C1523">
        <w:rPr>
          <w:b/>
        </w:rPr>
        <w:t xml:space="preserve">                                                                                                                                                                     </w:t>
      </w:r>
      <w:r w:rsidR="00A77766" w:rsidRPr="00A77766">
        <w:t xml:space="preserve">A. </w:t>
      </w:r>
      <w:r w:rsidR="00A77766">
        <w:t>for auto</w:t>
      </w:r>
      <w:r w:rsidR="00776E9A">
        <w:t xml:space="preserve"> or</w:t>
      </w:r>
      <w:r w:rsidR="00A77766">
        <w:t xml:space="preserve"> manual dilution </w:t>
      </w:r>
      <w:proofErr w:type="gramStart"/>
      <w:r w:rsidR="00A77766">
        <w:t>refer</w:t>
      </w:r>
      <w:proofErr w:type="gramEnd"/>
      <w:r w:rsidR="00A77766">
        <w:t xml:space="preserve"> to </w:t>
      </w:r>
      <w:r w:rsidR="00A77766" w:rsidRPr="00A77766">
        <w:t>CHEM.DXI.1.2 for specific details.</w:t>
      </w:r>
    </w:p>
    <w:p w14:paraId="0B080C87" w14:textId="40717764" w:rsidR="00E96778" w:rsidRDefault="004267E6" w:rsidP="004267E6">
      <w:pPr>
        <w:spacing w:after="0" w:line="240" w:lineRule="auto"/>
      </w:pPr>
      <w:r w:rsidRPr="00776E9A">
        <w:t xml:space="preserve">The </w:t>
      </w:r>
      <w:proofErr w:type="spellStart"/>
      <w:r w:rsidRPr="00776E9A">
        <w:t>DxI</w:t>
      </w:r>
      <w:proofErr w:type="spellEnd"/>
      <w:r w:rsidRPr="00776E9A">
        <w:t xml:space="preserve"> system onboard dilution feature automates the dilution process, using</w:t>
      </w:r>
      <w:r w:rsidR="00480544" w:rsidRPr="00776E9A">
        <w:t xml:space="preserve"> predefined assay </w:t>
      </w:r>
      <w:r w:rsidRPr="00776E9A">
        <w:t xml:space="preserve">sample </w:t>
      </w:r>
      <w:r w:rsidR="00480544" w:rsidRPr="00776E9A">
        <w:t xml:space="preserve">and the </w:t>
      </w:r>
      <w:r w:rsidRPr="00776E9A">
        <w:t>Wash Buffer</w:t>
      </w:r>
      <w:r w:rsidR="00480544" w:rsidRPr="00776E9A">
        <w:t>/ Sample Diluent volume</w:t>
      </w:r>
      <w:r w:rsidR="00776E9A">
        <w:t>s</w:t>
      </w:r>
      <w:r w:rsidR="00480544" w:rsidRPr="00776E9A">
        <w:t>,</w:t>
      </w:r>
      <w:r w:rsidRPr="00776E9A">
        <w:t xml:space="preserve"> all</w:t>
      </w:r>
      <w:r w:rsidR="00480544" w:rsidRPr="00776E9A">
        <w:t>owing samples to be quantitated.</w:t>
      </w:r>
      <w:r w:rsidRPr="00776E9A">
        <w:t xml:space="preserve"> </w:t>
      </w:r>
      <w:r w:rsidR="005B52E4">
        <w:t xml:space="preserve">Results </w:t>
      </w:r>
      <w:r w:rsidR="00E96778">
        <w:t xml:space="preserve">Reported </w:t>
      </w:r>
      <w:r w:rsidR="005B52E4">
        <w:t xml:space="preserve">by the system are </w:t>
      </w:r>
      <w:r w:rsidR="00776E9A">
        <w:t>adjusted</w:t>
      </w:r>
      <w:r w:rsidR="00E96778">
        <w:t xml:space="preserve"> for </w:t>
      </w:r>
      <w:r w:rsidR="005B52E4">
        <w:t>dilution.</w:t>
      </w:r>
    </w:p>
    <w:p w14:paraId="0D99A3A1" w14:textId="4ED53E3B" w:rsidR="004267E6" w:rsidRPr="004267E6" w:rsidRDefault="005E2306" w:rsidP="004267E6">
      <w:pPr>
        <w:spacing w:after="0" w:line="240" w:lineRule="auto"/>
      </w:pPr>
      <w:r w:rsidRPr="00776E9A">
        <w:t xml:space="preserve"> </w:t>
      </w:r>
    </w:p>
    <w:p w14:paraId="5A27130E" w14:textId="77777777" w:rsidR="0026140C" w:rsidRPr="000857B0" w:rsidRDefault="0026140C" w:rsidP="0026140C">
      <w:pPr>
        <w:rPr>
          <w:rFonts w:cs="Calibri"/>
        </w:rPr>
      </w:pPr>
    </w:p>
    <w:p w14:paraId="63C7D794" w14:textId="74827B5C" w:rsidR="00E4761F" w:rsidRPr="00E4761F" w:rsidRDefault="00E4761F" w:rsidP="004267E6">
      <w:pPr>
        <w:spacing w:after="0" w:line="240" w:lineRule="auto"/>
        <w:rPr>
          <w:b/>
        </w:rPr>
      </w:pPr>
      <w:r w:rsidRPr="00E4761F">
        <w:rPr>
          <w:b/>
        </w:rPr>
        <w:t>REPORTING RESULTS</w:t>
      </w:r>
    </w:p>
    <w:p w14:paraId="6F31B370" w14:textId="05F75733" w:rsidR="003068CB" w:rsidRDefault="003068CB" w:rsidP="003068CB">
      <w:pPr>
        <w:spacing w:after="0" w:line="240" w:lineRule="auto"/>
      </w:pPr>
      <w:r>
        <w:t>Refer to,</w:t>
      </w:r>
      <w:r w:rsidR="005E2306">
        <w:t xml:space="preserve"> CHEM.</w:t>
      </w:r>
      <w:r>
        <w:t xml:space="preserve"> DXI</w:t>
      </w:r>
      <w:r w:rsidR="005E2306">
        <w:t xml:space="preserve"> 1.1</w:t>
      </w:r>
      <w:r>
        <w:t xml:space="preserve"> </w:t>
      </w:r>
      <w:r w:rsidR="00DA7F69">
        <w:t xml:space="preserve">for </w:t>
      </w:r>
      <w:r>
        <w:t>Test Codes, AMR, CRR, Critical and Normal Ranges</w:t>
      </w:r>
      <w:r w:rsidR="005E2306">
        <w:t xml:space="preserve"> for specific details</w:t>
      </w:r>
    </w:p>
    <w:p w14:paraId="30828EA1" w14:textId="77777777" w:rsidR="00F37FFB" w:rsidRDefault="00F37FFB" w:rsidP="004267E6">
      <w:pPr>
        <w:spacing w:after="0" w:line="240" w:lineRule="auto"/>
      </w:pPr>
    </w:p>
    <w:p w14:paraId="33489AA1" w14:textId="77777777" w:rsidR="00414D90" w:rsidRDefault="00414D90" w:rsidP="004267E6">
      <w:pPr>
        <w:spacing w:after="0" w:line="240" w:lineRule="auto"/>
        <w:rPr>
          <w:rFonts w:cs="Calibri"/>
          <w:b/>
        </w:rPr>
      </w:pPr>
      <w:r>
        <w:rPr>
          <w:rFonts w:cs="Calibri"/>
          <w:b/>
        </w:rPr>
        <w:t>RESULT ENTRY</w:t>
      </w:r>
    </w:p>
    <w:p w14:paraId="0360D750" w14:textId="77777777" w:rsidR="00414D90" w:rsidRPr="00414D90" w:rsidRDefault="00414D90" w:rsidP="00414D90">
      <w:pPr>
        <w:spacing w:after="0" w:line="240" w:lineRule="auto"/>
      </w:pPr>
      <w:r w:rsidRPr="00414D90">
        <w:t>A.</w:t>
      </w:r>
      <w:r>
        <w:tab/>
      </w:r>
      <w:r w:rsidRPr="00414D90">
        <w:t xml:space="preserve"> </w:t>
      </w:r>
      <w:proofErr w:type="spellStart"/>
      <w:r w:rsidRPr="00414D90">
        <w:t>Sunquest</w:t>
      </w:r>
      <w:proofErr w:type="spellEnd"/>
    </w:p>
    <w:p w14:paraId="3530D877" w14:textId="77777777" w:rsidR="00414D90" w:rsidRPr="00414D90" w:rsidRDefault="00414D90" w:rsidP="00414D90">
      <w:pPr>
        <w:spacing w:after="0" w:line="240" w:lineRule="auto"/>
      </w:pPr>
      <w:r w:rsidRPr="00414D90">
        <w:tab/>
      </w:r>
      <w:r>
        <w:tab/>
      </w:r>
      <w:r w:rsidRPr="00414D90">
        <w:t>1. OEM or MEM</w:t>
      </w:r>
    </w:p>
    <w:p w14:paraId="2DED187F" w14:textId="0FBA35C3" w:rsidR="00414D90" w:rsidRPr="00414D90" w:rsidRDefault="00414D90" w:rsidP="00414D90">
      <w:pPr>
        <w:spacing w:after="0" w:line="240" w:lineRule="auto"/>
      </w:pPr>
      <w:r w:rsidRPr="00414D90">
        <w:tab/>
      </w:r>
      <w:r>
        <w:tab/>
      </w:r>
      <w:r w:rsidRPr="00414D90">
        <w:t xml:space="preserve">2. Worksheet: </w:t>
      </w:r>
      <w:r w:rsidR="009E5338">
        <w:t>DXI</w:t>
      </w:r>
    </w:p>
    <w:p w14:paraId="7BD1985D" w14:textId="0FAD6E3B" w:rsidR="00414D90" w:rsidRPr="009E5338" w:rsidRDefault="00414D90" w:rsidP="00414D90">
      <w:pPr>
        <w:spacing w:after="0" w:line="240" w:lineRule="auto"/>
      </w:pPr>
      <w:r w:rsidRPr="00414D90">
        <w:tab/>
      </w:r>
      <w:r>
        <w:tab/>
      </w:r>
      <w:r w:rsidRPr="009E5338">
        <w:t xml:space="preserve">3. Method: </w:t>
      </w:r>
      <w:r w:rsidR="009E5338" w:rsidRPr="009E5338">
        <w:t>DXI</w:t>
      </w:r>
    </w:p>
    <w:p w14:paraId="32CF1046" w14:textId="106FF5DA" w:rsidR="00414D90" w:rsidRPr="009E5338" w:rsidRDefault="00414D90" w:rsidP="00414D90">
      <w:pPr>
        <w:spacing w:after="0" w:line="240" w:lineRule="auto"/>
      </w:pPr>
      <w:r w:rsidRPr="009E5338">
        <w:tab/>
      </w:r>
      <w:r w:rsidRPr="009E5338">
        <w:tab/>
        <w:t>4. Test Code: S</w:t>
      </w:r>
      <w:r w:rsidR="009E5338">
        <w:t>HBG</w:t>
      </w:r>
    </w:p>
    <w:p w14:paraId="4CB01FA0" w14:textId="77777777" w:rsidR="00414D90" w:rsidRPr="009E5338" w:rsidRDefault="00414D90" w:rsidP="00414D90">
      <w:pPr>
        <w:spacing w:after="0" w:line="240" w:lineRule="auto"/>
      </w:pPr>
      <w:r w:rsidRPr="009E5338">
        <w:t>B.</w:t>
      </w:r>
      <w:r w:rsidRPr="009E5338">
        <w:tab/>
        <w:t xml:space="preserve"> </w:t>
      </w:r>
      <w:proofErr w:type="spellStart"/>
      <w:r w:rsidRPr="009E5338">
        <w:t>Toplab</w:t>
      </w:r>
      <w:proofErr w:type="spellEnd"/>
    </w:p>
    <w:p w14:paraId="1BBA20EF" w14:textId="77777777" w:rsidR="00414D90" w:rsidRPr="009E5338" w:rsidRDefault="00414D90" w:rsidP="00414D90">
      <w:pPr>
        <w:spacing w:after="0" w:line="240" w:lineRule="auto"/>
      </w:pPr>
      <w:r w:rsidRPr="009E5338">
        <w:tab/>
      </w:r>
      <w:r w:rsidRPr="009E5338">
        <w:tab/>
        <w:t xml:space="preserve">1. Enter results in </w:t>
      </w:r>
      <w:proofErr w:type="spellStart"/>
      <w:r w:rsidRPr="009E5338">
        <w:t>Toplab</w:t>
      </w:r>
      <w:proofErr w:type="spellEnd"/>
      <w:r w:rsidRPr="009E5338">
        <w:t xml:space="preserve"> using </w:t>
      </w:r>
      <w:proofErr w:type="spellStart"/>
      <w:r w:rsidRPr="009E5338">
        <w:t>Toplab</w:t>
      </w:r>
      <w:proofErr w:type="spellEnd"/>
      <w:r w:rsidRPr="009E5338">
        <w:t xml:space="preserve"> Common Pathway: 3</w:t>
      </w:r>
      <w:proofErr w:type="gramStart"/>
      <w:r w:rsidRPr="009E5338">
        <w:t>,3,1</w:t>
      </w:r>
      <w:proofErr w:type="gramEnd"/>
    </w:p>
    <w:p w14:paraId="4E8E2234" w14:textId="14EA724B" w:rsidR="00414D90" w:rsidRPr="009E5338" w:rsidRDefault="00414D90" w:rsidP="00414D90">
      <w:pPr>
        <w:spacing w:after="0" w:line="240" w:lineRule="auto"/>
      </w:pPr>
      <w:r w:rsidRPr="009E5338">
        <w:tab/>
      </w:r>
      <w:r w:rsidRPr="009E5338">
        <w:tab/>
        <w:t xml:space="preserve">2. </w:t>
      </w:r>
      <w:proofErr w:type="spellStart"/>
      <w:r w:rsidRPr="009E5338">
        <w:t>Toplab</w:t>
      </w:r>
      <w:proofErr w:type="spellEnd"/>
      <w:r w:rsidRPr="009E5338">
        <w:t xml:space="preserve"> </w:t>
      </w:r>
      <w:proofErr w:type="spellStart"/>
      <w:r w:rsidRPr="009E5338">
        <w:t>Worklist</w:t>
      </w:r>
      <w:proofErr w:type="spellEnd"/>
      <w:r w:rsidRPr="009E5338">
        <w:t xml:space="preserve">: </w:t>
      </w:r>
      <w:r w:rsidR="009E5338">
        <w:t>DXI1</w:t>
      </w:r>
    </w:p>
    <w:p w14:paraId="3DC2F344" w14:textId="58DB11AD" w:rsidR="00414D90" w:rsidRPr="00414D90" w:rsidRDefault="00414D90" w:rsidP="00414D90">
      <w:pPr>
        <w:spacing w:after="0" w:line="240" w:lineRule="auto"/>
      </w:pPr>
      <w:r w:rsidRPr="009E5338">
        <w:tab/>
      </w:r>
      <w:r w:rsidRPr="009E5338">
        <w:tab/>
        <w:t xml:space="preserve">3. Test Code: </w:t>
      </w:r>
      <w:r w:rsidR="00795E4C">
        <w:t>30740</w:t>
      </w:r>
    </w:p>
    <w:p w14:paraId="7AFB5164" w14:textId="75B90E85" w:rsidR="00414D90" w:rsidRPr="00414D90" w:rsidRDefault="00414D90" w:rsidP="00414D90">
      <w:pPr>
        <w:spacing w:after="0" w:line="240" w:lineRule="auto"/>
      </w:pPr>
      <w:r w:rsidRPr="00414D90">
        <w:t>C. If HIS or LIS systems are not functional, see the Computer Downtime</w:t>
      </w:r>
      <w:r w:rsidR="009E3B1A">
        <w:t xml:space="preserve"> CHEM.LIS.5.0</w:t>
      </w:r>
      <w:r w:rsidRPr="00414D90">
        <w:t xml:space="preserve"> procedure.</w:t>
      </w:r>
    </w:p>
    <w:p w14:paraId="166E536E" w14:textId="77777777" w:rsidR="00414D90" w:rsidRPr="00414D90" w:rsidRDefault="00414D90" w:rsidP="00414D90">
      <w:pPr>
        <w:spacing w:after="0" w:line="240" w:lineRule="auto"/>
        <w:rPr>
          <w:b/>
        </w:rPr>
      </w:pPr>
    </w:p>
    <w:p w14:paraId="47C2CAE9" w14:textId="7DA525FC" w:rsidR="009D4DFE" w:rsidRDefault="00E4761F" w:rsidP="0026140C">
      <w:pPr>
        <w:rPr>
          <w:rFonts w:cs="Calibri"/>
          <w:b/>
        </w:rPr>
      </w:pPr>
      <w:r w:rsidRPr="00E4761F">
        <w:rPr>
          <w:b/>
        </w:rPr>
        <w:t xml:space="preserve">PROCEDURE NOTES                                                                                                                                                   </w:t>
      </w:r>
      <w:r w:rsidR="003068CB">
        <w:rPr>
          <w:rFonts w:cs="Calibri"/>
        </w:rPr>
        <w:t>Use 250 µL of sample for each determination run with the DXI system.</w:t>
      </w:r>
      <w:r w:rsidR="003068CB">
        <w:rPr>
          <w:rFonts w:cs="Calibri"/>
          <w:b/>
        </w:rPr>
        <w:tab/>
      </w:r>
      <w:r w:rsidR="00FB65DA">
        <w:rPr>
          <w:rFonts w:cs="Calibri"/>
          <w:b/>
        </w:rPr>
        <w:t xml:space="preserve">                                                    </w:t>
      </w:r>
      <w:r w:rsidR="00F37FFB">
        <w:t xml:space="preserve"> </w:t>
      </w:r>
      <w:r w:rsidR="009D4DFE" w:rsidRPr="00F70AED">
        <w:t>The Access SHBG assay has been evaluated at an ambient temperature range of 18-32°C.  For optimal results, assay calibration and patient sample testing should be conducted under similar conditions. If ambient laboratory temperature varies by more than ±5°C from the temperature of calibration, review quality control results and recalibrate as necessary</w:t>
      </w:r>
    </w:p>
    <w:p w14:paraId="0057E68F" w14:textId="41E651F5" w:rsidR="00E4761F" w:rsidRPr="00E4761F" w:rsidRDefault="00E4761F" w:rsidP="00DA4ACF">
      <w:pPr>
        <w:spacing w:after="0" w:line="240" w:lineRule="auto"/>
        <w:rPr>
          <w:b/>
        </w:rPr>
      </w:pPr>
      <w:r w:rsidRPr="00E4761F">
        <w:rPr>
          <w:b/>
        </w:rPr>
        <w:t>LIMITATIONS</w:t>
      </w:r>
    </w:p>
    <w:p w14:paraId="58920BC7" w14:textId="012F5C60" w:rsidR="00DA4ACF" w:rsidRPr="00DA4ACF" w:rsidRDefault="00503408" w:rsidP="00DA4ACF">
      <w:pPr>
        <w:spacing w:after="0" w:line="240" w:lineRule="auto"/>
      </w:pPr>
      <w:r>
        <w:t>A</w:t>
      </w:r>
      <w:r w:rsidR="00DA4ACF" w:rsidRPr="00DA4ACF">
        <w:t xml:space="preserve">. For assays employing antibodies, the possibility exists for interference by </w:t>
      </w:r>
      <w:proofErr w:type="spellStart"/>
      <w:r w:rsidR="00DA4ACF" w:rsidRPr="00DA4ACF">
        <w:t>heterophile</w:t>
      </w:r>
      <w:proofErr w:type="spellEnd"/>
      <w:r w:rsidR="00DA4ACF" w:rsidRPr="00DA4ACF">
        <w:t xml:space="preserve"> antibodies in the patient sample. Patients who have</w:t>
      </w:r>
      <w:r>
        <w:t xml:space="preserve"> been regularly exposed to animals or have</w:t>
      </w:r>
      <w:r w:rsidR="00DA4ACF" w:rsidRPr="00DA4ACF">
        <w:t xml:space="preserve"> received immunotherapy or diagnostic procedures utilizing </w:t>
      </w:r>
      <w:proofErr w:type="spellStart"/>
      <w:r w:rsidR="00DA4ACF" w:rsidRPr="00DA4ACF">
        <w:t>immunoglobulins</w:t>
      </w:r>
      <w:proofErr w:type="spellEnd"/>
      <w:r w:rsidR="00DA4ACF" w:rsidRPr="00DA4ACF">
        <w:t xml:space="preserve"> </w:t>
      </w:r>
      <w:r w:rsidRPr="00DA4ACF">
        <w:t>or immunoglobulin</w:t>
      </w:r>
      <w:r w:rsidR="00DA4ACF" w:rsidRPr="00DA4ACF">
        <w:t xml:space="preserve"> fragments may produce antibodies, e.g. HAMA, that interfere</w:t>
      </w:r>
      <w:r w:rsidR="009E5338">
        <w:t>s</w:t>
      </w:r>
      <w:r w:rsidR="00DA4ACF" w:rsidRPr="00DA4ACF">
        <w:t xml:space="preserve"> with immunoassays. Additionally, other </w:t>
      </w:r>
      <w:proofErr w:type="spellStart"/>
      <w:r w:rsidR="00DA4ACF" w:rsidRPr="00DA4ACF">
        <w:t>heterophi</w:t>
      </w:r>
      <w:r>
        <w:t>le</w:t>
      </w:r>
      <w:proofErr w:type="spellEnd"/>
      <w:r>
        <w:t xml:space="preserve"> antibodies such as human anti</w:t>
      </w:r>
      <w:r w:rsidR="00DA4ACF" w:rsidRPr="00DA4ACF">
        <w:t>-goat antibodies may be present in patient samples.  Such interfering antibodies may cause erroneous results.  Carefully evaluate the results of patients suspected of having these antibodies.</w:t>
      </w:r>
    </w:p>
    <w:p w14:paraId="75DAC5F4" w14:textId="77777777" w:rsidR="00DA4ACF" w:rsidRPr="00DA4ACF" w:rsidRDefault="00DA4ACF" w:rsidP="00DA4ACF">
      <w:pPr>
        <w:spacing w:after="0" w:line="240" w:lineRule="auto"/>
      </w:pPr>
      <w:r w:rsidRPr="00DA4ACF">
        <w:t xml:space="preserve">C. For patients presenting with cirrhosis or sub-clinical thyroid conditions, carefully evaluate results as these conditions can potentially cause erroneous results. </w:t>
      </w:r>
    </w:p>
    <w:p w14:paraId="64E91AB9" w14:textId="77777777" w:rsidR="00414D90" w:rsidRDefault="00414D90" w:rsidP="0026140C">
      <w:pPr>
        <w:rPr>
          <w:rFonts w:cs="Calibri"/>
          <w:b/>
        </w:rPr>
      </w:pPr>
    </w:p>
    <w:p w14:paraId="3BE2F740" w14:textId="3645479B" w:rsidR="00E4761F" w:rsidRPr="00E4761F" w:rsidRDefault="00E4761F" w:rsidP="00DA4ACF">
      <w:pPr>
        <w:spacing w:after="0" w:line="240" w:lineRule="auto"/>
        <w:rPr>
          <w:b/>
        </w:rPr>
      </w:pPr>
      <w:r w:rsidRPr="00E4761F">
        <w:rPr>
          <w:b/>
        </w:rPr>
        <w:t>REFERENCES</w:t>
      </w:r>
    </w:p>
    <w:p w14:paraId="3AE34BDB" w14:textId="77777777" w:rsidR="00DA4ACF" w:rsidRPr="00DA4ACF" w:rsidRDefault="00DA4ACF" w:rsidP="00DA4ACF">
      <w:pPr>
        <w:spacing w:after="0" w:line="240" w:lineRule="auto"/>
      </w:pPr>
      <w:r w:rsidRPr="00DA4ACF">
        <w:t xml:space="preserve">A. Beckman Coulter Access Immunoassay Systems SHBG reagent </w:t>
      </w:r>
      <w:proofErr w:type="gramStart"/>
      <w:r w:rsidRPr="00DA4ACF">
        <w:t>insert</w:t>
      </w:r>
      <w:proofErr w:type="gramEnd"/>
      <w:r w:rsidRPr="00DA4ACF">
        <w:t xml:space="preserve"> (A48617C)</w:t>
      </w:r>
    </w:p>
    <w:p w14:paraId="3CE1E18E" w14:textId="77777777" w:rsidR="00DA4ACF" w:rsidRPr="00DA4ACF" w:rsidRDefault="00DA4ACF" w:rsidP="00DA4ACF">
      <w:pPr>
        <w:spacing w:after="0" w:line="240" w:lineRule="auto"/>
      </w:pPr>
      <w:r w:rsidRPr="00DA4ACF">
        <w:t xml:space="preserve">B. Beckman Coulter Access Immunoassay Systems SHBG Calibrator </w:t>
      </w:r>
      <w:proofErr w:type="gramStart"/>
      <w:r w:rsidRPr="00DA4ACF">
        <w:t>insert</w:t>
      </w:r>
      <w:proofErr w:type="gramEnd"/>
      <w:r w:rsidRPr="00DA4ACF">
        <w:t xml:space="preserve"> (A87716C)</w:t>
      </w:r>
    </w:p>
    <w:p w14:paraId="78E815DC" w14:textId="5278A79A" w:rsidR="00DA4ACF" w:rsidRPr="000234BB" w:rsidRDefault="00DA4ACF" w:rsidP="006913CB">
      <w:pPr>
        <w:spacing w:after="0" w:line="240" w:lineRule="auto"/>
        <w:rPr>
          <w:rFonts w:cs="Calibri"/>
          <w:b/>
        </w:rPr>
      </w:pPr>
      <w:r w:rsidRPr="00DA4ACF">
        <w:tab/>
      </w:r>
    </w:p>
    <w:p w14:paraId="7A9B87AA" w14:textId="77777777" w:rsidR="00224E3F" w:rsidRDefault="00224E3F"/>
    <w:sectPr w:rsidR="00224E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D111D" w14:textId="77777777" w:rsidR="00776E9A" w:rsidRDefault="00776E9A" w:rsidP="00E14E6E">
      <w:pPr>
        <w:spacing w:after="0" w:line="240" w:lineRule="auto"/>
      </w:pPr>
      <w:r>
        <w:separator/>
      </w:r>
    </w:p>
  </w:endnote>
  <w:endnote w:type="continuationSeparator" w:id="0">
    <w:p w14:paraId="10DE5D51" w14:textId="77777777" w:rsidR="00776E9A" w:rsidRDefault="00776E9A"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A71BA" w14:textId="5F6358C8" w:rsidR="00776E9A" w:rsidRDefault="00776E9A"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1-23T00:00:00Z">
          <w:dateFormat w:val="M/d/yyyy"/>
          <w:lid w:val="en-US"/>
          <w:storeMappedDataAs w:val="dateTime"/>
          <w:calendar w:val="gregorian"/>
        </w:date>
      </w:sdtPr>
      <w:sdtEndPr/>
      <w:sdtContent>
        <w:r>
          <w:rPr>
            <w:rFonts w:asciiTheme="minorHAnsi" w:hAnsiTheme="minorHAnsi" w:cstheme="minorHAnsi"/>
            <w:color w:val="808080" w:themeColor="background1" w:themeShade="80"/>
            <w:sz w:val="20"/>
            <w:szCs w:val="20"/>
          </w:rPr>
          <w:t>11/23/2015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015777">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015777">
      <w:rPr>
        <w:rFonts w:asciiTheme="minorHAnsi" w:hAnsiTheme="minorHAnsi" w:cstheme="minorHAnsi"/>
        <w:b/>
        <w:noProof/>
        <w:color w:val="808080" w:themeColor="background1" w:themeShade="80"/>
        <w:sz w:val="20"/>
        <w:szCs w:val="20"/>
      </w:rPr>
      <w:t>3</w:t>
    </w:r>
    <w:r w:rsidRPr="000234BB">
      <w:rPr>
        <w:rFonts w:asciiTheme="minorHAnsi" w:hAnsiTheme="minorHAnsi" w:cstheme="minorHAnsi"/>
        <w:b/>
        <w:color w:val="808080" w:themeColor="background1" w:themeShade="80"/>
        <w:sz w:val="20"/>
        <w:szCs w:val="20"/>
      </w:rPr>
      <w:fldChar w:fldCharType="end"/>
    </w:r>
  </w:p>
  <w:p w14:paraId="7699ABF5" w14:textId="32FF1133" w:rsidR="00776E9A" w:rsidRPr="002573D1" w:rsidRDefault="00776E9A">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Pr>
            <w:rFonts w:asciiTheme="minorHAnsi" w:hAnsiTheme="minorHAnsi" w:cstheme="minorHAnsi"/>
            <w:color w:val="808080" w:themeColor="background1" w:themeShade="80"/>
            <w:sz w:val="20"/>
            <w:szCs w:val="20"/>
          </w:rPr>
          <w:t>Document Version: 0.1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07095" w14:textId="77777777" w:rsidR="00776E9A" w:rsidRDefault="00776E9A" w:rsidP="00E14E6E">
      <w:pPr>
        <w:spacing w:after="0" w:line="240" w:lineRule="auto"/>
      </w:pPr>
      <w:r>
        <w:separator/>
      </w:r>
    </w:p>
  </w:footnote>
  <w:footnote w:type="continuationSeparator" w:id="0">
    <w:p w14:paraId="5C52EDA2" w14:textId="77777777" w:rsidR="00776E9A" w:rsidRDefault="00776E9A"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6B996" w14:textId="1431FEEE" w:rsidR="00776E9A" w:rsidRDefault="00776E9A">
    <w:pPr>
      <w:pStyle w:val="Header"/>
    </w:pPr>
    <w:r>
      <w:rPr>
        <w:noProof/>
      </w:rPr>
      <w:drawing>
        <wp:inline distT="0" distB="0" distL="0" distR="0" wp14:anchorId="32836BF3" wp14:editId="76D1086D">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 xml:space="preserve">DXI Sex Hormone Binding Globulin (SHBG)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7469"/>
    <w:multiLevelType w:val="hybridMultilevel"/>
    <w:tmpl w:val="B810C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15777"/>
    <w:rsid w:val="000C6C1C"/>
    <w:rsid w:val="00120252"/>
    <w:rsid w:val="001237A1"/>
    <w:rsid w:val="001417CC"/>
    <w:rsid w:val="00143245"/>
    <w:rsid w:val="001F6A79"/>
    <w:rsid w:val="00224E3F"/>
    <w:rsid w:val="00235CE4"/>
    <w:rsid w:val="002573D1"/>
    <w:rsid w:val="0026140C"/>
    <w:rsid w:val="002F6123"/>
    <w:rsid w:val="00303148"/>
    <w:rsid w:val="0030472C"/>
    <w:rsid w:val="003068CB"/>
    <w:rsid w:val="003144D7"/>
    <w:rsid w:val="00330117"/>
    <w:rsid w:val="00414D90"/>
    <w:rsid w:val="004257CD"/>
    <w:rsid w:val="004267E6"/>
    <w:rsid w:val="00474BDA"/>
    <w:rsid w:val="00480544"/>
    <w:rsid w:val="004C1523"/>
    <w:rsid w:val="004C7B0A"/>
    <w:rsid w:val="00503408"/>
    <w:rsid w:val="00513BF5"/>
    <w:rsid w:val="005B52E4"/>
    <w:rsid w:val="005E2306"/>
    <w:rsid w:val="005E3B90"/>
    <w:rsid w:val="00610A90"/>
    <w:rsid w:val="00684EDA"/>
    <w:rsid w:val="006913CB"/>
    <w:rsid w:val="00776E9A"/>
    <w:rsid w:val="00795E4C"/>
    <w:rsid w:val="007F1B5F"/>
    <w:rsid w:val="008716C0"/>
    <w:rsid w:val="00875803"/>
    <w:rsid w:val="008A0912"/>
    <w:rsid w:val="0090042E"/>
    <w:rsid w:val="0093312D"/>
    <w:rsid w:val="009D4DFE"/>
    <w:rsid w:val="009E3B1A"/>
    <w:rsid w:val="009E5338"/>
    <w:rsid w:val="00A723A0"/>
    <w:rsid w:val="00A77766"/>
    <w:rsid w:val="00B14B5D"/>
    <w:rsid w:val="00D866A1"/>
    <w:rsid w:val="00DA4ACF"/>
    <w:rsid w:val="00DA7F69"/>
    <w:rsid w:val="00E14E6E"/>
    <w:rsid w:val="00E30F5F"/>
    <w:rsid w:val="00E4761F"/>
    <w:rsid w:val="00E96778"/>
    <w:rsid w:val="00F134A5"/>
    <w:rsid w:val="00F37FFB"/>
    <w:rsid w:val="00F70AED"/>
    <w:rsid w:val="00F94C1B"/>
    <w:rsid w:val="00FB65DA"/>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532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B14B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B1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14:paraId="7605E983" w14:textId="77777777"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14:paraId="7605E984" w14:textId="77777777"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14:paraId="7605E985" w14:textId="77777777"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3D35C6"/>
    <w:rsid w:val="00497663"/>
    <w:rsid w:val="004E1EE2"/>
    <w:rsid w:val="00777794"/>
    <w:rsid w:val="00791C15"/>
    <w:rsid w:val="00A92711"/>
    <w:rsid w:val="00D63726"/>
    <w:rsid w:val="00FA4449"/>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05E98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2015-11-23T05:00:00+00:00</Effective_x0020_Date>
    <Locations xmlns="7bb6ae39-40b3-4b4f-9ace-18387bc29df9">
      <Value>1</Value>
    </Locations>
    <Disposal_x0020_Approved_x0020_Date xmlns="7bb6ae39-40b3-4b4f-9ace-18387bc29df9" xsi:nil="true"/>
    <Owner xmlns="7bb6ae39-40b3-4b4f-9ace-18387bc29df9">
      <UserInfo>
        <DisplayName>Brtva, Rebecca A</DisplayName>
        <AccountId>1497</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CHEM.DXI.ASSAY.8.0  </Procedure_x0020_Number>
    <Implementation_x0020_Date xmlns="7bb6ae39-40b3-4b4f-9ace-18387bc29df9" xsi:nil="true"/>
    <retired xmlns="7bb6ae39-40b3-4b4f-9ace-18387bc29df9">false</retired>
    <Departments xmlns="7bb6ae39-40b3-4b4f-9ace-18387bc29df9">
      <Value>2</Value>
    </Departments>
    <DLCPolicyLabelLock xmlns="862cb136-aef3-45d6-820f-9c9bc07b493d" xsi:nil="true"/>
    <Next_x0020_Review_x0020_Date xmlns="7bb6ae39-40b3-4b4f-9ace-18387bc29df9">2017-12-15T05:00:00+00:00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Cheslock, Kristin M</DisplayName>
        <AccountId>747</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2012-02-20T15:45:08+00:00</Retired_x0020_Date>
    <DisableReview xmlns="862cb136-aef3-45d6-820f-9c9bc07b493d">0</DisableReview>
    <DLCPolicyLabelValue xmlns="862cb136-aef3-45d6-820f-9c9bc07b493d">Document Version: 1.0</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file>

<file path=customXml/itemProps2.xml><?xml version="1.0" encoding="utf-8"?>
<ds:datastoreItem xmlns:ds="http://schemas.openxmlformats.org/officeDocument/2006/customXml" ds:itemID="{22AA2347-E1E1-4B5A-97FD-322E01419FEF}"/>
</file>

<file path=customXml/itemProps3.xml><?xml version="1.0" encoding="utf-8"?>
<ds:datastoreItem xmlns:ds="http://schemas.openxmlformats.org/officeDocument/2006/customXml" ds:itemID="{1B8DD281-542C-4D20-B238-0D3B1C8DA2A4}"/>
</file>

<file path=customXml/itemProps4.xml><?xml version="1.0" encoding="utf-8"?>
<ds:datastoreItem xmlns:ds="http://schemas.openxmlformats.org/officeDocument/2006/customXml" ds:itemID="{E72F03F7-B195-4B86-B527-DBC219F4D6A6}"/>
</file>

<file path=customXml/itemProps5.xml><?xml version="1.0" encoding="utf-8"?>
<ds:datastoreItem xmlns:ds="http://schemas.openxmlformats.org/officeDocument/2006/customXml" ds:itemID="{11E7AC25-FB2F-4040-B632-73C7EBE46CA5}"/>
</file>

<file path=customXml/itemProps6.xml><?xml version="1.0" encoding="utf-8"?>
<ds:datastoreItem xmlns:ds="http://schemas.openxmlformats.org/officeDocument/2006/customXml" ds:itemID="{15CB9E57-53D1-4AD0-8EE4-6D3D959AF99F}"/>
</file>

<file path=docProps/app.xml><?xml version="1.0" encoding="utf-8"?>
<Properties xmlns="http://schemas.openxmlformats.org/officeDocument/2006/extended-properties" xmlns:vt="http://schemas.openxmlformats.org/officeDocument/2006/docPropsVTypes">
  <Template>Normal</Template>
  <TotalTime>332</TotalTime>
  <Pages>3</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DXI Sex Hormone Binding Globulin (SHBG) </vt:lpstr>
    </vt:vector>
  </TitlesOfParts>
  <Company>MACL</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DXI Sex Hormone Binding Globulin (SHBG) </dc:title>
  <dc:creator>Schmitt, Farzaneh</dc:creator>
  <cp:lastModifiedBy>Schmitt, Farzaneh</cp:lastModifiedBy>
  <cp:revision>24</cp:revision>
  <dcterms:created xsi:type="dcterms:W3CDTF">2015-10-16T14:31:00Z</dcterms:created>
  <dcterms:modified xsi:type="dcterms:W3CDTF">2015-12-17T18:37:00Z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b2f7c7d7-4222-4ccf-8727-076691e8bdfa,26;</vt:lpwstr>
  </property>
</Properties>
</file>