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89" w:rsidRDefault="007C4A89" w:rsidP="007C4A89">
      <w:pPr>
        <w:rPr>
          <w:b/>
          <w:bCs/>
        </w:rPr>
      </w:pPr>
      <w:r>
        <w:rPr>
          <w:b/>
          <w:bCs/>
        </w:rPr>
        <w:t>Sample:</w:t>
      </w:r>
    </w:p>
    <w:p w:rsidR="007C4A89" w:rsidRPr="007C4A89" w:rsidRDefault="007C4A89" w:rsidP="007C4A89">
      <w:pPr>
        <w:pStyle w:val="ListParagraph"/>
        <w:numPr>
          <w:ilvl w:val="0"/>
          <w:numId w:val="1"/>
        </w:numPr>
        <w:rPr>
          <w:b/>
          <w:bCs/>
        </w:rPr>
      </w:pPr>
      <w:r>
        <w:rPr>
          <w:bCs/>
        </w:rPr>
        <w:t>Appropriate hand hygiene must be followed.  See test specific procedure for details.</w:t>
      </w:r>
    </w:p>
    <w:p w:rsidR="007C4A89" w:rsidRDefault="007C4A89" w:rsidP="007C4A89">
      <w:pPr>
        <w:numPr>
          <w:ilvl w:val="0"/>
          <w:numId w:val="1"/>
        </w:numPr>
      </w:pPr>
      <w:r>
        <w:t>Should be free of bubbles</w:t>
      </w:r>
    </w:p>
    <w:p w:rsidR="007C4A89" w:rsidRDefault="007C4A89" w:rsidP="007C4A89">
      <w:pPr>
        <w:numPr>
          <w:ilvl w:val="0"/>
          <w:numId w:val="1"/>
        </w:numPr>
      </w:pPr>
      <w:r>
        <w:t>Wipe the outside of capillary tube with lint-free tissue.  Do not touch the tissue to the end of the capillary or sample can wick onto the tissue.</w:t>
      </w:r>
    </w:p>
    <w:p w:rsidR="007C4A89" w:rsidRDefault="007C4A89" w:rsidP="007C4A89">
      <w:pPr>
        <w:tabs>
          <w:tab w:val="left" w:pos="7845"/>
        </w:tabs>
      </w:pPr>
      <w:r>
        <w:tab/>
      </w:r>
    </w:p>
    <w:p w:rsidR="007C4A89" w:rsidRDefault="007C4A89" w:rsidP="007C4A89">
      <w:pPr>
        <w:rPr>
          <w:b/>
          <w:bCs/>
        </w:rPr>
      </w:pPr>
      <w:r>
        <w:rPr>
          <w:b/>
          <w:bCs/>
        </w:rPr>
        <w:t>Calibration Card:</w:t>
      </w:r>
    </w:p>
    <w:p w:rsidR="007C4A89" w:rsidRDefault="007C4A89" w:rsidP="007C4A89">
      <w:pPr>
        <w:numPr>
          <w:ilvl w:val="0"/>
          <w:numId w:val="2"/>
        </w:numPr>
      </w:pPr>
      <w:r>
        <w:t>A calibration card is provided with each lot number of test cartridges.</w:t>
      </w:r>
    </w:p>
    <w:p w:rsidR="007C4A89" w:rsidRDefault="007C4A89" w:rsidP="007C4A89">
      <w:pPr>
        <w:numPr>
          <w:ilvl w:val="0"/>
          <w:numId w:val="2"/>
        </w:numPr>
      </w:pPr>
      <w:r>
        <w:t xml:space="preserve">The instrument stores 2 calibrations at a time.  </w:t>
      </w:r>
    </w:p>
    <w:p w:rsidR="007C4A89" w:rsidRDefault="007C4A89" w:rsidP="007C4A89"/>
    <w:p w:rsidR="007C4A89" w:rsidRDefault="007C4A89" w:rsidP="007C4A89">
      <w:pPr>
        <w:rPr>
          <w:b/>
          <w:bCs/>
        </w:rPr>
      </w:pPr>
      <w:r>
        <w:rPr>
          <w:b/>
          <w:bCs/>
        </w:rPr>
        <w:t>Cartridges:</w:t>
      </w:r>
    </w:p>
    <w:p w:rsidR="007C4A89" w:rsidRDefault="007C4A89" w:rsidP="007C4A89">
      <w:pPr>
        <w:numPr>
          <w:ilvl w:val="0"/>
          <w:numId w:val="3"/>
        </w:numPr>
      </w:pPr>
      <w:r>
        <w:t xml:space="preserve">Test cartridges stored in the refrigerator expire on the manufacturer’s outdate </w:t>
      </w:r>
    </w:p>
    <w:p w:rsidR="007C4A89" w:rsidRDefault="007C4A89" w:rsidP="007C4A89">
      <w:pPr>
        <w:ind w:left="720"/>
      </w:pPr>
      <w:r>
        <w:t xml:space="preserve">      </w:t>
      </w:r>
      <w:proofErr w:type="gramStart"/>
      <w:r>
        <w:t>pre-printed</w:t>
      </w:r>
      <w:proofErr w:type="gramEnd"/>
      <w:r>
        <w:t xml:space="preserve"> on the side of the package.</w:t>
      </w:r>
    </w:p>
    <w:p w:rsidR="007C4A89" w:rsidRDefault="007C4A89" w:rsidP="007C4A89">
      <w:pPr>
        <w:numPr>
          <w:ilvl w:val="0"/>
          <w:numId w:val="3"/>
        </w:numPr>
      </w:pPr>
      <w:r>
        <w:t>Test cartridges stored at room temp expire after 3 months.  The box of test</w:t>
      </w:r>
    </w:p>
    <w:p w:rsidR="007C4A89" w:rsidRDefault="007C4A89" w:rsidP="007C4A89">
      <w:pPr>
        <w:ind w:left="720"/>
      </w:pPr>
      <w:r>
        <w:t xml:space="preserve">      </w:t>
      </w:r>
      <w:proofErr w:type="gramStart"/>
      <w:r>
        <w:t>cartridges</w:t>
      </w:r>
      <w:proofErr w:type="gramEnd"/>
      <w:r>
        <w:t xml:space="preserve"> must be labeled with the new outdate.</w:t>
      </w:r>
    </w:p>
    <w:p w:rsidR="007C4A89" w:rsidRDefault="007C4A89" w:rsidP="007C4A89"/>
    <w:p w:rsidR="007C4A89" w:rsidRDefault="007C4A89" w:rsidP="007C4A89">
      <w:pPr>
        <w:rPr>
          <w:b/>
          <w:bCs/>
        </w:rPr>
      </w:pPr>
      <w:r>
        <w:rPr>
          <w:b/>
          <w:bCs/>
        </w:rPr>
        <w:t>Linearity:</w:t>
      </w:r>
    </w:p>
    <w:p w:rsidR="007C4A89" w:rsidRDefault="007C4A89" w:rsidP="007C4A89">
      <w:pPr>
        <w:numPr>
          <w:ilvl w:val="0"/>
          <w:numId w:val="4"/>
        </w:numPr>
      </w:pPr>
      <w:r>
        <w:t>The instrument is linear from 2.5% to 14%.</w:t>
      </w:r>
    </w:p>
    <w:p w:rsidR="007C4A89" w:rsidRDefault="007C4A89" w:rsidP="007C4A89">
      <w:pPr>
        <w:numPr>
          <w:ilvl w:val="0"/>
          <w:numId w:val="4"/>
        </w:numPr>
      </w:pPr>
      <w:r>
        <w:t>Results &gt;14% can be sent to the BDH</w:t>
      </w:r>
      <w:r>
        <w:t>S</w:t>
      </w:r>
      <w:r>
        <w:t xml:space="preserve"> lab for verification.</w:t>
      </w:r>
    </w:p>
    <w:p w:rsidR="007C4A89" w:rsidRDefault="007C4A89" w:rsidP="007C4A89">
      <w:pPr>
        <w:numPr>
          <w:ilvl w:val="0"/>
          <w:numId w:val="4"/>
        </w:numPr>
      </w:pPr>
      <w:r>
        <w:t>Results &lt;2.5% are very rare.  The patient may have an RBC abnormality such as hemolytic anemia, polycythemia or significant amounts of fetal hemoglobin.</w:t>
      </w:r>
    </w:p>
    <w:p w:rsidR="007C4A89" w:rsidRDefault="007C4A89" w:rsidP="007C4A89"/>
    <w:p w:rsidR="007C4A89" w:rsidRDefault="007C4A89" w:rsidP="007C4A89">
      <w:pPr>
        <w:rPr>
          <w:b/>
          <w:bCs/>
        </w:rPr>
      </w:pPr>
      <w:r>
        <w:rPr>
          <w:b/>
          <w:bCs/>
        </w:rPr>
        <w:t>Test Results:</w:t>
      </w:r>
    </w:p>
    <w:p w:rsidR="007C4A89" w:rsidRDefault="007C4A89" w:rsidP="007C4A89">
      <w:pPr>
        <w:numPr>
          <w:ilvl w:val="0"/>
          <w:numId w:val="5"/>
        </w:numPr>
      </w:pPr>
      <w:r>
        <w:t xml:space="preserve">Results will remain displayed on the screen for 15 minutes once the test is </w:t>
      </w:r>
    </w:p>
    <w:p w:rsidR="007C4A89" w:rsidRDefault="007C4A89" w:rsidP="007C4A89">
      <w:pPr>
        <w:ind w:left="720"/>
      </w:pPr>
      <w:r>
        <w:t xml:space="preserve">      </w:t>
      </w:r>
      <w:proofErr w:type="gramStart"/>
      <w:r>
        <w:t>completed</w:t>
      </w:r>
      <w:proofErr w:type="gramEnd"/>
      <w:r>
        <w:t xml:space="preserve">.  If the door is opened during the 15 minutes after test completion, </w:t>
      </w:r>
    </w:p>
    <w:p w:rsidR="007C4A89" w:rsidRDefault="007C4A89" w:rsidP="007C4A89">
      <w:pPr>
        <w:ind w:left="720"/>
      </w:pPr>
      <w:r>
        <w:t xml:space="preserve">      </w:t>
      </w:r>
      <w:proofErr w:type="gramStart"/>
      <w:r>
        <w:t>test</w:t>
      </w:r>
      <w:proofErr w:type="gramEnd"/>
      <w:r>
        <w:t xml:space="preserve"> results will remain displayed for 30 seconds.</w:t>
      </w:r>
    </w:p>
    <w:p w:rsidR="007C4A89" w:rsidRDefault="007C4A89" w:rsidP="007C4A89">
      <w:pPr>
        <w:numPr>
          <w:ilvl w:val="0"/>
          <w:numId w:val="5"/>
        </w:numPr>
      </w:pPr>
      <w:r>
        <w:t xml:space="preserve">The instrument stores the last 10 results.  These may be accessed by using the   </w:t>
      </w:r>
    </w:p>
    <w:p w:rsidR="007C4A89" w:rsidRDefault="007C4A89" w:rsidP="007C4A89">
      <w:pPr>
        <w:ind w:left="720"/>
      </w:pPr>
      <w:r>
        <w:t xml:space="preserve">      </w:t>
      </w:r>
      <w:proofErr w:type="gramStart"/>
      <w:r>
        <w:t>Menu button.</w:t>
      </w:r>
      <w:proofErr w:type="gramEnd"/>
      <w:r>
        <w:t xml:space="preserve">  </w:t>
      </w:r>
    </w:p>
    <w:p w:rsidR="007C4A89" w:rsidRDefault="007C4A89" w:rsidP="007C4A89">
      <w:pPr>
        <w:ind w:left="720"/>
      </w:pPr>
    </w:p>
    <w:p w:rsidR="005311B6" w:rsidRPr="005311B6" w:rsidRDefault="005311B6" w:rsidP="005311B6">
      <w:pPr>
        <w:rPr>
          <w:b/>
        </w:rPr>
      </w:pPr>
      <w:r w:rsidRPr="005311B6">
        <w:rPr>
          <w:b/>
        </w:rPr>
        <w:t>Please review the lab procedures in the BDH organization-wide Policies and Procedures manual.  This manual may be found in SharePoint under the Policies and Procedures tab, Organization wide, Laboratory. You will be asked to locate these procedures by an inspector.</w:t>
      </w:r>
    </w:p>
    <w:p w:rsidR="001C22B1" w:rsidRDefault="005311B6"/>
    <w:p w:rsidR="005311B6" w:rsidRDefault="005311B6">
      <w:r>
        <w:t>1/2014 DDe</w:t>
      </w:r>
      <w:bookmarkStart w:id="0" w:name="_GoBack"/>
      <w:bookmarkEnd w:id="0"/>
    </w:p>
    <w:sectPr w:rsidR="005311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89" w:rsidRDefault="007C4A89" w:rsidP="007C4A89">
      <w:r>
        <w:separator/>
      </w:r>
    </w:p>
  </w:endnote>
  <w:endnote w:type="continuationSeparator" w:id="0">
    <w:p w:rsidR="007C4A89" w:rsidRDefault="007C4A89" w:rsidP="007C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89" w:rsidRDefault="007C4A89" w:rsidP="007C4A89">
      <w:r>
        <w:separator/>
      </w:r>
    </w:p>
  </w:footnote>
  <w:footnote w:type="continuationSeparator" w:id="0">
    <w:p w:rsidR="007C4A89" w:rsidRDefault="007C4A89" w:rsidP="007C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79B95B36CF14A759A9BCE419A54E7A5"/>
      </w:placeholder>
      <w:dataBinding w:prefixMappings="xmlns:ns0='http://schemas.openxmlformats.org/package/2006/metadata/core-properties' xmlns:ns1='http://purl.org/dc/elements/1.1/'" w:xpath="/ns0:coreProperties[1]/ns1:title[1]" w:storeItemID="{6C3C8BC8-F283-45AE-878A-BAB7291924A1}"/>
      <w:text/>
    </w:sdtPr>
    <w:sdtContent>
      <w:p w:rsidR="007C4A89" w:rsidRDefault="007C4A8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DCA </w:t>
        </w:r>
        <w:r w:rsidR="005311B6">
          <w:rPr>
            <w:rFonts w:asciiTheme="majorHAnsi" w:eastAsiaTheme="majorEastAsia" w:hAnsiTheme="majorHAnsi" w:cstheme="majorBidi"/>
            <w:sz w:val="32"/>
            <w:szCs w:val="32"/>
          </w:rPr>
          <w:t>Vantage</w:t>
        </w:r>
        <w:r>
          <w:rPr>
            <w:rFonts w:asciiTheme="majorHAnsi" w:eastAsiaTheme="majorEastAsia" w:hAnsiTheme="majorHAnsi" w:cstheme="majorBidi"/>
            <w:sz w:val="32"/>
            <w:szCs w:val="32"/>
          </w:rPr>
          <w:t xml:space="preserve"> Overview</w:t>
        </w:r>
      </w:p>
    </w:sdtContent>
  </w:sdt>
  <w:p w:rsidR="007C4A89" w:rsidRDefault="007C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870"/>
    <w:multiLevelType w:val="hybridMultilevel"/>
    <w:tmpl w:val="CF2E98D4"/>
    <w:lvl w:ilvl="0" w:tplc="43B4C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E81B77"/>
    <w:multiLevelType w:val="hybridMultilevel"/>
    <w:tmpl w:val="9ED6091A"/>
    <w:lvl w:ilvl="0" w:tplc="A69A062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4E078B"/>
    <w:multiLevelType w:val="hybridMultilevel"/>
    <w:tmpl w:val="BB32FA68"/>
    <w:lvl w:ilvl="0" w:tplc="43B4C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1B5158"/>
    <w:multiLevelType w:val="hybridMultilevel"/>
    <w:tmpl w:val="CFEE9414"/>
    <w:lvl w:ilvl="0" w:tplc="43B4C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087303F"/>
    <w:multiLevelType w:val="hybridMultilevel"/>
    <w:tmpl w:val="1CE6E85A"/>
    <w:lvl w:ilvl="0" w:tplc="43B4C4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89"/>
    <w:rsid w:val="005311B6"/>
    <w:rsid w:val="007C4A89"/>
    <w:rsid w:val="00A32423"/>
    <w:rsid w:val="00A9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A89"/>
    <w:pPr>
      <w:tabs>
        <w:tab w:val="center" w:pos="4680"/>
        <w:tab w:val="right" w:pos="9360"/>
      </w:tabs>
    </w:pPr>
  </w:style>
  <w:style w:type="character" w:customStyle="1" w:styleId="HeaderChar">
    <w:name w:val="Header Char"/>
    <w:basedOn w:val="DefaultParagraphFont"/>
    <w:link w:val="Header"/>
    <w:uiPriority w:val="99"/>
    <w:rsid w:val="007C4A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A89"/>
    <w:pPr>
      <w:tabs>
        <w:tab w:val="center" w:pos="4680"/>
        <w:tab w:val="right" w:pos="9360"/>
      </w:tabs>
    </w:pPr>
  </w:style>
  <w:style w:type="character" w:customStyle="1" w:styleId="FooterChar">
    <w:name w:val="Footer Char"/>
    <w:basedOn w:val="DefaultParagraphFont"/>
    <w:link w:val="Footer"/>
    <w:uiPriority w:val="99"/>
    <w:rsid w:val="007C4A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A89"/>
    <w:rPr>
      <w:rFonts w:ascii="Tahoma" w:hAnsi="Tahoma" w:cs="Tahoma"/>
      <w:sz w:val="16"/>
      <w:szCs w:val="16"/>
    </w:rPr>
  </w:style>
  <w:style w:type="character" w:customStyle="1" w:styleId="BalloonTextChar">
    <w:name w:val="Balloon Text Char"/>
    <w:basedOn w:val="DefaultParagraphFont"/>
    <w:link w:val="BalloonText"/>
    <w:uiPriority w:val="99"/>
    <w:semiHidden/>
    <w:rsid w:val="007C4A89"/>
    <w:rPr>
      <w:rFonts w:ascii="Tahoma" w:eastAsia="Times New Roman" w:hAnsi="Tahoma" w:cs="Tahoma"/>
      <w:sz w:val="16"/>
      <w:szCs w:val="16"/>
    </w:rPr>
  </w:style>
  <w:style w:type="paragraph" w:styleId="ListParagraph">
    <w:name w:val="List Paragraph"/>
    <w:basedOn w:val="Normal"/>
    <w:uiPriority w:val="34"/>
    <w:qFormat/>
    <w:rsid w:val="007C4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A89"/>
    <w:pPr>
      <w:tabs>
        <w:tab w:val="center" w:pos="4680"/>
        <w:tab w:val="right" w:pos="9360"/>
      </w:tabs>
    </w:pPr>
  </w:style>
  <w:style w:type="character" w:customStyle="1" w:styleId="HeaderChar">
    <w:name w:val="Header Char"/>
    <w:basedOn w:val="DefaultParagraphFont"/>
    <w:link w:val="Header"/>
    <w:uiPriority w:val="99"/>
    <w:rsid w:val="007C4A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A89"/>
    <w:pPr>
      <w:tabs>
        <w:tab w:val="center" w:pos="4680"/>
        <w:tab w:val="right" w:pos="9360"/>
      </w:tabs>
    </w:pPr>
  </w:style>
  <w:style w:type="character" w:customStyle="1" w:styleId="FooterChar">
    <w:name w:val="Footer Char"/>
    <w:basedOn w:val="DefaultParagraphFont"/>
    <w:link w:val="Footer"/>
    <w:uiPriority w:val="99"/>
    <w:rsid w:val="007C4A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A89"/>
    <w:rPr>
      <w:rFonts w:ascii="Tahoma" w:hAnsi="Tahoma" w:cs="Tahoma"/>
      <w:sz w:val="16"/>
      <w:szCs w:val="16"/>
    </w:rPr>
  </w:style>
  <w:style w:type="character" w:customStyle="1" w:styleId="BalloonTextChar">
    <w:name w:val="Balloon Text Char"/>
    <w:basedOn w:val="DefaultParagraphFont"/>
    <w:link w:val="BalloonText"/>
    <w:uiPriority w:val="99"/>
    <w:semiHidden/>
    <w:rsid w:val="007C4A89"/>
    <w:rPr>
      <w:rFonts w:ascii="Tahoma" w:eastAsia="Times New Roman" w:hAnsi="Tahoma" w:cs="Tahoma"/>
      <w:sz w:val="16"/>
      <w:szCs w:val="16"/>
    </w:rPr>
  </w:style>
  <w:style w:type="paragraph" w:styleId="ListParagraph">
    <w:name w:val="List Paragraph"/>
    <w:basedOn w:val="Normal"/>
    <w:uiPriority w:val="34"/>
    <w:qFormat/>
    <w:rsid w:val="007C4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B95B36CF14A759A9BCE419A54E7A5"/>
        <w:category>
          <w:name w:val="General"/>
          <w:gallery w:val="placeholder"/>
        </w:category>
        <w:types>
          <w:type w:val="bbPlcHdr"/>
        </w:types>
        <w:behaviors>
          <w:behavior w:val="content"/>
        </w:behaviors>
        <w:guid w:val="{E6DFBF11-58A2-4D79-920D-BEEFB7C52BB0}"/>
      </w:docPartPr>
      <w:docPartBody>
        <w:p w:rsidR="00000000" w:rsidRDefault="00A56CB4" w:rsidP="00A56CB4">
          <w:pPr>
            <w:pStyle w:val="A79B95B36CF14A759A9BCE419A54E7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B4"/>
    <w:rsid w:val="00A5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B95B36CF14A759A9BCE419A54E7A5">
    <w:name w:val="A79B95B36CF14A759A9BCE419A54E7A5"/>
    <w:rsid w:val="00A56C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9B95B36CF14A759A9BCE419A54E7A5">
    <w:name w:val="A79B95B36CF14A759A9BCE419A54E7A5"/>
    <w:rsid w:val="00A56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Company>Bozeman Deaconess Hospital</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Vantage Overview</dc:title>
  <dc:creator>Deena Davis</dc:creator>
  <cp:lastModifiedBy>Deena Davis</cp:lastModifiedBy>
  <cp:revision>2</cp:revision>
  <dcterms:created xsi:type="dcterms:W3CDTF">2014-01-28T20:42:00Z</dcterms:created>
  <dcterms:modified xsi:type="dcterms:W3CDTF">2014-01-28T20:46:00Z</dcterms:modified>
</cp:coreProperties>
</file>