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5D" w:rsidRDefault="009B2A5D"/>
    <w:p w:rsidR="00B42D05" w:rsidRPr="00B049A9" w:rsidRDefault="000D7983" w:rsidP="00D63971">
      <w:pPr>
        <w:jc w:val="center"/>
        <w:rPr>
          <w:b/>
          <w:sz w:val="28"/>
          <w:szCs w:val="28"/>
        </w:rPr>
      </w:pPr>
      <w:proofErr w:type="spellStart"/>
      <w:r>
        <w:rPr>
          <w:b/>
          <w:sz w:val="28"/>
          <w:szCs w:val="28"/>
        </w:rPr>
        <w:t>Phenytonin</w:t>
      </w:r>
      <w:proofErr w:type="spellEnd"/>
      <w:r w:rsidR="00612D0B">
        <w:rPr>
          <w:b/>
          <w:sz w:val="28"/>
          <w:szCs w:val="28"/>
        </w:rPr>
        <w:t xml:space="preserve"> - FREE</w:t>
      </w:r>
    </w:p>
    <w:p w:rsidR="00D63971" w:rsidRPr="00B049A9" w:rsidRDefault="004B16BB" w:rsidP="00D63971">
      <w:pPr>
        <w:pStyle w:val="ListParagraph"/>
        <w:numPr>
          <w:ilvl w:val="0"/>
          <w:numId w:val="1"/>
        </w:numPr>
        <w:rPr>
          <w:b/>
        </w:rPr>
      </w:pPr>
      <w:r w:rsidRPr="00B049A9">
        <w:rPr>
          <w:b/>
        </w:rPr>
        <w:t>PURPOSE</w:t>
      </w:r>
    </w:p>
    <w:p w:rsidR="00D63971" w:rsidRDefault="000D7983" w:rsidP="00D63971">
      <w:pPr>
        <w:pStyle w:val="ListParagraph"/>
        <w:ind w:left="1080"/>
      </w:pPr>
      <w:proofErr w:type="spellStart"/>
      <w:r>
        <w:t>Phenytonin</w:t>
      </w:r>
      <w:proofErr w:type="spellEnd"/>
      <w:r>
        <w:t xml:space="preserve"> (diphenylhydantoin) has been used extensively for seizure control in patients having both grand mal epilepsy (major motor) and cortical focal seizures and temporal lobe epilepsy.  Serum level monitoring of the drug is essential in order to achieve maximal seizure control while maintaining minimal blood levels through a routine daily dosage.  </w:t>
      </w:r>
    </w:p>
    <w:p w:rsidR="000D7983" w:rsidRDefault="000D7983" w:rsidP="00D63971">
      <w:pPr>
        <w:pStyle w:val="ListParagraph"/>
        <w:ind w:left="1080"/>
      </w:pPr>
      <w:r>
        <w:t xml:space="preserve">Although total </w:t>
      </w:r>
      <w:proofErr w:type="spellStart"/>
      <w:r>
        <w:t>phenytonin</w:t>
      </w:r>
      <w:proofErr w:type="spellEnd"/>
      <w:r>
        <w:t xml:space="preserve"> is traditionally monitored, </w:t>
      </w:r>
      <w:proofErr w:type="spellStart"/>
      <w:r>
        <w:t>phenytonin</w:t>
      </w:r>
      <w:proofErr w:type="spellEnd"/>
      <w:r>
        <w:t xml:space="preserve"> is approximately 90% protein bound in most patients.  It is the unbound or free fraction of the drug that possesse</w:t>
      </w:r>
      <w:r w:rsidR="005F493C">
        <w:t>s the ability to cross membran</w:t>
      </w:r>
      <w:r>
        <w:t xml:space="preserve">es or bind receptors.  Therefore, the pharmacological effects of </w:t>
      </w:r>
      <w:proofErr w:type="spellStart"/>
      <w:r>
        <w:t>phenytonin</w:t>
      </w:r>
      <w:proofErr w:type="spellEnd"/>
      <w:r>
        <w:t xml:space="preserve"> are related to the concentrations of the unbound or free drug.</w:t>
      </w:r>
    </w:p>
    <w:p w:rsidR="00D63971" w:rsidRPr="00B049A9" w:rsidRDefault="00D63971" w:rsidP="00D63971">
      <w:pPr>
        <w:pStyle w:val="NcclsPara"/>
        <w:numPr>
          <w:ilvl w:val="0"/>
          <w:numId w:val="1"/>
        </w:numPr>
        <w:rPr>
          <w:rFonts w:asciiTheme="minorHAnsi" w:hAnsiTheme="minorHAnsi"/>
          <w:b/>
        </w:rPr>
      </w:pPr>
      <w:r w:rsidRPr="00B049A9">
        <w:rPr>
          <w:rFonts w:asciiTheme="minorHAnsi" w:hAnsiTheme="minorHAnsi"/>
          <w:b/>
        </w:rPr>
        <w:t>TEST PRINCIPLE</w:t>
      </w:r>
    </w:p>
    <w:p w:rsidR="00D63971" w:rsidRPr="004555CC" w:rsidRDefault="00A5577F" w:rsidP="00D63971">
      <w:pPr>
        <w:pStyle w:val="NcclsPara"/>
        <w:ind w:left="1080"/>
        <w:rPr>
          <w:rFonts w:asciiTheme="minorHAnsi" w:hAnsiTheme="minorHAnsi"/>
        </w:rPr>
      </w:pPr>
      <w:r>
        <w:rPr>
          <w:rFonts w:asciiTheme="minorHAnsi" w:hAnsiTheme="minorHAnsi"/>
        </w:rPr>
        <w:t xml:space="preserve">Fluorescence </w:t>
      </w:r>
      <w:r w:rsidR="005A32A9">
        <w:rPr>
          <w:rFonts w:asciiTheme="minorHAnsi" w:hAnsiTheme="minorHAnsi"/>
        </w:rPr>
        <w:t>polarization</w:t>
      </w:r>
    </w:p>
    <w:p w:rsidR="00D63971" w:rsidRDefault="00D63971" w:rsidP="00D63971">
      <w:pPr>
        <w:pStyle w:val="NcclsPara"/>
        <w:ind w:left="1080"/>
      </w:pPr>
    </w:p>
    <w:p w:rsidR="00D63971" w:rsidRDefault="00D63971" w:rsidP="00D63971">
      <w:pPr>
        <w:pStyle w:val="NcclsPara"/>
        <w:ind w:left="1080"/>
        <w:rPr>
          <w:rFonts w:asciiTheme="minorHAnsi" w:hAnsiTheme="minorHAnsi"/>
        </w:rPr>
      </w:pPr>
      <w:r w:rsidRPr="00D63971">
        <w:rPr>
          <w:rFonts w:asciiTheme="minorHAnsi" w:hAnsiTheme="minorHAnsi"/>
        </w:rPr>
        <w:t xml:space="preserve">COBAS INTEGRA systems therapeutic drug monitoring measurements are made on the COBAS INTEGRA systems using </w:t>
      </w:r>
      <w:r w:rsidR="00A5577F">
        <w:rPr>
          <w:rFonts w:asciiTheme="minorHAnsi" w:hAnsiTheme="minorHAnsi"/>
        </w:rPr>
        <w:t>the principle of fluorescence polarization</w:t>
      </w:r>
      <w:r w:rsidRPr="00D63971">
        <w:rPr>
          <w:rFonts w:asciiTheme="minorHAnsi" w:hAnsiTheme="minorHAnsi"/>
        </w:rPr>
        <w:t xml:space="preserve">. </w:t>
      </w:r>
      <w:r w:rsidR="00A5577F">
        <w:rPr>
          <w:rFonts w:asciiTheme="minorHAnsi" w:hAnsiTheme="minorHAnsi"/>
        </w:rPr>
        <w:t xml:space="preserve">When a fluorescent molecule, or fluorophore, is irradiated with light of the proper wavelength (the excitation wavelength) some of the light is absorbed.  Within a few nanoseconds the absorbed light is emitted, although at a longer wavelength (the emission wavelength).  Whether or not the emitted light is polarized depends on the freedom of the fluorophore to rotate in solution.  A small molecule, such as fluorescein, can rotate rapidly before light emission occurs, results in depolarization of the emitted light.  In contract, a fluorescent macromolecule, such as a fluorescein-labeled protein, will rotate much more slowly.  Thus, in the time frame between excitation and emission, the macromolecule will have rotated only very slightly and the emitted light will be polarized.  Fluorescence polarization is a reproducible function of the drug concentration, and is suitable for the quantitative determination of drug concentrations in serum for the purpose of therapeutic drug monitoring.  </w:t>
      </w:r>
    </w:p>
    <w:p w:rsidR="005A32A9" w:rsidRPr="00D63971" w:rsidRDefault="005A32A9" w:rsidP="00D63971">
      <w:pPr>
        <w:pStyle w:val="NcclsPara"/>
        <w:ind w:left="1080"/>
        <w:rPr>
          <w:rFonts w:asciiTheme="minorHAnsi" w:hAnsiTheme="minorHAnsi"/>
        </w:rPr>
      </w:pPr>
      <w:r>
        <w:rPr>
          <w:rFonts w:asciiTheme="minorHAnsi" w:hAnsiTheme="minorHAnsi"/>
        </w:rPr>
        <w:t xml:space="preserve">Surface active agents are sued to ensure dissociation of the drug from serum proteins and to prevent nonspecific binding of the tracer.  </w:t>
      </w:r>
    </w:p>
    <w:p w:rsidR="004B16BB" w:rsidRPr="00B049A9" w:rsidRDefault="004B16BB" w:rsidP="004B16BB">
      <w:pPr>
        <w:pStyle w:val="ListParagraph"/>
        <w:numPr>
          <w:ilvl w:val="0"/>
          <w:numId w:val="1"/>
        </w:numPr>
        <w:rPr>
          <w:b/>
        </w:rPr>
      </w:pPr>
      <w:r w:rsidRPr="00B049A9">
        <w:rPr>
          <w:b/>
        </w:rPr>
        <w:t>SCOPE</w:t>
      </w:r>
    </w:p>
    <w:p w:rsidR="00D63971" w:rsidRDefault="00D63971" w:rsidP="00D63971">
      <w:pPr>
        <w:pStyle w:val="ListParagraph"/>
        <w:ind w:left="1080"/>
      </w:pPr>
      <w:proofErr w:type="gramStart"/>
      <w:r>
        <w:t xml:space="preserve">In vitro diagnostic test for the quantitative determination of </w:t>
      </w:r>
      <w:r w:rsidR="005A32A9">
        <w:t xml:space="preserve">free </w:t>
      </w:r>
      <w:proofErr w:type="spellStart"/>
      <w:r w:rsidR="005F493C">
        <w:t>phenytonin</w:t>
      </w:r>
      <w:proofErr w:type="spellEnd"/>
      <w:r>
        <w:t xml:space="preserve"> in serum or </w:t>
      </w:r>
      <w:r w:rsidR="005F493C">
        <w:t>heparinized</w:t>
      </w:r>
      <w:r>
        <w:t xml:space="preserve"> plasma on COBAS INTEGRA systems.</w:t>
      </w:r>
      <w:proofErr w:type="gramEnd"/>
    </w:p>
    <w:p w:rsidR="005A32A9" w:rsidRDefault="005A32A9" w:rsidP="004B16BB">
      <w:pPr>
        <w:pStyle w:val="ListParagraph"/>
        <w:ind w:left="1080"/>
      </w:pPr>
    </w:p>
    <w:p w:rsidR="004B16BB" w:rsidRPr="00B049A9" w:rsidRDefault="004B16BB" w:rsidP="004B16BB">
      <w:pPr>
        <w:pStyle w:val="ListParagraph"/>
        <w:numPr>
          <w:ilvl w:val="0"/>
          <w:numId w:val="1"/>
        </w:numPr>
        <w:rPr>
          <w:b/>
        </w:rPr>
      </w:pPr>
      <w:r w:rsidRPr="00B049A9">
        <w:rPr>
          <w:b/>
        </w:rPr>
        <w:t>RESPONSIBILITIES</w:t>
      </w:r>
    </w:p>
    <w:p w:rsidR="004B16BB" w:rsidRDefault="004B16BB" w:rsidP="00B049A9">
      <w:pPr>
        <w:pStyle w:val="ListParagraph"/>
        <w:ind w:left="1080"/>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9"/>
        <w:gridCol w:w="4394"/>
      </w:tblGrid>
      <w:tr w:rsidR="00B049A9" w:rsidRPr="00937E09" w:rsidTr="009A4964">
        <w:trPr>
          <w:trHeight w:val="443"/>
          <w:tblHeader/>
        </w:trPr>
        <w:tc>
          <w:tcPr>
            <w:tcW w:w="1839" w:type="dxa"/>
            <w:shd w:val="pct10" w:color="auto" w:fill="auto"/>
            <w:vAlign w:val="bottom"/>
          </w:tcPr>
          <w:p w:rsidR="00B049A9" w:rsidRPr="00937E09" w:rsidRDefault="00B049A9" w:rsidP="009A4964">
            <w:pPr>
              <w:rPr>
                <w:rFonts w:ascii="Arial" w:hAnsi="Arial" w:cs="Arial"/>
                <w:b/>
                <w:sz w:val="20"/>
              </w:rPr>
            </w:pPr>
            <w:r w:rsidRPr="00937E09">
              <w:rPr>
                <w:rFonts w:ascii="Arial" w:hAnsi="Arial" w:cs="Arial"/>
                <w:b/>
                <w:sz w:val="20"/>
              </w:rPr>
              <w:t>Group/Person</w:t>
            </w:r>
          </w:p>
        </w:tc>
        <w:tc>
          <w:tcPr>
            <w:tcW w:w="4394" w:type="dxa"/>
            <w:shd w:val="pct10" w:color="auto" w:fill="auto"/>
            <w:vAlign w:val="bottom"/>
          </w:tcPr>
          <w:p w:rsidR="00B049A9" w:rsidRPr="00937E09" w:rsidRDefault="00B049A9" w:rsidP="009A4964">
            <w:pPr>
              <w:rPr>
                <w:rFonts w:ascii="Arial" w:hAnsi="Arial" w:cs="Arial"/>
                <w:b/>
                <w:sz w:val="20"/>
              </w:rPr>
            </w:pPr>
            <w:r w:rsidRPr="00937E09">
              <w:rPr>
                <w:rFonts w:ascii="Arial" w:hAnsi="Arial" w:cs="Arial"/>
                <w:b/>
                <w:sz w:val="20"/>
              </w:rPr>
              <w:t>Responsibility</w:t>
            </w:r>
          </w:p>
        </w:tc>
      </w:tr>
      <w:tr w:rsidR="00B049A9" w:rsidRPr="00937E09" w:rsidTr="009A4964">
        <w:tblPrEx>
          <w:tblCellMar>
            <w:left w:w="108" w:type="dxa"/>
            <w:right w:w="108" w:type="dxa"/>
          </w:tblCellMar>
        </w:tblPrEx>
        <w:trPr>
          <w:trHeight w:val="454"/>
        </w:trPr>
        <w:tc>
          <w:tcPr>
            <w:tcW w:w="1839" w:type="dxa"/>
            <w:vAlign w:val="bottom"/>
          </w:tcPr>
          <w:p w:rsidR="00B049A9" w:rsidRPr="00937E09" w:rsidRDefault="00B049A9" w:rsidP="009A4964">
            <w:pPr>
              <w:rPr>
                <w:rFonts w:ascii="Arial" w:hAnsi="Arial" w:cs="Arial"/>
                <w:sz w:val="20"/>
              </w:rPr>
            </w:pPr>
            <w:r w:rsidRPr="00937E09">
              <w:rPr>
                <w:rFonts w:ascii="Arial" w:hAnsi="Arial" w:cs="Arial"/>
                <w:sz w:val="20"/>
              </w:rPr>
              <w:t>Quality Assurance</w:t>
            </w:r>
          </w:p>
        </w:tc>
        <w:tc>
          <w:tcPr>
            <w:tcW w:w="4394" w:type="dxa"/>
            <w:vAlign w:val="bottom"/>
          </w:tcPr>
          <w:p w:rsidR="00B049A9" w:rsidRPr="00937E09" w:rsidRDefault="00B049A9" w:rsidP="00B049A9">
            <w:pPr>
              <w:numPr>
                <w:ilvl w:val="0"/>
                <w:numId w:val="5"/>
              </w:numPr>
              <w:tabs>
                <w:tab w:val="clear" w:pos="720"/>
                <w:tab w:val="num" w:pos="264"/>
              </w:tabs>
              <w:spacing w:after="0" w:line="240" w:lineRule="auto"/>
              <w:ind w:hanging="726"/>
              <w:rPr>
                <w:rFonts w:ascii="Arial" w:hAnsi="Arial" w:cs="Arial"/>
                <w:sz w:val="20"/>
              </w:rPr>
            </w:pPr>
            <w:r>
              <w:rPr>
                <w:rFonts w:ascii="Arial" w:hAnsi="Arial" w:cs="Arial"/>
                <w:sz w:val="20"/>
              </w:rPr>
              <w:t>Provides Document Control System</w:t>
            </w:r>
            <w:r w:rsidRPr="0008650D">
              <w:rPr>
                <w:rFonts w:ascii="Arial" w:hAnsi="Arial" w:cs="Arial"/>
                <w:sz w:val="20"/>
              </w:rPr>
              <w:t>.</w:t>
            </w:r>
          </w:p>
        </w:tc>
      </w:tr>
      <w:tr w:rsidR="00B049A9" w:rsidRPr="00937E09" w:rsidTr="009A4964">
        <w:tblPrEx>
          <w:tblCellMar>
            <w:left w:w="108" w:type="dxa"/>
            <w:right w:w="108" w:type="dxa"/>
          </w:tblCellMar>
        </w:tblPrEx>
        <w:trPr>
          <w:trHeight w:val="467"/>
        </w:trPr>
        <w:tc>
          <w:tcPr>
            <w:tcW w:w="1839" w:type="dxa"/>
            <w:vAlign w:val="bottom"/>
          </w:tcPr>
          <w:p w:rsidR="00B049A9" w:rsidRPr="00937E09" w:rsidRDefault="00B049A9" w:rsidP="009A4964">
            <w:pPr>
              <w:rPr>
                <w:rFonts w:ascii="Arial" w:hAnsi="Arial" w:cs="Arial"/>
                <w:sz w:val="20"/>
              </w:rPr>
            </w:pPr>
            <w:r w:rsidRPr="00937E09">
              <w:rPr>
                <w:rFonts w:ascii="Arial" w:hAnsi="Arial" w:cs="Arial"/>
                <w:sz w:val="20"/>
              </w:rPr>
              <w:lastRenderedPageBreak/>
              <w:t>Medical Director</w:t>
            </w:r>
          </w:p>
        </w:tc>
        <w:tc>
          <w:tcPr>
            <w:tcW w:w="4394" w:type="dxa"/>
            <w:vAlign w:val="bottom"/>
          </w:tcPr>
          <w:p w:rsidR="00B049A9" w:rsidRPr="00937E09" w:rsidRDefault="00B049A9" w:rsidP="00B049A9">
            <w:pPr>
              <w:numPr>
                <w:ilvl w:val="0"/>
                <w:numId w:val="4"/>
              </w:numPr>
              <w:tabs>
                <w:tab w:val="clear" w:pos="810"/>
                <w:tab w:val="num" w:pos="264"/>
              </w:tabs>
              <w:spacing w:after="0" w:line="240" w:lineRule="auto"/>
              <w:ind w:hanging="816"/>
              <w:rPr>
                <w:rFonts w:ascii="Arial" w:hAnsi="Arial" w:cs="Arial"/>
                <w:sz w:val="20"/>
              </w:rPr>
            </w:pPr>
            <w:r w:rsidRPr="00937E09">
              <w:rPr>
                <w:rFonts w:ascii="Arial" w:hAnsi="Arial" w:cs="Arial"/>
                <w:sz w:val="20"/>
              </w:rPr>
              <w:t>Ensures that the procedure is followed.</w:t>
            </w:r>
          </w:p>
          <w:p w:rsidR="00B049A9" w:rsidRPr="00937E09" w:rsidRDefault="00B049A9" w:rsidP="00B049A9">
            <w:pPr>
              <w:numPr>
                <w:ilvl w:val="0"/>
                <w:numId w:val="4"/>
              </w:numPr>
              <w:tabs>
                <w:tab w:val="clear" w:pos="810"/>
                <w:tab w:val="num" w:pos="264"/>
              </w:tabs>
              <w:spacing w:after="0" w:line="240" w:lineRule="auto"/>
              <w:ind w:hanging="816"/>
              <w:rPr>
                <w:rFonts w:ascii="Arial" w:hAnsi="Arial" w:cs="Arial"/>
                <w:sz w:val="20"/>
              </w:rPr>
            </w:pPr>
            <w:r w:rsidRPr="00937E09">
              <w:rPr>
                <w:rFonts w:ascii="Arial" w:hAnsi="Arial" w:cs="Arial"/>
                <w:sz w:val="20"/>
              </w:rPr>
              <w:t>Review and approval of this document.</w:t>
            </w:r>
          </w:p>
        </w:tc>
      </w:tr>
      <w:tr w:rsidR="00B049A9" w:rsidRPr="00937E09" w:rsidTr="009A4964">
        <w:tblPrEx>
          <w:tblCellMar>
            <w:left w:w="108" w:type="dxa"/>
            <w:right w:w="108" w:type="dxa"/>
          </w:tblCellMar>
        </w:tblPrEx>
        <w:trPr>
          <w:trHeight w:val="467"/>
        </w:trPr>
        <w:tc>
          <w:tcPr>
            <w:tcW w:w="1839" w:type="dxa"/>
            <w:vAlign w:val="bottom"/>
          </w:tcPr>
          <w:p w:rsidR="00B049A9" w:rsidRPr="00937E09" w:rsidRDefault="00B049A9" w:rsidP="009A4964">
            <w:pPr>
              <w:rPr>
                <w:rFonts w:ascii="Arial" w:hAnsi="Arial" w:cs="Arial"/>
                <w:sz w:val="20"/>
              </w:rPr>
            </w:pPr>
            <w:r w:rsidRPr="00937E09">
              <w:rPr>
                <w:rFonts w:ascii="Arial" w:hAnsi="Arial" w:cs="Arial"/>
                <w:sz w:val="20"/>
              </w:rPr>
              <w:t>Supervisor</w:t>
            </w:r>
          </w:p>
        </w:tc>
        <w:tc>
          <w:tcPr>
            <w:tcW w:w="4394" w:type="dxa"/>
            <w:vAlign w:val="bottom"/>
          </w:tcPr>
          <w:p w:rsidR="00B049A9" w:rsidRPr="00937E09" w:rsidRDefault="00B049A9" w:rsidP="00B049A9">
            <w:pPr>
              <w:numPr>
                <w:ilvl w:val="0"/>
                <w:numId w:val="4"/>
              </w:numPr>
              <w:tabs>
                <w:tab w:val="clear" w:pos="810"/>
                <w:tab w:val="num" w:pos="264"/>
              </w:tabs>
              <w:spacing w:after="0" w:line="240" w:lineRule="auto"/>
              <w:ind w:hanging="816"/>
              <w:rPr>
                <w:rFonts w:ascii="Arial" w:hAnsi="Arial" w:cs="Arial"/>
                <w:sz w:val="20"/>
              </w:rPr>
            </w:pPr>
            <w:r w:rsidRPr="00937E09">
              <w:rPr>
                <w:rFonts w:ascii="Arial" w:hAnsi="Arial" w:cs="Arial"/>
                <w:sz w:val="20"/>
              </w:rPr>
              <w:t>Ensures that the procedure is followed.</w:t>
            </w:r>
          </w:p>
          <w:p w:rsidR="00B049A9" w:rsidRPr="00B049A9" w:rsidRDefault="00B049A9" w:rsidP="00B049A9">
            <w:pPr>
              <w:numPr>
                <w:ilvl w:val="0"/>
                <w:numId w:val="4"/>
              </w:numPr>
              <w:tabs>
                <w:tab w:val="clear" w:pos="810"/>
                <w:tab w:val="num" w:pos="264"/>
              </w:tabs>
              <w:spacing w:after="0" w:line="240" w:lineRule="auto"/>
              <w:ind w:hanging="816"/>
              <w:rPr>
                <w:rFonts w:ascii="Arial" w:hAnsi="Arial" w:cs="Arial"/>
                <w:sz w:val="20"/>
              </w:rPr>
            </w:pPr>
            <w:r w:rsidRPr="00937E09">
              <w:rPr>
                <w:rFonts w:ascii="Arial" w:hAnsi="Arial" w:cs="Arial"/>
                <w:sz w:val="20"/>
              </w:rPr>
              <w:t>Review and approval of this document.</w:t>
            </w:r>
          </w:p>
        </w:tc>
      </w:tr>
      <w:tr w:rsidR="00B049A9" w:rsidRPr="00937E09" w:rsidTr="009A4964">
        <w:tblPrEx>
          <w:tblCellMar>
            <w:left w:w="108" w:type="dxa"/>
            <w:right w:w="108" w:type="dxa"/>
          </w:tblCellMar>
        </w:tblPrEx>
        <w:trPr>
          <w:trHeight w:val="467"/>
        </w:trPr>
        <w:tc>
          <w:tcPr>
            <w:tcW w:w="1839" w:type="dxa"/>
            <w:vAlign w:val="bottom"/>
          </w:tcPr>
          <w:p w:rsidR="00B049A9" w:rsidRPr="00937E09" w:rsidRDefault="00B049A9" w:rsidP="009A4964">
            <w:pPr>
              <w:rPr>
                <w:rFonts w:ascii="Arial" w:hAnsi="Arial" w:cs="Arial"/>
                <w:sz w:val="20"/>
              </w:rPr>
            </w:pPr>
            <w:r>
              <w:rPr>
                <w:rFonts w:ascii="Arial" w:hAnsi="Arial" w:cs="Arial"/>
                <w:sz w:val="20"/>
              </w:rPr>
              <w:t>End User</w:t>
            </w:r>
          </w:p>
        </w:tc>
        <w:tc>
          <w:tcPr>
            <w:tcW w:w="4394" w:type="dxa"/>
            <w:vAlign w:val="bottom"/>
          </w:tcPr>
          <w:p w:rsidR="00B049A9" w:rsidRPr="00937E09" w:rsidRDefault="00B049A9" w:rsidP="00B049A9">
            <w:pPr>
              <w:numPr>
                <w:ilvl w:val="0"/>
                <w:numId w:val="4"/>
              </w:numPr>
              <w:tabs>
                <w:tab w:val="clear" w:pos="810"/>
                <w:tab w:val="num" w:pos="264"/>
              </w:tabs>
              <w:spacing w:after="0" w:line="240" w:lineRule="auto"/>
              <w:ind w:hanging="816"/>
              <w:rPr>
                <w:rFonts w:ascii="Arial" w:hAnsi="Arial" w:cs="Arial"/>
                <w:sz w:val="20"/>
              </w:rPr>
            </w:pPr>
            <w:r>
              <w:rPr>
                <w:rFonts w:ascii="Arial" w:hAnsi="Arial" w:cs="Arial"/>
                <w:sz w:val="20"/>
              </w:rPr>
              <w:t>Follows the procedure</w:t>
            </w:r>
          </w:p>
        </w:tc>
      </w:tr>
    </w:tbl>
    <w:p w:rsidR="00B049A9" w:rsidRDefault="00B049A9" w:rsidP="00B049A9">
      <w:pPr>
        <w:pStyle w:val="ListParagraph"/>
        <w:ind w:left="1080"/>
      </w:pPr>
    </w:p>
    <w:p w:rsidR="00B049A9" w:rsidRPr="00B049A9" w:rsidRDefault="004B16BB" w:rsidP="00B049A9">
      <w:pPr>
        <w:pStyle w:val="ListParagraph"/>
        <w:numPr>
          <w:ilvl w:val="0"/>
          <w:numId w:val="1"/>
        </w:numPr>
        <w:rPr>
          <w:b/>
        </w:rPr>
      </w:pPr>
      <w:r w:rsidRPr="00B049A9">
        <w:rPr>
          <w:b/>
        </w:rPr>
        <w:t>ACRONYMS/DEFINITIONS</w:t>
      </w: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9"/>
        <w:gridCol w:w="4394"/>
      </w:tblGrid>
      <w:tr w:rsidR="00B049A9" w:rsidRPr="00937E09" w:rsidTr="009A4964">
        <w:trPr>
          <w:trHeight w:val="443"/>
          <w:tblHeader/>
        </w:trPr>
        <w:tc>
          <w:tcPr>
            <w:tcW w:w="1839" w:type="dxa"/>
            <w:shd w:val="pct10" w:color="auto" w:fill="auto"/>
            <w:vAlign w:val="bottom"/>
          </w:tcPr>
          <w:p w:rsidR="00B049A9" w:rsidRPr="00937E09" w:rsidRDefault="00B049A9" w:rsidP="009A4964">
            <w:pPr>
              <w:rPr>
                <w:rFonts w:ascii="Arial" w:hAnsi="Arial" w:cs="Arial"/>
                <w:b/>
                <w:sz w:val="20"/>
              </w:rPr>
            </w:pPr>
            <w:r>
              <w:rPr>
                <w:rFonts w:ascii="Arial" w:hAnsi="Arial" w:cs="Arial"/>
                <w:b/>
                <w:sz w:val="20"/>
              </w:rPr>
              <w:t>Abbreviation</w:t>
            </w:r>
          </w:p>
        </w:tc>
        <w:tc>
          <w:tcPr>
            <w:tcW w:w="4394" w:type="dxa"/>
            <w:shd w:val="pct10" w:color="auto" w:fill="auto"/>
            <w:vAlign w:val="bottom"/>
          </w:tcPr>
          <w:p w:rsidR="00B049A9" w:rsidRPr="00937E09" w:rsidRDefault="00B049A9" w:rsidP="009A4964">
            <w:pPr>
              <w:rPr>
                <w:rFonts w:ascii="Arial" w:hAnsi="Arial" w:cs="Arial"/>
                <w:b/>
                <w:sz w:val="20"/>
              </w:rPr>
            </w:pPr>
            <w:r>
              <w:rPr>
                <w:rFonts w:ascii="Arial" w:hAnsi="Arial" w:cs="Arial"/>
                <w:b/>
                <w:sz w:val="20"/>
              </w:rPr>
              <w:t>Definition</w:t>
            </w:r>
          </w:p>
        </w:tc>
      </w:tr>
      <w:tr w:rsidR="00B049A9" w:rsidRPr="00937E09" w:rsidTr="009A4964">
        <w:tblPrEx>
          <w:tblCellMar>
            <w:left w:w="108" w:type="dxa"/>
            <w:right w:w="108" w:type="dxa"/>
          </w:tblCellMar>
        </w:tblPrEx>
        <w:trPr>
          <w:trHeight w:val="454"/>
        </w:trPr>
        <w:tc>
          <w:tcPr>
            <w:tcW w:w="1839" w:type="dxa"/>
            <w:vAlign w:val="bottom"/>
          </w:tcPr>
          <w:p w:rsidR="00B049A9" w:rsidRPr="00937E09" w:rsidRDefault="005A32A9" w:rsidP="009A4964">
            <w:pPr>
              <w:rPr>
                <w:rFonts w:ascii="Arial" w:hAnsi="Arial" w:cs="Arial"/>
                <w:sz w:val="20"/>
              </w:rPr>
            </w:pPr>
            <w:r>
              <w:rPr>
                <w:rFonts w:ascii="Arial" w:hAnsi="Arial" w:cs="Arial"/>
                <w:sz w:val="20"/>
              </w:rPr>
              <w:t>VALP</w:t>
            </w:r>
          </w:p>
        </w:tc>
        <w:tc>
          <w:tcPr>
            <w:tcW w:w="4394" w:type="dxa"/>
            <w:vAlign w:val="bottom"/>
          </w:tcPr>
          <w:p w:rsidR="00B049A9" w:rsidRPr="00937E09" w:rsidRDefault="005A32A9" w:rsidP="000326C3">
            <w:pPr>
              <w:spacing w:line="240" w:lineRule="auto"/>
              <w:rPr>
                <w:rFonts w:ascii="Arial" w:hAnsi="Arial" w:cs="Arial"/>
                <w:sz w:val="20"/>
              </w:rPr>
            </w:pPr>
            <w:proofErr w:type="spellStart"/>
            <w:r>
              <w:rPr>
                <w:rFonts w:ascii="Arial" w:hAnsi="Arial" w:cs="Arial"/>
                <w:sz w:val="20"/>
              </w:rPr>
              <w:t>Valproic</w:t>
            </w:r>
            <w:proofErr w:type="spellEnd"/>
            <w:r>
              <w:rPr>
                <w:rFonts w:ascii="Arial" w:hAnsi="Arial" w:cs="Arial"/>
                <w:sz w:val="20"/>
              </w:rPr>
              <w:t xml:space="preserve"> Acid</w:t>
            </w:r>
          </w:p>
        </w:tc>
      </w:tr>
      <w:tr w:rsidR="00474172" w:rsidRPr="00937E09" w:rsidTr="009A4964">
        <w:tblPrEx>
          <w:tblCellMar>
            <w:left w:w="108" w:type="dxa"/>
            <w:right w:w="108" w:type="dxa"/>
          </w:tblCellMar>
        </w:tblPrEx>
        <w:trPr>
          <w:trHeight w:val="467"/>
        </w:trPr>
        <w:tc>
          <w:tcPr>
            <w:tcW w:w="1839" w:type="dxa"/>
            <w:vAlign w:val="bottom"/>
          </w:tcPr>
          <w:p w:rsidR="00474172" w:rsidRDefault="00474172" w:rsidP="009A4964">
            <w:pPr>
              <w:rPr>
                <w:rFonts w:ascii="Arial" w:hAnsi="Arial" w:cs="Arial"/>
                <w:sz w:val="20"/>
              </w:rPr>
            </w:pPr>
            <w:r>
              <w:rPr>
                <w:rFonts w:ascii="Arial" w:hAnsi="Arial" w:cs="Arial"/>
                <w:sz w:val="20"/>
              </w:rPr>
              <w:t>SW</w:t>
            </w:r>
          </w:p>
        </w:tc>
        <w:tc>
          <w:tcPr>
            <w:tcW w:w="4394" w:type="dxa"/>
            <w:vAlign w:val="bottom"/>
          </w:tcPr>
          <w:p w:rsidR="00474172" w:rsidRDefault="00474172" w:rsidP="000326C3">
            <w:pPr>
              <w:spacing w:line="240" w:lineRule="auto"/>
              <w:rPr>
                <w:rFonts w:ascii="Arial" w:hAnsi="Arial" w:cs="Arial"/>
                <w:sz w:val="20"/>
              </w:rPr>
            </w:pPr>
            <w:r>
              <w:rPr>
                <w:rFonts w:ascii="Arial" w:hAnsi="Arial" w:cs="Arial"/>
                <w:sz w:val="20"/>
              </w:rPr>
              <w:t>Strong West</w:t>
            </w:r>
          </w:p>
        </w:tc>
      </w:tr>
      <w:tr w:rsidR="00B049A9" w:rsidRPr="00937E09" w:rsidTr="009A4964">
        <w:tblPrEx>
          <w:tblCellMar>
            <w:left w:w="108" w:type="dxa"/>
            <w:right w:w="108" w:type="dxa"/>
          </w:tblCellMar>
        </w:tblPrEx>
        <w:trPr>
          <w:trHeight w:val="467"/>
        </w:trPr>
        <w:tc>
          <w:tcPr>
            <w:tcW w:w="1839" w:type="dxa"/>
            <w:vAlign w:val="bottom"/>
          </w:tcPr>
          <w:p w:rsidR="00B049A9" w:rsidRPr="00937E09" w:rsidRDefault="00474172" w:rsidP="009A4964">
            <w:pPr>
              <w:rPr>
                <w:rFonts w:ascii="Arial" w:hAnsi="Arial" w:cs="Arial"/>
                <w:sz w:val="20"/>
              </w:rPr>
            </w:pPr>
            <w:r>
              <w:rPr>
                <w:rFonts w:ascii="Arial" w:hAnsi="Arial" w:cs="Arial"/>
                <w:sz w:val="20"/>
              </w:rPr>
              <w:t>URMC</w:t>
            </w:r>
          </w:p>
        </w:tc>
        <w:tc>
          <w:tcPr>
            <w:tcW w:w="4394" w:type="dxa"/>
            <w:vAlign w:val="bottom"/>
          </w:tcPr>
          <w:p w:rsidR="00B049A9" w:rsidRPr="00937E09" w:rsidRDefault="00474172" w:rsidP="000326C3">
            <w:pPr>
              <w:spacing w:line="240" w:lineRule="auto"/>
              <w:rPr>
                <w:rFonts w:ascii="Arial" w:hAnsi="Arial" w:cs="Arial"/>
                <w:sz w:val="20"/>
              </w:rPr>
            </w:pPr>
            <w:r>
              <w:rPr>
                <w:rFonts w:ascii="Arial" w:hAnsi="Arial" w:cs="Arial"/>
                <w:sz w:val="20"/>
              </w:rPr>
              <w:t>University of Rochester Medical Center</w:t>
            </w:r>
          </w:p>
        </w:tc>
      </w:tr>
    </w:tbl>
    <w:p w:rsidR="00B049A9" w:rsidRDefault="00B049A9" w:rsidP="00B049A9">
      <w:pPr>
        <w:pStyle w:val="ListParagraph"/>
        <w:ind w:left="1080"/>
      </w:pPr>
    </w:p>
    <w:p w:rsidR="000326C3" w:rsidRDefault="004B16BB" w:rsidP="000326C3">
      <w:pPr>
        <w:pStyle w:val="ListParagraph"/>
        <w:numPr>
          <w:ilvl w:val="0"/>
          <w:numId w:val="1"/>
        </w:numPr>
        <w:rPr>
          <w:b/>
        </w:rPr>
      </w:pPr>
      <w:r w:rsidRPr="00B049A9">
        <w:rPr>
          <w:b/>
        </w:rPr>
        <w:t>SPECIMENS</w:t>
      </w:r>
    </w:p>
    <w:p w:rsidR="000E3FDD" w:rsidRDefault="005A32A9" w:rsidP="005A32A9">
      <w:pPr>
        <w:pStyle w:val="ListParagraph"/>
        <w:ind w:left="1170"/>
      </w:pPr>
      <w:r>
        <w:t>Un-hemolyzed s</w:t>
      </w:r>
      <w:r w:rsidR="00C33380">
        <w:t>erum</w:t>
      </w:r>
      <w:r>
        <w:t xml:space="preserve"> </w:t>
      </w:r>
      <w:r w:rsidR="00C33380">
        <w:t xml:space="preserve"> </w:t>
      </w:r>
    </w:p>
    <w:p w:rsidR="000E3FDD" w:rsidRDefault="005A32A9" w:rsidP="000E3FDD">
      <w:pPr>
        <w:pStyle w:val="ListParagraph"/>
        <w:ind w:left="1080"/>
      </w:pPr>
      <w:r>
        <w:t xml:space="preserve">Sample preparation for the COBAS FP Free </w:t>
      </w:r>
      <w:proofErr w:type="spellStart"/>
      <w:r w:rsidR="005F493C">
        <w:t>Phenytonin</w:t>
      </w:r>
      <w:proofErr w:type="spellEnd"/>
      <w:r>
        <w:t xml:space="preserve"> assay requires the separation of the free </w:t>
      </w:r>
      <w:proofErr w:type="spellStart"/>
      <w:r w:rsidR="005F493C">
        <w:t>phenytonin</w:t>
      </w:r>
      <w:proofErr w:type="spellEnd"/>
      <w:r>
        <w:t xml:space="preserve"> fraction from the protein-bound fraction prior to analysis.  The COBAS FP Free </w:t>
      </w:r>
      <w:proofErr w:type="spellStart"/>
      <w:r w:rsidR="005F493C">
        <w:t>Phenytonin</w:t>
      </w:r>
      <w:proofErr w:type="spellEnd"/>
      <w:r>
        <w:t xml:space="preserve"> controls and calibrators do not require this separation step because </w:t>
      </w:r>
      <w:proofErr w:type="gramStart"/>
      <w:r>
        <w:t>all of the</w:t>
      </w:r>
      <w:proofErr w:type="gramEnd"/>
      <w:r>
        <w:t xml:space="preserve"> drug is in the free state.  Methods to isolate the free fraction include equilibrium dialysis and ultrafiltration.  </w:t>
      </w:r>
    </w:p>
    <w:p w:rsidR="005A32A9" w:rsidRDefault="005A32A9" w:rsidP="000E3FDD">
      <w:pPr>
        <w:pStyle w:val="ListParagraph"/>
        <w:ind w:left="1080"/>
      </w:pPr>
      <w:r>
        <w:t xml:space="preserve">Samples should be processed by ultrafiltration upon receipt in the lab, if possible.  </w:t>
      </w:r>
      <w:r w:rsidR="005F493C">
        <w:t xml:space="preserve">Alternately, samples may be stored refrigerated at 2-8°C for up to 7 days prior to ultrafiltration, if necessary.  Frozen samples should be warmed to room temperature </w:t>
      </w:r>
      <w:proofErr w:type="spellStart"/>
      <w:r w:rsidR="005F493C">
        <w:t>andmixed</w:t>
      </w:r>
      <w:proofErr w:type="spellEnd"/>
      <w:r w:rsidR="005F493C">
        <w:t xml:space="preserve"> completely before ultrafiltration.  Freezing samples for less tha</w:t>
      </w:r>
      <w:r w:rsidR="00361501">
        <w:t>n</w:t>
      </w:r>
      <w:r w:rsidR="005F493C">
        <w:t xml:space="preserve"> 16 weeks has been reported to have little effect on free </w:t>
      </w:r>
      <w:proofErr w:type="spellStart"/>
      <w:r w:rsidR="005F493C">
        <w:t>phenytonin</w:t>
      </w:r>
      <w:proofErr w:type="spellEnd"/>
      <w:r w:rsidR="005F493C">
        <w:t xml:space="preserve"> concentrations.  Samples</w:t>
      </w:r>
      <w:r>
        <w:t xml:space="preserve"> should be securely capped prior to ultrafiltration to prevent pH changes.  </w:t>
      </w:r>
    </w:p>
    <w:p w:rsidR="009A6AC7" w:rsidRDefault="009A6AC7" w:rsidP="000E3FDD">
      <w:pPr>
        <w:pStyle w:val="ListParagraph"/>
        <w:ind w:left="1080"/>
      </w:pPr>
    </w:p>
    <w:p w:rsidR="009A6AC7" w:rsidRDefault="009A6AC7" w:rsidP="000E3FDD">
      <w:pPr>
        <w:pStyle w:val="ListParagraph"/>
        <w:ind w:left="1080"/>
      </w:pPr>
      <w:r>
        <w:t>Procedure for filtration:</w:t>
      </w:r>
    </w:p>
    <w:p w:rsidR="009A6AC7" w:rsidRDefault="009A6AC7" w:rsidP="000E3FDD">
      <w:pPr>
        <w:pStyle w:val="ListParagraph"/>
        <w:ind w:left="1080"/>
      </w:pPr>
      <w:r>
        <w:t>1. Add sample (~1 mL) to the sample reservoir of the assembled ultrafiltration device.</w:t>
      </w:r>
    </w:p>
    <w:p w:rsidR="009A6AC7" w:rsidRDefault="009A6AC7" w:rsidP="000E3FDD">
      <w:pPr>
        <w:pStyle w:val="ListParagraph"/>
        <w:ind w:left="1080"/>
      </w:pPr>
      <w:r>
        <w:t xml:space="preserve">2. Place the filter in a fixed-angle rotor of a centrifuge, capable of maintaining the temperature a 25°C ±3°C.  The rotor and centrifuge must be equilibrated to 25°C before adding the filters.  </w:t>
      </w:r>
    </w:p>
    <w:p w:rsidR="009A6AC7" w:rsidRDefault="009A6AC7" w:rsidP="000E3FDD">
      <w:pPr>
        <w:pStyle w:val="ListParagraph"/>
        <w:ind w:left="1080"/>
      </w:pPr>
      <w:r>
        <w:t xml:space="preserve">3. Centrifuge at 1000-2000xg for 30 minutes at 25°C ±3°C.  AT least 220 </w:t>
      </w:r>
      <w:proofErr w:type="spellStart"/>
      <w:r>
        <w:t>uL</w:t>
      </w:r>
      <w:proofErr w:type="spellEnd"/>
      <w:r>
        <w:t xml:space="preserve"> of </w:t>
      </w:r>
      <w:proofErr w:type="spellStart"/>
      <w:r>
        <w:t>ultrafiltrate</w:t>
      </w:r>
      <w:proofErr w:type="spellEnd"/>
      <w:r>
        <w:t xml:space="preserve"> should be obtained to ensure accurate recovery.  Smaller volumes may not yield recovery of the free drug.  </w:t>
      </w:r>
    </w:p>
    <w:p w:rsidR="009A6AC7" w:rsidRDefault="009A6AC7" w:rsidP="000E3FDD">
      <w:pPr>
        <w:pStyle w:val="ListParagraph"/>
        <w:ind w:left="1080"/>
      </w:pPr>
    </w:p>
    <w:p w:rsidR="009A6AC7" w:rsidRDefault="009A6AC7" w:rsidP="000E3FDD">
      <w:pPr>
        <w:pStyle w:val="ListParagraph"/>
        <w:ind w:left="1080"/>
      </w:pPr>
      <w:proofErr w:type="spellStart"/>
      <w:r>
        <w:t>Ultrafiltrates</w:t>
      </w:r>
      <w:proofErr w:type="spellEnd"/>
      <w:r>
        <w:t xml:space="preserve"> containing free drug should be assayed immediately.</w:t>
      </w:r>
    </w:p>
    <w:p w:rsidR="000E3FDD" w:rsidRDefault="000E3FDD" w:rsidP="000326C3">
      <w:pPr>
        <w:pStyle w:val="ListParagraph"/>
        <w:ind w:left="1080"/>
      </w:pPr>
    </w:p>
    <w:p w:rsidR="000326C3" w:rsidRDefault="001A4F38" w:rsidP="000326C3">
      <w:pPr>
        <w:pStyle w:val="ListParagraph"/>
        <w:ind w:left="1080"/>
      </w:pPr>
      <w:r>
        <w:t>Refer to SW.CP.GL.jad.01</w:t>
      </w:r>
      <w:r w:rsidR="000326C3">
        <w:t>0</w:t>
      </w:r>
      <w:r w:rsidR="002B7A87">
        <w:t>1</w:t>
      </w:r>
      <w:r w:rsidR="000326C3">
        <w:t xml:space="preserve"> for sample stability.</w:t>
      </w:r>
    </w:p>
    <w:p w:rsidR="000326C3" w:rsidRPr="000326C3" w:rsidRDefault="000326C3" w:rsidP="000326C3">
      <w:pPr>
        <w:pStyle w:val="ListParagraph"/>
        <w:ind w:left="1080"/>
        <w:rPr>
          <w:b/>
        </w:rPr>
      </w:pPr>
    </w:p>
    <w:p w:rsidR="004B16BB" w:rsidRDefault="004B16BB" w:rsidP="004B16BB">
      <w:pPr>
        <w:pStyle w:val="ListParagraph"/>
        <w:numPr>
          <w:ilvl w:val="0"/>
          <w:numId w:val="1"/>
        </w:numPr>
        <w:rPr>
          <w:b/>
        </w:rPr>
      </w:pPr>
      <w:r w:rsidRPr="00B049A9">
        <w:rPr>
          <w:b/>
        </w:rPr>
        <w:t>QUALITY CONTROL</w:t>
      </w:r>
    </w:p>
    <w:p w:rsidR="000326C3" w:rsidRPr="00B049A9" w:rsidRDefault="000326C3" w:rsidP="000326C3">
      <w:pPr>
        <w:pStyle w:val="ListParagraph"/>
        <w:ind w:left="1080"/>
        <w:rPr>
          <w:b/>
        </w:rPr>
      </w:pPr>
    </w:p>
    <w:p w:rsidR="000326C3" w:rsidRPr="000326C3" w:rsidRDefault="000326C3" w:rsidP="000326C3">
      <w:pPr>
        <w:pStyle w:val="ListParagraph"/>
        <w:ind w:left="1080"/>
        <w:rPr>
          <w:b/>
          <w:sz w:val="20"/>
          <w:szCs w:val="20"/>
        </w:rPr>
      </w:pPr>
      <w:r w:rsidRPr="000326C3">
        <w:rPr>
          <w:b/>
          <w:sz w:val="20"/>
          <w:szCs w:val="20"/>
        </w:rPr>
        <w:t>QC Materials</w:t>
      </w:r>
    </w:p>
    <w:p w:rsidR="000326C3" w:rsidRPr="000326C3" w:rsidRDefault="000326C3" w:rsidP="000326C3">
      <w:pPr>
        <w:pStyle w:val="ListParagraph"/>
        <w:ind w:left="1080"/>
        <w:rPr>
          <w:rFonts w:ascii="Arial Narrow" w:hAnsi="Arial Narrow"/>
          <w:b/>
          <w:sz w:val="28"/>
        </w:rPr>
      </w:pPr>
      <w:r w:rsidRPr="0091200C">
        <w:t xml:space="preserve">Analyze quality control material as indicated on the Roche </w:t>
      </w:r>
      <w:r w:rsidR="004555CC">
        <w:t>Integra analyzer</w:t>
      </w:r>
      <w:r w:rsidR="001A4F38">
        <w:t xml:space="preserve"> set up form (SW.CP.GL.frm.01</w:t>
      </w:r>
      <w:r>
        <w:t>01).</w:t>
      </w:r>
    </w:p>
    <w:p w:rsidR="000326C3" w:rsidRPr="000326C3" w:rsidRDefault="000326C3" w:rsidP="000326C3">
      <w:pPr>
        <w:pStyle w:val="txt"/>
        <w:ind w:left="1080"/>
        <w:rPr>
          <w:rFonts w:ascii="Arial Narrow" w:hAnsi="Arial Narrow"/>
          <w:b/>
          <w:sz w:val="28"/>
        </w:rPr>
      </w:pPr>
      <w:r w:rsidRPr="000326C3">
        <w:rPr>
          <w:rFonts w:asciiTheme="minorHAnsi" w:hAnsiTheme="minorHAnsi"/>
          <w:b/>
          <w:sz w:val="20"/>
          <w:szCs w:val="20"/>
        </w:rPr>
        <w:t>QC Frequency</w:t>
      </w:r>
    </w:p>
    <w:p w:rsidR="000326C3" w:rsidRPr="004555CC" w:rsidRDefault="000326C3" w:rsidP="00A0683B">
      <w:pPr>
        <w:pStyle w:val="txt"/>
        <w:ind w:left="1080"/>
        <w:rPr>
          <w:rFonts w:asciiTheme="minorHAnsi" w:hAnsiTheme="minorHAnsi"/>
          <w:highlight w:val="cyan"/>
        </w:rPr>
      </w:pPr>
      <w:r w:rsidRPr="004555CC">
        <w:rPr>
          <w:rFonts w:asciiTheme="minorHAnsi" w:hAnsiTheme="minorHAnsi"/>
        </w:rPr>
        <w:t>Analyze quality control level and frequency as indicated on the Roche Integra analy</w:t>
      </w:r>
      <w:r w:rsidR="001A4F38" w:rsidRPr="004555CC">
        <w:rPr>
          <w:rFonts w:asciiTheme="minorHAnsi" w:hAnsiTheme="minorHAnsi"/>
        </w:rPr>
        <w:t>zer set up form (SW.CP.GL.frm.01</w:t>
      </w:r>
      <w:r w:rsidRPr="004555CC">
        <w:rPr>
          <w:rFonts w:asciiTheme="minorHAnsi" w:hAnsiTheme="minorHAnsi"/>
        </w:rPr>
        <w:t>01).</w:t>
      </w:r>
      <w:r w:rsidR="009A4964" w:rsidRPr="004555CC">
        <w:rPr>
          <w:rFonts w:asciiTheme="minorHAnsi" w:hAnsiTheme="minorHAnsi"/>
        </w:rPr>
        <w:t xml:space="preserve">  </w:t>
      </w:r>
      <w:r w:rsidRPr="004555CC">
        <w:rPr>
          <w:rFonts w:asciiTheme="minorHAnsi" w:hAnsiTheme="minorHAnsi"/>
        </w:rPr>
        <w:t>Analyze all levels of quality cont</w:t>
      </w:r>
      <w:r w:rsidR="009A4964" w:rsidRPr="004555CC">
        <w:rPr>
          <w:rFonts w:asciiTheme="minorHAnsi" w:hAnsiTheme="minorHAnsi"/>
        </w:rPr>
        <w:t xml:space="preserve">rol material </w:t>
      </w:r>
      <w:r w:rsidRPr="004555CC">
        <w:rPr>
          <w:rFonts w:asciiTheme="minorHAnsi" w:hAnsiTheme="minorHAnsi"/>
        </w:rPr>
        <w:t>each time cali</w:t>
      </w:r>
      <w:r w:rsidR="009A4964" w:rsidRPr="004555CC">
        <w:rPr>
          <w:rFonts w:asciiTheme="minorHAnsi" w:hAnsiTheme="minorHAnsi"/>
        </w:rPr>
        <w:t xml:space="preserve">bration is performed, following any major troubleshooting/service/preventative maintenance or a change to a new lot of reagent.                                                                                                                   </w:t>
      </w:r>
    </w:p>
    <w:p w:rsidR="000326C3" w:rsidRDefault="009A4964" w:rsidP="000326C3">
      <w:pPr>
        <w:pStyle w:val="txt"/>
        <w:numPr>
          <w:ilvl w:val="12"/>
          <w:numId w:val="1"/>
        </w:numPr>
        <w:ind w:left="0"/>
        <w:rPr>
          <w:rFonts w:asciiTheme="minorHAnsi" w:hAnsiTheme="minorHAnsi"/>
          <w:b/>
          <w:sz w:val="20"/>
          <w:szCs w:val="20"/>
        </w:rPr>
      </w:pPr>
      <w:r>
        <w:rPr>
          <w:rFonts w:ascii="Arial Narrow" w:hAnsi="Arial Narrow"/>
          <w:b/>
          <w:vanish/>
          <w:sz w:val="28"/>
          <w:szCs w:val="28"/>
        </w:rPr>
        <w:t xml:space="preserve"> ny major troublesintenance or aangeto a new lot ofooting/service/                            </w:t>
      </w:r>
      <w:r>
        <w:rPr>
          <w:rFonts w:ascii="Arial Narrow" w:hAnsi="Arial Narrow"/>
          <w:b/>
          <w:vanish/>
          <w:sz w:val="28"/>
          <w:szCs w:val="28"/>
        </w:rPr>
        <w:cr/>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Pr>
          <w:rFonts w:ascii="Arial Narrow" w:hAnsi="Arial Narrow"/>
          <w:b/>
          <w:vanish/>
          <w:sz w:val="28"/>
          <w:szCs w:val="28"/>
        </w:rPr>
        <w:pgNum/>
      </w:r>
      <w:r w:rsidR="00607686">
        <w:rPr>
          <w:rFonts w:ascii="Arial Narrow" w:hAnsi="Arial Narrow"/>
          <w:b/>
          <w:sz w:val="28"/>
          <w:szCs w:val="28"/>
        </w:rPr>
        <w:tab/>
        <w:t xml:space="preserve">      </w:t>
      </w:r>
      <w:r w:rsidR="000326C3" w:rsidRPr="00607686">
        <w:rPr>
          <w:rFonts w:asciiTheme="minorHAnsi" w:hAnsiTheme="minorHAnsi"/>
          <w:b/>
          <w:sz w:val="20"/>
          <w:szCs w:val="20"/>
        </w:rPr>
        <w:t>QC Procedure</w:t>
      </w:r>
    </w:p>
    <w:p w:rsidR="00947862" w:rsidRDefault="00947862" w:rsidP="00947862">
      <w:pPr>
        <w:pStyle w:val="NoSpacing"/>
        <w:ind w:left="1170"/>
      </w:pPr>
      <w:r>
        <w:t xml:space="preserve">Follow the laboratory’s QC procedure for the Roche systems to evaluate QC acceptability and troubleshooting actions. Refer to QC policy SW.CP.GL.adm.0002 and the </w:t>
      </w:r>
      <w:proofErr w:type="spellStart"/>
      <w:r>
        <w:t>BioRad</w:t>
      </w:r>
      <w:proofErr w:type="spellEnd"/>
      <w:r>
        <w:t xml:space="preserve"> Unity Real Time QC procedures.</w:t>
      </w:r>
    </w:p>
    <w:p w:rsidR="009809CA" w:rsidRPr="009809CA" w:rsidRDefault="009809CA" w:rsidP="009809CA">
      <w:pPr>
        <w:pStyle w:val="txt"/>
        <w:numPr>
          <w:ilvl w:val="12"/>
          <w:numId w:val="1"/>
        </w:numPr>
        <w:ind w:left="0"/>
        <w:rPr>
          <w:szCs w:val="22"/>
        </w:rPr>
      </w:pPr>
    </w:p>
    <w:p w:rsidR="004B16BB" w:rsidRPr="00B049A9" w:rsidRDefault="004B16BB" w:rsidP="004B16BB">
      <w:pPr>
        <w:pStyle w:val="ListParagraph"/>
        <w:numPr>
          <w:ilvl w:val="0"/>
          <w:numId w:val="1"/>
        </w:numPr>
        <w:rPr>
          <w:b/>
        </w:rPr>
      </w:pPr>
      <w:r w:rsidRPr="00B049A9">
        <w:rPr>
          <w:b/>
        </w:rPr>
        <w:t>SPECIAL SAFETY PRECAUTIONS</w:t>
      </w:r>
    </w:p>
    <w:p w:rsidR="00814379" w:rsidRPr="004555CC" w:rsidRDefault="00814379" w:rsidP="00814379">
      <w:pPr>
        <w:pStyle w:val="NcclsPara"/>
        <w:ind w:left="1170"/>
        <w:rPr>
          <w:rFonts w:asciiTheme="minorHAnsi" w:hAnsiTheme="minorHAnsi"/>
        </w:rPr>
      </w:pPr>
      <w:r w:rsidRPr="004555CC">
        <w:rPr>
          <w:rFonts w:asciiTheme="minorHAnsi" w:hAnsiTheme="minorHAnsi"/>
        </w:rPr>
        <w:t>Exercise the normal precautions required for handling all laboratory reagents and biohazardous patient samples.  Refer to Safety data sheets.</w:t>
      </w:r>
    </w:p>
    <w:p w:rsidR="00607686" w:rsidRDefault="00814379" w:rsidP="00D91237">
      <w:pPr>
        <w:pStyle w:val="NcclsPara"/>
        <w:spacing w:after="0" w:afterAutospacing="0"/>
        <w:ind w:left="1170"/>
        <w:rPr>
          <w:rFonts w:asciiTheme="minorHAnsi" w:hAnsiTheme="minorHAnsi"/>
        </w:rPr>
      </w:pPr>
      <w:r w:rsidRPr="004555CC">
        <w:rPr>
          <w:rFonts w:asciiTheme="minorHAnsi" w:hAnsiTheme="minorHAnsi"/>
        </w:rPr>
        <w:t>Disposal of all waste material should be in accordance with local guidelines.</w:t>
      </w:r>
    </w:p>
    <w:p w:rsidR="00D91237" w:rsidRDefault="00D91237" w:rsidP="00D91237">
      <w:pPr>
        <w:pStyle w:val="NoSpacing"/>
        <w:ind w:left="1170"/>
      </w:pPr>
      <w:r>
        <w:t>Refer to Safety procedure SW.CP.GL.adm.0005</w:t>
      </w:r>
    </w:p>
    <w:p w:rsidR="00D91237" w:rsidRPr="004555CC" w:rsidRDefault="00D91237" w:rsidP="00D91237">
      <w:pPr>
        <w:pStyle w:val="NoSpacing"/>
        <w:ind w:left="1170"/>
      </w:pPr>
    </w:p>
    <w:p w:rsidR="004B16BB" w:rsidRPr="00B049A9" w:rsidRDefault="004B16BB" w:rsidP="004B16BB">
      <w:pPr>
        <w:pStyle w:val="ListParagraph"/>
        <w:numPr>
          <w:ilvl w:val="0"/>
          <w:numId w:val="1"/>
        </w:numPr>
        <w:rPr>
          <w:b/>
        </w:rPr>
      </w:pPr>
      <w:r w:rsidRPr="00B049A9">
        <w:rPr>
          <w:b/>
        </w:rPr>
        <w:t>MATERIALS</w:t>
      </w:r>
    </w:p>
    <w:p w:rsidR="00601380" w:rsidRDefault="004B16BB" w:rsidP="00BD0B01">
      <w:pPr>
        <w:pStyle w:val="ListParagraph"/>
        <w:numPr>
          <w:ilvl w:val="0"/>
          <w:numId w:val="2"/>
        </w:numPr>
      </w:pPr>
      <w:r>
        <w:t>Equipment</w:t>
      </w:r>
    </w:p>
    <w:p w:rsidR="004B16BB" w:rsidRDefault="00BD0B01" w:rsidP="002E60A3">
      <w:pPr>
        <w:pStyle w:val="ListParagraph"/>
        <w:ind w:left="1440" w:firstLine="720"/>
      </w:pPr>
      <w:r>
        <w:t xml:space="preserve">Roche </w:t>
      </w:r>
      <w:r w:rsidR="002E60A3">
        <w:t>Integra 400 PLUS</w:t>
      </w:r>
      <w:r w:rsidR="00A0683B">
        <w:t xml:space="preserve"> </w:t>
      </w:r>
      <w:r>
        <w:t>analyzer</w:t>
      </w:r>
    </w:p>
    <w:p w:rsidR="002E60A3" w:rsidRDefault="002E60A3" w:rsidP="00601380">
      <w:pPr>
        <w:pStyle w:val="ListParagraph"/>
        <w:ind w:left="1440" w:firstLine="720"/>
      </w:pPr>
      <w:r>
        <w:t xml:space="preserve">Data </w:t>
      </w:r>
      <w:r w:rsidR="00A0683B">
        <w:t>Innovations Middleware</w:t>
      </w:r>
    </w:p>
    <w:p w:rsidR="00A0683B" w:rsidRDefault="00A0683B" w:rsidP="00601380">
      <w:pPr>
        <w:pStyle w:val="ListParagraph"/>
        <w:ind w:left="1440" w:firstLine="720"/>
      </w:pPr>
      <w:proofErr w:type="spellStart"/>
      <w:r>
        <w:t>BioRad</w:t>
      </w:r>
      <w:proofErr w:type="spellEnd"/>
      <w:r>
        <w:t xml:space="preserve"> Unity Real Time QC </w:t>
      </w:r>
      <w:r w:rsidR="00AA16D9">
        <w:t>Application</w:t>
      </w:r>
    </w:p>
    <w:p w:rsidR="009A6AC7" w:rsidRDefault="009A6AC7" w:rsidP="00601380">
      <w:pPr>
        <w:pStyle w:val="ListParagraph"/>
        <w:ind w:left="1440" w:firstLine="720"/>
      </w:pPr>
      <w:proofErr w:type="spellStart"/>
      <w:r>
        <w:t>Hettich</w:t>
      </w:r>
      <w:proofErr w:type="spellEnd"/>
      <w:r>
        <w:t xml:space="preserve"> EBA 21 centrifuge</w:t>
      </w:r>
    </w:p>
    <w:p w:rsidR="002E60A3" w:rsidRDefault="004B16BB" w:rsidP="002E60A3">
      <w:pPr>
        <w:pStyle w:val="ListParagraph"/>
        <w:numPr>
          <w:ilvl w:val="0"/>
          <w:numId w:val="2"/>
        </w:numPr>
      </w:pPr>
      <w:r>
        <w:t>Supplies</w:t>
      </w:r>
    </w:p>
    <w:p w:rsidR="009809CA" w:rsidRDefault="00601380" w:rsidP="002E60A3">
      <w:pPr>
        <w:pStyle w:val="ListParagraph"/>
        <w:ind w:left="2160"/>
      </w:pPr>
      <w:r>
        <w:t>Roche Sample cups</w:t>
      </w:r>
    </w:p>
    <w:p w:rsidR="00601380" w:rsidRDefault="00601380" w:rsidP="00601380">
      <w:pPr>
        <w:pStyle w:val="ListParagraph"/>
        <w:ind w:left="2160"/>
      </w:pPr>
      <w:r>
        <w:t>Falcon tubes</w:t>
      </w:r>
    </w:p>
    <w:p w:rsidR="00375408" w:rsidRDefault="00A0683B" w:rsidP="00601380">
      <w:pPr>
        <w:pStyle w:val="ListParagraph"/>
        <w:ind w:left="2160"/>
      </w:pPr>
      <w:r>
        <w:t>P</w:t>
      </w:r>
      <w:r w:rsidR="00375408">
        <w:t>ipets</w:t>
      </w:r>
    </w:p>
    <w:p w:rsidR="00375408" w:rsidRDefault="00A0683B" w:rsidP="00601380">
      <w:pPr>
        <w:pStyle w:val="ListParagraph"/>
        <w:ind w:left="2160"/>
      </w:pPr>
      <w:r>
        <w:t>P</w:t>
      </w:r>
      <w:r w:rsidR="00375408">
        <w:t>ipet tips</w:t>
      </w:r>
    </w:p>
    <w:p w:rsidR="009249E0" w:rsidRDefault="009249E0" w:rsidP="00601380">
      <w:pPr>
        <w:pStyle w:val="ListParagraph"/>
        <w:ind w:left="2160"/>
      </w:pPr>
      <w:r>
        <w:t>Serum Filters for ultrafiltration (Cat. No. 21986643 122)</w:t>
      </w:r>
    </w:p>
    <w:p w:rsidR="009809CA" w:rsidRDefault="004B16BB" w:rsidP="009809CA">
      <w:pPr>
        <w:pStyle w:val="ListParagraph"/>
        <w:numPr>
          <w:ilvl w:val="0"/>
          <w:numId w:val="2"/>
        </w:numPr>
      </w:pPr>
      <w:r>
        <w:t>Reagents</w:t>
      </w:r>
    </w:p>
    <w:p w:rsidR="002D3CF1" w:rsidRDefault="005F493C" w:rsidP="002D3CF1">
      <w:pPr>
        <w:pStyle w:val="ListParagraph"/>
        <w:ind w:left="1440" w:firstLine="720"/>
      </w:pPr>
      <w:r>
        <w:t>PHNY</w:t>
      </w:r>
      <w:r w:rsidR="009809CA">
        <w:t xml:space="preserve"> reagent (order # </w:t>
      </w:r>
      <w:r>
        <w:t>20737879</w:t>
      </w:r>
      <w:r w:rsidR="009249E0">
        <w:t xml:space="preserve"> 322</w:t>
      </w:r>
      <w:r w:rsidR="009809CA">
        <w:t>)-ready for use</w:t>
      </w:r>
    </w:p>
    <w:p w:rsidR="002D3CF1" w:rsidRDefault="002D3CF1" w:rsidP="002D3CF1">
      <w:pPr>
        <w:pStyle w:val="ListParagraph"/>
        <w:ind w:left="1440" w:firstLine="720"/>
        <w:rPr>
          <w:b/>
          <w:lang w:val="es-ES"/>
        </w:rPr>
      </w:pPr>
      <w:r w:rsidRPr="00814379">
        <w:rPr>
          <w:b/>
          <w:lang w:val="es-ES"/>
        </w:rPr>
        <w:t>R1</w:t>
      </w:r>
      <w:r>
        <w:rPr>
          <w:lang w:val="es-ES"/>
        </w:rPr>
        <w:t xml:space="preserve"> </w:t>
      </w:r>
      <w:proofErr w:type="spellStart"/>
      <w:r w:rsidR="009249E0">
        <w:rPr>
          <w:lang w:val="es-ES"/>
        </w:rPr>
        <w:t>Antibogy</w:t>
      </w:r>
      <w:proofErr w:type="spellEnd"/>
      <w:r w:rsidRPr="00814379">
        <w:rPr>
          <w:lang w:val="es-ES"/>
        </w:rPr>
        <w:t xml:space="preserve"> </w:t>
      </w:r>
      <w:proofErr w:type="spellStart"/>
      <w:r w:rsidRPr="00814379">
        <w:rPr>
          <w:lang w:val="es-ES"/>
        </w:rPr>
        <w:t>reagent</w:t>
      </w:r>
      <w:proofErr w:type="spellEnd"/>
    </w:p>
    <w:p w:rsidR="00A0683B" w:rsidRDefault="009249E0" w:rsidP="00A0683B">
      <w:pPr>
        <w:pStyle w:val="ListParagraph"/>
        <w:ind w:left="1440" w:firstLine="720"/>
        <w:rPr>
          <w:lang w:val="es-ES"/>
        </w:rPr>
      </w:pPr>
      <w:r>
        <w:rPr>
          <w:lang w:val="es-ES"/>
        </w:rPr>
        <w:t>Anti-</w:t>
      </w:r>
      <w:proofErr w:type="spellStart"/>
      <w:r w:rsidR="005F493C">
        <w:rPr>
          <w:lang w:val="es-ES"/>
        </w:rPr>
        <w:t>phenytonin</w:t>
      </w:r>
      <w:proofErr w:type="spellEnd"/>
      <w:r>
        <w:rPr>
          <w:lang w:val="es-ES"/>
        </w:rPr>
        <w:t xml:space="preserve"> monoclonal </w:t>
      </w:r>
      <w:proofErr w:type="spellStart"/>
      <w:r>
        <w:rPr>
          <w:lang w:val="es-ES"/>
        </w:rPr>
        <w:t>antibody</w:t>
      </w:r>
      <w:proofErr w:type="spellEnd"/>
      <w:r>
        <w:rPr>
          <w:lang w:val="es-ES"/>
        </w:rPr>
        <w:t xml:space="preserve"> (mouse) in buffer, pH </w:t>
      </w:r>
      <w:r w:rsidR="005F493C">
        <w:rPr>
          <w:lang w:val="es-ES"/>
        </w:rPr>
        <w:t>6</w:t>
      </w:r>
      <w:r>
        <w:rPr>
          <w:lang w:val="es-ES"/>
        </w:rPr>
        <w:t>.5</w:t>
      </w:r>
    </w:p>
    <w:p w:rsidR="00A0683B" w:rsidRDefault="009249E0" w:rsidP="00A0683B">
      <w:pPr>
        <w:pStyle w:val="ListParagraph"/>
        <w:ind w:left="1440" w:firstLine="720"/>
      </w:pPr>
      <w:r>
        <w:rPr>
          <w:b/>
        </w:rPr>
        <w:lastRenderedPageBreak/>
        <w:t>SR</w:t>
      </w:r>
      <w:r w:rsidR="002D3CF1">
        <w:t xml:space="preserve"> </w:t>
      </w:r>
      <w:r>
        <w:t>Tracer</w:t>
      </w:r>
      <w:r w:rsidR="002D3CF1">
        <w:t xml:space="preserve"> reagent </w:t>
      </w:r>
    </w:p>
    <w:p w:rsidR="00A0683B" w:rsidRDefault="009249E0" w:rsidP="00A0683B">
      <w:pPr>
        <w:pStyle w:val="ListParagraph"/>
        <w:ind w:left="1440" w:firstLine="720"/>
      </w:pPr>
      <w:proofErr w:type="gramStart"/>
      <w:r>
        <w:t xml:space="preserve">Fluorescein-labeled </w:t>
      </w:r>
      <w:proofErr w:type="spellStart"/>
      <w:r>
        <w:t>valproic</w:t>
      </w:r>
      <w:proofErr w:type="spellEnd"/>
      <w:r>
        <w:t xml:space="preserve"> acid derivative in buffer, pH 7.5.</w:t>
      </w:r>
      <w:proofErr w:type="gramEnd"/>
    </w:p>
    <w:p w:rsidR="002D3CF1" w:rsidRDefault="002D3CF1" w:rsidP="00A0683B">
      <w:pPr>
        <w:pStyle w:val="ListParagraph"/>
        <w:ind w:left="1440" w:firstLine="720"/>
      </w:pPr>
      <w:r>
        <w:t>R1 is in</w:t>
      </w:r>
      <w:r w:rsidR="009249E0">
        <w:t xml:space="preserve"> position B and SR is in position C</w:t>
      </w:r>
      <w:r>
        <w:t>.</w:t>
      </w:r>
    </w:p>
    <w:p w:rsidR="002D3CF1" w:rsidRDefault="002D3CF1" w:rsidP="002D3CF1">
      <w:pPr>
        <w:pStyle w:val="NcclsPara"/>
        <w:ind w:left="1440" w:firstLine="720"/>
      </w:pPr>
      <w:r>
        <w:t>Shelf life at 2-8 °C</w:t>
      </w:r>
    </w:p>
    <w:p w:rsidR="002D3CF1" w:rsidRDefault="002D3CF1" w:rsidP="002D3CF1">
      <w:pPr>
        <w:pStyle w:val="NcclsPara"/>
        <w:ind w:left="1440" w:firstLine="720"/>
      </w:pPr>
      <w:r>
        <w:t xml:space="preserve">See expiration date on </w:t>
      </w:r>
      <w:proofErr w:type="spellStart"/>
      <w:r w:rsidRPr="00AA16D9">
        <w:t>cobas</w:t>
      </w:r>
      <w:proofErr w:type="spellEnd"/>
      <w:r w:rsidRPr="00AA16D9">
        <w:t xml:space="preserve"> c</w:t>
      </w:r>
      <w:r>
        <w:t xml:space="preserve"> pack label</w:t>
      </w:r>
    </w:p>
    <w:p w:rsidR="009809CA" w:rsidRDefault="009809CA" w:rsidP="002D3CF1">
      <w:pPr>
        <w:pStyle w:val="NcclsPara"/>
        <w:ind w:left="1440" w:firstLine="720"/>
      </w:pPr>
      <w:r>
        <w:t>On-board in use at 10-15</w:t>
      </w:r>
      <w:r>
        <w:rPr>
          <w:rFonts w:ascii="Symbol" w:hAnsi="Symbol"/>
        </w:rPr>
        <w:sym w:font="Symbol" w:char="F0B0"/>
      </w:r>
      <w:r>
        <w:t>C-stable for 12 weeks</w:t>
      </w:r>
    </w:p>
    <w:p w:rsidR="001240F8" w:rsidRDefault="002D3CF1" w:rsidP="00A0683B">
      <w:pPr>
        <w:pStyle w:val="NcclsPara"/>
        <w:ind w:left="1440" w:firstLine="720"/>
      </w:pPr>
      <w:r>
        <w:t xml:space="preserve">The on-board in use stability period begins at the time of </w:t>
      </w:r>
      <w:proofErr w:type="spellStart"/>
      <w:r w:rsidRPr="00AA16D9">
        <w:t>cobas</w:t>
      </w:r>
      <w:proofErr w:type="spellEnd"/>
      <w:r w:rsidRPr="00AA16D9">
        <w:t> c</w:t>
      </w:r>
      <w:r>
        <w:t xml:space="preserve"> pack puncture.</w:t>
      </w:r>
    </w:p>
    <w:p w:rsidR="001240F8" w:rsidRDefault="00A344FC" w:rsidP="001240F8">
      <w:pPr>
        <w:pStyle w:val="NcclsPara"/>
        <w:numPr>
          <w:ilvl w:val="0"/>
          <w:numId w:val="2"/>
        </w:numPr>
      </w:pPr>
      <w:r>
        <w:t>Calibrator</w:t>
      </w:r>
    </w:p>
    <w:p w:rsidR="009809CA" w:rsidRDefault="00792DBA" w:rsidP="00792DBA">
      <w:pPr>
        <w:pStyle w:val="NcclsPara"/>
        <w:ind w:left="2160"/>
      </w:pPr>
      <w:r>
        <w:t xml:space="preserve">COBAS FP Free </w:t>
      </w:r>
      <w:proofErr w:type="spellStart"/>
      <w:r w:rsidR="00F5450A">
        <w:t>Phenytonin</w:t>
      </w:r>
      <w:proofErr w:type="spellEnd"/>
      <w:r w:rsidR="009809CA">
        <w:t xml:space="preserve"> Calibrator (order # </w:t>
      </w:r>
      <w:r w:rsidR="00F5450A">
        <w:t>20759015</w:t>
      </w:r>
      <w:r>
        <w:t xml:space="preserve"> 322</w:t>
      </w:r>
      <w:r w:rsidR="009809CA">
        <w:t>)-</w:t>
      </w:r>
      <w:r w:rsidR="001240F8">
        <w:t>A</w:t>
      </w:r>
      <w:r>
        <w:t xml:space="preserve"> (1</w:t>
      </w:r>
      <w:r w:rsidR="001240F8">
        <w:t xml:space="preserve"> x 3</w:t>
      </w:r>
      <w:r w:rsidR="00F5450A">
        <w:t>.5</w:t>
      </w:r>
      <w:r w:rsidR="001240F8">
        <w:t xml:space="preserve"> mL)</w:t>
      </w:r>
      <w:r>
        <w:t xml:space="preserve"> B-F (5 x 1 x 1.5mL)</w:t>
      </w:r>
    </w:p>
    <w:p w:rsidR="001240F8" w:rsidRDefault="001240F8" w:rsidP="001240F8">
      <w:pPr>
        <w:pStyle w:val="NcclsPara"/>
        <w:ind w:left="1440" w:firstLine="720"/>
      </w:pPr>
    </w:p>
    <w:tbl>
      <w:tblPr>
        <w:tblpPr w:leftFromText="180" w:rightFromText="180" w:vertAnchor="text" w:horzAnchor="margin" w:tblpXSpec="right" w:tblpY="-94"/>
        <w:tblW w:w="3627" w:type="pct"/>
        <w:tblLook w:val="04A0" w:firstRow="1" w:lastRow="0" w:firstColumn="1" w:lastColumn="0" w:noHBand="0" w:noVBand="1"/>
      </w:tblPr>
      <w:tblGrid>
        <w:gridCol w:w="3256"/>
        <w:gridCol w:w="3690"/>
      </w:tblGrid>
      <w:tr w:rsidR="00375408" w:rsidTr="00375408">
        <w:trPr>
          <w:cantSplit/>
          <w:trHeight w:val="288"/>
        </w:trPr>
        <w:tc>
          <w:tcPr>
            <w:tcW w:w="2344" w:type="pct"/>
            <w:hideMark/>
          </w:tcPr>
          <w:p w:rsidR="00375408" w:rsidRDefault="00375408" w:rsidP="00375408">
            <w:pPr>
              <w:pStyle w:val="NcclsPara"/>
              <w:spacing w:before="20" w:beforeAutospacing="0" w:after="20" w:afterAutospacing="0"/>
            </w:pPr>
            <w:r>
              <w:t>Calibration mode</w:t>
            </w:r>
          </w:p>
        </w:tc>
        <w:tc>
          <w:tcPr>
            <w:tcW w:w="2656" w:type="pct"/>
            <w:hideMark/>
          </w:tcPr>
          <w:p w:rsidR="00375408" w:rsidRDefault="00792DBA" w:rsidP="00792DBA">
            <w:pPr>
              <w:pStyle w:val="NcclsPara"/>
              <w:spacing w:before="20" w:beforeAutospacing="0" w:after="20" w:afterAutospacing="0"/>
            </w:pPr>
            <w:r>
              <w:t>Exponential 5</w:t>
            </w:r>
          </w:p>
        </w:tc>
      </w:tr>
      <w:tr w:rsidR="00375408" w:rsidTr="00375408">
        <w:trPr>
          <w:cantSplit/>
          <w:trHeight w:val="288"/>
        </w:trPr>
        <w:tc>
          <w:tcPr>
            <w:tcW w:w="2344" w:type="pct"/>
            <w:hideMark/>
          </w:tcPr>
          <w:p w:rsidR="00375408" w:rsidRDefault="00375408" w:rsidP="00375408">
            <w:pPr>
              <w:pStyle w:val="NcclsPara"/>
              <w:spacing w:before="20" w:beforeAutospacing="0" w:after="20" w:afterAutospacing="0"/>
            </w:pPr>
            <w:r>
              <w:t>Calibration replicate</w:t>
            </w:r>
          </w:p>
        </w:tc>
        <w:tc>
          <w:tcPr>
            <w:tcW w:w="2656" w:type="pct"/>
            <w:hideMark/>
          </w:tcPr>
          <w:p w:rsidR="00375408" w:rsidRDefault="00375408" w:rsidP="00375408">
            <w:pPr>
              <w:pStyle w:val="NcclsPara"/>
              <w:spacing w:before="20" w:beforeAutospacing="0" w:after="20" w:afterAutospacing="0"/>
            </w:pPr>
            <w:r>
              <w:t>Duplicate recommended</w:t>
            </w:r>
          </w:p>
        </w:tc>
      </w:tr>
      <w:tr w:rsidR="00375408" w:rsidTr="00375408">
        <w:trPr>
          <w:cantSplit/>
          <w:trHeight w:val="384"/>
        </w:trPr>
        <w:tc>
          <w:tcPr>
            <w:tcW w:w="2344" w:type="pct"/>
            <w:hideMark/>
          </w:tcPr>
          <w:p w:rsidR="00375408" w:rsidRDefault="00375408" w:rsidP="00375408">
            <w:pPr>
              <w:pStyle w:val="NcclsPara"/>
              <w:spacing w:before="20" w:beforeAutospacing="0" w:after="20" w:afterAutospacing="0"/>
            </w:pPr>
            <w:r>
              <w:t>Calibration interval</w:t>
            </w:r>
          </w:p>
        </w:tc>
        <w:tc>
          <w:tcPr>
            <w:tcW w:w="2656" w:type="pct"/>
          </w:tcPr>
          <w:p w:rsidR="00375408" w:rsidRPr="00A344FC" w:rsidRDefault="00792DBA" w:rsidP="00F5450A">
            <w:pPr>
              <w:spacing w:after="0" w:line="240" w:lineRule="auto"/>
              <w:rPr>
                <w:rFonts w:ascii="Times New Roman" w:hAnsi="Times New Roman" w:cs="Times New Roman"/>
              </w:rPr>
            </w:pPr>
            <w:r>
              <w:rPr>
                <w:rFonts w:ascii="Times New Roman" w:hAnsi="Times New Roman" w:cs="Times New Roman"/>
              </w:rPr>
              <w:t>Each lot</w:t>
            </w:r>
            <w:r w:rsidR="00375408" w:rsidRPr="00A344FC">
              <w:rPr>
                <w:rFonts w:ascii="Times New Roman" w:hAnsi="Times New Roman" w:cs="Times New Roman"/>
              </w:rPr>
              <w:t xml:space="preserve">, every </w:t>
            </w:r>
            <w:r w:rsidR="00F5450A">
              <w:rPr>
                <w:rFonts w:ascii="Times New Roman" w:hAnsi="Times New Roman" w:cs="Times New Roman"/>
              </w:rPr>
              <w:t>20</w:t>
            </w:r>
            <w:r w:rsidR="00375408" w:rsidRPr="00A344FC">
              <w:rPr>
                <w:rFonts w:ascii="Times New Roman" w:hAnsi="Times New Roman" w:cs="Times New Roman"/>
              </w:rPr>
              <w:t xml:space="preserve"> weeks, and as required following quality control procedures</w:t>
            </w:r>
          </w:p>
        </w:tc>
      </w:tr>
    </w:tbl>
    <w:p w:rsidR="001240F8" w:rsidRDefault="001240F8" w:rsidP="001240F8">
      <w:pPr>
        <w:pStyle w:val="NcclsPara"/>
        <w:ind w:left="1440" w:firstLine="720"/>
      </w:pPr>
    </w:p>
    <w:p w:rsidR="001240F8" w:rsidRDefault="001240F8" w:rsidP="001240F8">
      <w:pPr>
        <w:pStyle w:val="NcclsPara"/>
        <w:ind w:left="1440" w:firstLine="720"/>
      </w:pPr>
    </w:p>
    <w:p w:rsidR="001240F8" w:rsidRDefault="001240F8" w:rsidP="001240F8">
      <w:pPr>
        <w:pStyle w:val="NcclsPara"/>
        <w:ind w:left="1440" w:firstLine="720"/>
      </w:pPr>
    </w:p>
    <w:p w:rsidR="001240F8" w:rsidRDefault="001240F8" w:rsidP="001240F8">
      <w:pPr>
        <w:pStyle w:val="NcclsPara"/>
        <w:ind w:left="1440" w:firstLine="720"/>
      </w:pPr>
    </w:p>
    <w:p w:rsidR="001240F8" w:rsidRDefault="001240F8" w:rsidP="001240F8">
      <w:pPr>
        <w:pStyle w:val="NcclsPara"/>
        <w:ind w:left="1440" w:firstLine="720"/>
      </w:pPr>
    </w:p>
    <w:p w:rsidR="001240F8" w:rsidRDefault="001240F8" w:rsidP="001240F8">
      <w:pPr>
        <w:pStyle w:val="NcclsPara"/>
        <w:ind w:left="1440" w:firstLine="720"/>
      </w:pPr>
    </w:p>
    <w:p w:rsidR="00A344FC" w:rsidRDefault="00A344FC" w:rsidP="00A344FC">
      <w:pPr>
        <w:pStyle w:val="NcclsPara"/>
        <w:ind w:left="2160"/>
      </w:pPr>
      <w:r>
        <w:t xml:space="preserve">A calibration curve must be prepared using the COBAS </w:t>
      </w:r>
      <w:r w:rsidR="00792DBA">
        <w:t xml:space="preserve">FP Free </w:t>
      </w:r>
      <w:proofErr w:type="spellStart"/>
      <w:r w:rsidR="00F5450A">
        <w:t>Phenytonin</w:t>
      </w:r>
      <w:proofErr w:type="spellEnd"/>
      <w:r w:rsidR="00792DBA">
        <w:t xml:space="preserve"> Calibrators.  </w:t>
      </w:r>
      <w:r>
        <w:t xml:space="preserve">Calibrators must be placed </w:t>
      </w:r>
      <w:r w:rsidR="00792DBA">
        <w:t>from the higher concentration (F</w:t>
      </w:r>
      <w:r>
        <w:t>) first, to the lower (A) last, on the CAL/QC rack. This curve is retained in memory by the COBAS INTEGRA systems and recalled for later use.</w:t>
      </w:r>
    </w:p>
    <w:p w:rsidR="00A344FC" w:rsidRDefault="00A344FC" w:rsidP="00A344FC">
      <w:pPr>
        <w:pStyle w:val="NcclsPara"/>
        <w:ind w:left="2160"/>
      </w:pPr>
    </w:p>
    <w:p w:rsidR="00A344FC" w:rsidRDefault="00A344FC" w:rsidP="00A344FC">
      <w:pPr>
        <w:pStyle w:val="NcclsPara"/>
        <w:ind w:left="2160"/>
      </w:pPr>
      <w:r>
        <w:t xml:space="preserve">Traceability: The COBAS </w:t>
      </w:r>
      <w:r w:rsidR="00792DBA">
        <w:t xml:space="preserve">FP Free </w:t>
      </w:r>
      <w:proofErr w:type="spellStart"/>
      <w:r w:rsidR="00F5450A">
        <w:t>Phenytonin</w:t>
      </w:r>
      <w:proofErr w:type="spellEnd"/>
      <w:r>
        <w:t xml:space="preserve"> calibrators are prepared</w:t>
      </w:r>
      <w:r w:rsidR="00792DBA">
        <w:t xml:space="preserve"> to contain known quantities of </w:t>
      </w:r>
      <w:proofErr w:type="spellStart"/>
      <w:r w:rsidR="00792DBA">
        <w:t>valproic</w:t>
      </w:r>
      <w:proofErr w:type="spellEnd"/>
      <w:r w:rsidR="00792DBA">
        <w:t xml:space="preserve"> acid</w:t>
      </w:r>
      <w:r>
        <w:t xml:space="preserve"> in </w:t>
      </w:r>
      <w:r w:rsidR="00792DBA">
        <w:t xml:space="preserve">normal human serum </w:t>
      </w:r>
      <w:r>
        <w:t>and are traceable to USP reference materials.</w:t>
      </w:r>
    </w:p>
    <w:p w:rsidR="001240F8" w:rsidRDefault="001240F8" w:rsidP="001240F8">
      <w:pPr>
        <w:pStyle w:val="NcclsPara"/>
        <w:ind w:left="1440" w:firstLine="720"/>
      </w:pPr>
    </w:p>
    <w:p w:rsidR="00A344FC" w:rsidRDefault="00A344FC" w:rsidP="00A344FC">
      <w:pPr>
        <w:pStyle w:val="NcclsPara"/>
        <w:ind w:left="2160"/>
      </w:pPr>
      <w:r>
        <w:t>Calibrators should be assayed within 2 hours after placing on-board the instrument.</w:t>
      </w:r>
    </w:p>
    <w:p w:rsidR="004B16BB" w:rsidRPr="00B049A9" w:rsidRDefault="004B16BB" w:rsidP="004B16BB">
      <w:pPr>
        <w:pStyle w:val="ListParagraph"/>
        <w:numPr>
          <w:ilvl w:val="0"/>
          <w:numId w:val="1"/>
        </w:numPr>
        <w:rPr>
          <w:b/>
        </w:rPr>
      </w:pPr>
      <w:r w:rsidRPr="00B049A9">
        <w:rPr>
          <w:b/>
        </w:rPr>
        <w:t>PROCEDURE</w:t>
      </w:r>
    </w:p>
    <w:p w:rsidR="004B16BB" w:rsidRDefault="007D6836" w:rsidP="004B16BB">
      <w:pPr>
        <w:pStyle w:val="ListParagraph"/>
        <w:ind w:left="1080"/>
      </w:pPr>
      <w:r>
        <w:t>Refer to general</w:t>
      </w:r>
      <w:r w:rsidR="00D36B38">
        <w:t xml:space="preserve"> Integra 400 PLUS</w:t>
      </w:r>
      <w:r>
        <w:t xml:space="preserve"> analyzer </w:t>
      </w:r>
      <w:r w:rsidR="001A4F38">
        <w:t>operating procedure SW.CP.GL.lab</w:t>
      </w:r>
      <w:r>
        <w:t>.</w:t>
      </w:r>
      <w:r w:rsidR="00AA16D9">
        <w:t>0101</w:t>
      </w:r>
    </w:p>
    <w:p w:rsidR="002D3CF1" w:rsidRDefault="002D3CF1" w:rsidP="004B16BB">
      <w:pPr>
        <w:pStyle w:val="ListParagraph"/>
        <w:ind w:left="1080"/>
      </w:pPr>
      <w:r>
        <w:t>Test Definition:</w:t>
      </w:r>
    </w:p>
    <w:tbl>
      <w:tblPr>
        <w:tblpPr w:leftFromText="180" w:rightFromText="180" w:vertAnchor="text" w:horzAnchor="page" w:tblpX="2503" w:tblpY="117"/>
        <w:tblW w:w="3172" w:type="pct"/>
        <w:tblLook w:val="04A0" w:firstRow="1" w:lastRow="0" w:firstColumn="1" w:lastColumn="0" w:noHBand="0" w:noVBand="1"/>
      </w:tblPr>
      <w:tblGrid>
        <w:gridCol w:w="2835"/>
        <w:gridCol w:w="3240"/>
      </w:tblGrid>
      <w:tr w:rsidR="00486DB6" w:rsidRPr="004555CC" w:rsidTr="00486DB6">
        <w:trPr>
          <w:cantSplit/>
          <w:trHeight w:val="66"/>
        </w:trPr>
        <w:tc>
          <w:tcPr>
            <w:tcW w:w="2333"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Measuring mode</w:t>
            </w:r>
          </w:p>
        </w:tc>
        <w:tc>
          <w:tcPr>
            <w:tcW w:w="2667" w:type="pct"/>
            <w:hideMark/>
          </w:tcPr>
          <w:p w:rsidR="00486DB6" w:rsidRPr="004555CC" w:rsidRDefault="00792DBA" w:rsidP="00486DB6">
            <w:pPr>
              <w:pStyle w:val="NcclsPara"/>
              <w:spacing w:before="20" w:beforeAutospacing="0" w:after="20" w:afterAutospacing="0"/>
              <w:rPr>
                <w:rFonts w:asciiTheme="minorHAnsi" w:hAnsiTheme="minorHAnsi"/>
              </w:rPr>
            </w:pPr>
            <w:r>
              <w:rPr>
                <w:rFonts w:asciiTheme="minorHAnsi" w:hAnsiTheme="minorHAnsi"/>
              </w:rPr>
              <w:t>FP</w:t>
            </w:r>
          </w:p>
        </w:tc>
      </w:tr>
      <w:tr w:rsidR="00486DB6" w:rsidRPr="004555CC" w:rsidTr="00486DB6">
        <w:trPr>
          <w:cantSplit/>
          <w:trHeight w:val="63"/>
        </w:trPr>
        <w:tc>
          <w:tcPr>
            <w:tcW w:w="2333"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Reaction mode</w:t>
            </w:r>
          </w:p>
        </w:tc>
        <w:tc>
          <w:tcPr>
            <w:tcW w:w="2667" w:type="pct"/>
            <w:hideMark/>
          </w:tcPr>
          <w:p w:rsidR="00486DB6" w:rsidRPr="004555CC" w:rsidRDefault="00486DB6" w:rsidP="00792DBA">
            <w:pPr>
              <w:pStyle w:val="NcclsPara"/>
              <w:spacing w:before="20" w:beforeAutospacing="0" w:after="20" w:afterAutospacing="0"/>
              <w:rPr>
                <w:rFonts w:asciiTheme="minorHAnsi" w:hAnsiTheme="minorHAnsi"/>
              </w:rPr>
            </w:pPr>
            <w:r w:rsidRPr="004555CC">
              <w:rPr>
                <w:rFonts w:asciiTheme="minorHAnsi" w:hAnsiTheme="minorHAnsi"/>
              </w:rPr>
              <w:t>R1</w:t>
            </w:r>
            <w:r w:rsidR="00792DBA">
              <w:rPr>
                <w:rFonts w:asciiTheme="minorHAnsi" w:hAnsiTheme="minorHAnsi"/>
              </w:rPr>
              <w:t>-SDR2/S-SR</w:t>
            </w:r>
          </w:p>
        </w:tc>
      </w:tr>
      <w:tr w:rsidR="00486DB6" w:rsidRPr="004555CC" w:rsidTr="00486DB6">
        <w:trPr>
          <w:cantSplit/>
          <w:trHeight w:val="63"/>
        </w:trPr>
        <w:tc>
          <w:tcPr>
            <w:tcW w:w="2333"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Reaction direction</w:t>
            </w:r>
          </w:p>
        </w:tc>
        <w:tc>
          <w:tcPr>
            <w:tcW w:w="2667"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Increase</w:t>
            </w:r>
          </w:p>
        </w:tc>
      </w:tr>
      <w:tr w:rsidR="00486DB6" w:rsidRPr="004555CC" w:rsidTr="00486DB6">
        <w:trPr>
          <w:cantSplit/>
          <w:trHeight w:val="63"/>
        </w:trPr>
        <w:tc>
          <w:tcPr>
            <w:tcW w:w="2333"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Wavelength A</w:t>
            </w:r>
          </w:p>
        </w:tc>
        <w:tc>
          <w:tcPr>
            <w:tcW w:w="2667" w:type="pct"/>
            <w:hideMark/>
          </w:tcPr>
          <w:p w:rsidR="00486DB6" w:rsidRPr="004555CC" w:rsidRDefault="00792DBA" w:rsidP="00486DB6">
            <w:pPr>
              <w:pStyle w:val="NcclsPara"/>
              <w:spacing w:before="20" w:beforeAutospacing="0" w:after="20" w:afterAutospacing="0"/>
              <w:rPr>
                <w:rFonts w:asciiTheme="minorHAnsi" w:hAnsiTheme="minorHAnsi"/>
              </w:rPr>
            </w:pPr>
            <w:r>
              <w:rPr>
                <w:rFonts w:asciiTheme="minorHAnsi" w:hAnsiTheme="minorHAnsi"/>
              </w:rPr>
              <w:t>485nm (excitation)/515 nm (emission)</w:t>
            </w:r>
          </w:p>
        </w:tc>
      </w:tr>
      <w:tr w:rsidR="00486DB6" w:rsidRPr="004555CC" w:rsidTr="00486DB6">
        <w:trPr>
          <w:cantSplit/>
          <w:trHeight w:val="66"/>
        </w:trPr>
        <w:tc>
          <w:tcPr>
            <w:tcW w:w="2333" w:type="pct"/>
            <w:hideMark/>
          </w:tcPr>
          <w:p w:rsidR="00486DB6" w:rsidRPr="004555CC" w:rsidRDefault="00792DBA" w:rsidP="00486DB6">
            <w:pPr>
              <w:pStyle w:val="NcclsPara"/>
              <w:spacing w:before="20" w:beforeAutospacing="0" w:after="20" w:afterAutospacing="0"/>
              <w:rPr>
                <w:rFonts w:asciiTheme="minorHAnsi" w:hAnsiTheme="minorHAnsi"/>
              </w:rPr>
            </w:pPr>
            <w:r>
              <w:rPr>
                <w:rFonts w:asciiTheme="minorHAnsi" w:hAnsiTheme="minorHAnsi"/>
              </w:rPr>
              <w:t>Reading cycle blank/test</w:t>
            </w:r>
          </w:p>
        </w:tc>
        <w:tc>
          <w:tcPr>
            <w:tcW w:w="2667" w:type="pct"/>
            <w:hideMark/>
          </w:tcPr>
          <w:p w:rsidR="00486DB6" w:rsidRPr="004555CC" w:rsidRDefault="00792DBA" w:rsidP="00486DB6">
            <w:pPr>
              <w:pStyle w:val="NcclsPara"/>
              <w:spacing w:before="20" w:beforeAutospacing="0" w:after="20" w:afterAutospacing="0"/>
              <w:rPr>
                <w:rFonts w:asciiTheme="minorHAnsi" w:hAnsiTheme="minorHAnsi"/>
              </w:rPr>
            </w:pPr>
            <w:r>
              <w:rPr>
                <w:rFonts w:asciiTheme="minorHAnsi" w:hAnsiTheme="minorHAnsi"/>
              </w:rPr>
              <w:t>29/45</w:t>
            </w:r>
          </w:p>
        </w:tc>
      </w:tr>
      <w:tr w:rsidR="00486DB6" w:rsidRPr="004555CC" w:rsidTr="00486DB6">
        <w:trPr>
          <w:cantSplit/>
          <w:trHeight w:val="301"/>
        </w:trPr>
        <w:tc>
          <w:tcPr>
            <w:tcW w:w="2333"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Unit</w:t>
            </w:r>
          </w:p>
        </w:tc>
        <w:tc>
          <w:tcPr>
            <w:tcW w:w="2667" w:type="pct"/>
            <w:hideMark/>
          </w:tcPr>
          <w:p w:rsidR="00486DB6" w:rsidRPr="004555CC" w:rsidRDefault="00486DB6" w:rsidP="00486DB6">
            <w:pPr>
              <w:pStyle w:val="NcclsPara"/>
              <w:spacing w:before="20" w:beforeAutospacing="0" w:after="20" w:afterAutospacing="0"/>
              <w:rPr>
                <w:rFonts w:asciiTheme="minorHAnsi" w:hAnsiTheme="minorHAnsi"/>
              </w:rPr>
            </w:pPr>
            <w:r w:rsidRPr="004555CC">
              <w:rPr>
                <w:rFonts w:asciiTheme="minorHAnsi" w:hAnsiTheme="minorHAnsi"/>
              </w:rPr>
              <w:t>µg/mL</w:t>
            </w:r>
          </w:p>
        </w:tc>
      </w:tr>
    </w:tbl>
    <w:p w:rsidR="002D3CF1" w:rsidRPr="004555CC" w:rsidRDefault="002D3CF1" w:rsidP="004B16BB">
      <w:pPr>
        <w:pStyle w:val="ListParagraph"/>
        <w:ind w:left="1080"/>
      </w:pPr>
    </w:p>
    <w:p w:rsidR="002D3CF1" w:rsidRPr="004555CC" w:rsidRDefault="002D3CF1" w:rsidP="002D3CF1"/>
    <w:p w:rsidR="002D3CF1" w:rsidRPr="004555CC" w:rsidRDefault="002D3CF1" w:rsidP="002D3CF1"/>
    <w:p w:rsidR="002D3CF1" w:rsidRPr="004555CC" w:rsidRDefault="002D3CF1" w:rsidP="00A0683B"/>
    <w:p w:rsidR="00A0683B" w:rsidRPr="004555CC" w:rsidRDefault="00A0683B" w:rsidP="00A0683B"/>
    <w:p w:rsidR="00B95033" w:rsidRDefault="00B95033" w:rsidP="004B16BB">
      <w:pPr>
        <w:pStyle w:val="ListParagraph"/>
        <w:ind w:left="1080"/>
      </w:pPr>
    </w:p>
    <w:p w:rsidR="00B95033" w:rsidRDefault="00B95033" w:rsidP="004B16BB">
      <w:pPr>
        <w:pStyle w:val="ListParagraph"/>
        <w:ind w:left="1080"/>
      </w:pPr>
    </w:p>
    <w:p w:rsidR="00B95033" w:rsidRDefault="00B95033" w:rsidP="004B16BB">
      <w:pPr>
        <w:pStyle w:val="ListParagraph"/>
        <w:ind w:left="1080"/>
      </w:pPr>
    </w:p>
    <w:p w:rsidR="001240F8" w:rsidRPr="004555CC" w:rsidRDefault="00486DB6" w:rsidP="004B16BB">
      <w:pPr>
        <w:pStyle w:val="ListParagraph"/>
        <w:ind w:left="1080"/>
      </w:pPr>
      <w:r w:rsidRPr="004555CC">
        <w:lastRenderedPageBreak/>
        <w:t>Pipetting Parameters:</w:t>
      </w:r>
    </w:p>
    <w:tbl>
      <w:tblPr>
        <w:tblW w:w="3588" w:type="pct"/>
        <w:tblInd w:w="1252" w:type="dxa"/>
        <w:tblLook w:val="04A0" w:firstRow="1" w:lastRow="0" w:firstColumn="1" w:lastColumn="0" w:noHBand="0" w:noVBand="1"/>
      </w:tblPr>
      <w:tblGrid>
        <w:gridCol w:w="2290"/>
        <w:gridCol w:w="1649"/>
        <w:gridCol w:w="2933"/>
      </w:tblGrid>
      <w:tr w:rsidR="001240F8" w:rsidTr="001240F8">
        <w:trPr>
          <w:cantSplit/>
          <w:trHeight w:val="370"/>
        </w:trPr>
        <w:tc>
          <w:tcPr>
            <w:tcW w:w="1666" w:type="pct"/>
          </w:tcPr>
          <w:p w:rsidR="001240F8" w:rsidRDefault="001240F8">
            <w:pPr>
              <w:spacing w:before="20" w:after="20"/>
            </w:pPr>
          </w:p>
        </w:tc>
        <w:tc>
          <w:tcPr>
            <w:tcW w:w="1200" w:type="pct"/>
          </w:tcPr>
          <w:p w:rsidR="001240F8" w:rsidRDefault="001240F8">
            <w:pPr>
              <w:spacing w:before="20" w:after="20"/>
              <w:jc w:val="right"/>
            </w:pPr>
          </w:p>
        </w:tc>
        <w:tc>
          <w:tcPr>
            <w:tcW w:w="2134" w:type="pct"/>
            <w:hideMark/>
          </w:tcPr>
          <w:p w:rsidR="001240F8" w:rsidRDefault="001240F8">
            <w:pPr>
              <w:pStyle w:val="NcclsPara"/>
              <w:spacing w:before="20" w:beforeAutospacing="0" w:after="20" w:afterAutospacing="0"/>
              <w:jc w:val="center"/>
            </w:pPr>
            <w:r>
              <w:t>Diluent (H</w:t>
            </w:r>
            <w:r>
              <w:rPr>
                <w:vertAlign w:val="subscript"/>
              </w:rPr>
              <w:t>2</w:t>
            </w:r>
            <w:r>
              <w:t>O)</w:t>
            </w:r>
          </w:p>
        </w:tc>
      </w:tr>
      <w:tr w:rsidR="001240F8" w:rsidTr="001240F8">
        <w:trPr>
          <w:cantSplit/>
          <w:trHeight w:val="386"/>
        </w:trPr>
        <w:tc>
          <w:tcPr>
            <w:tcW w:w="1666" w:type="pct"/>
            <w:hideMark/>
          </w:tcPr>
          <w:p w:rsidR="001240F8" w:rsidRDefault="001240F8">
            <w:pPr>
              <w:pStyle w:val="NcclsPara"/>
              <w:spacing w:before="20" w:beforeAutospacing="0" w:after="20" w:afterAutospacing="0"/>
            </w:pPr>
            <w:r>
              <w:t>R1</w:t>
            </w:r>
          </w:p>
        </w:tc>
        <w:tc>
          <w:tcPr>
            <w:tcW w:w="1200" w:type="pct"/>
            <w:hideMark/>
          </w:tcPr>
          <w:p w:rsidR="001240F8" w:rsidRDefault="00F5450A">
            <w:pPr>
              <w:pStyle w:val="NcclsPara"/>
              <w:spacing w:before="20" w:beforeAutospacing="0" w:after="20" w:afterAutospacing="0"/>
              <w:jc w:val="right"/>
            </w:pPr>
            <w:r>
              <w:t>12</w:t>
            </w:r>
            <w:r w:rsidR="001240F8">
              <w:t>0 µL</w:t>
            </w:r>
          </w:p>
        </w:tc>
        <w:tc>
          <w:tcPr>
            <w:tcW w:w="2134" w:type="pct"/>
          </w:tcPr>
          <w:p w:rsidR="001240F8" w:rsidRDefault="00792DBA">
            <w:pPr>
              <w:spacing w:before="20" w:after="20"/>
              <w:jc w:val="center"/>
            </w:pPr>
            <w:r>
              <w:t>10 µL</w:t>
            </w:r>
          </w:p>
        </w:tc>
      </w:tr>
      <w:tr w:rsidR="001240F8" w:rsidTr="00F5450A">
        <w:trPr>
          <w:cantSplit/>
          <w:trHeight w:val="423"/>
        </w:trPr>
        <w:tc>
          <w:tcPr>
            <w:tcW w:w="1666" w:type="pct"/>
            <w:hideMark/>
          </w:tcPr>
          <w:p w:rsidR="001240F8" w:rsidRDefault="00792DBA">
            <w:pPr>
              <w:pStyle w:val="NcclsPara"/>
              <w:spacing w:before="20" w:beforeAutospacing="0" w:after="20" w:afterAutospacing="0"/>
            </w:pPr>
            <w:r>
              <w:t>Sample</w:t>
            </w:r>
          </w:p>
        </w:tc>
        <w:tc>
          <w:tcPr>
            <w:tcW w:w="1200" w:type="pct"/>
            <w:hideMark/>
          </w:tcPr>
          <w:p w:rsidR="001240F8" w:rsidRDefault="00F5450A">
            <w:pPr>
              <w:pStyle w:val="NcclsPara"/>
              <w:spacing w:before="20" w:beforeAutospacing="0" w:after="20" w:afterAutospacing="0"/>
              <w:jc w:val="right"/>
            </w:pPr>
            <w:r>
              <w:t>9</w:t>
            </w:r>
            <w:r w:rsidR="00792DBA">
              <w:t xml:space="preserve"> µL</w:t>
            </w:r>
          </w:p>
        </w:tc>
        <w:tc>
          <w:tcPr>
            <w:tcW w:w="2134" w:type="pct"/>
          </w:tcPr>
          <w:p w:rsidR="001240F8" w:rsidRDefault="00792DBA">
            <w:pPr>
              <w:spacing w:before="20" w:after="20"/>
              <w:jc w:val="center"/>
            </w:pPr>
            <w:r>
              <w:t>5 µL</w:t>
            </w:r>
          </w:p>
        </w:tc>
      </w:tr>
      <w:tr w:rsidR="001240F8" w:rsidTr="001240F8">
        <w:trPr>
          <w:cantSplit/>
          <w:trHeight w:val="290"/>
        </w:trPr>
        <w:tc>
          <w:tcPr>
            <w:tcW w:w="1666" w:type="pct"/>
            <w:hideMark/>
          </w:tcPr>
          <w:p w:rsidR="001240F8" w:rsidRDefault="00792DBA">
            <w:pPr>
              <w:pStyle w:val="NcclsPara"/>
              <w:spacing w:before="20" w:beforeAutospacing="0" w:after="20" w:afterAutospacing="0"/>
            </w:pPr>
            <w:r>
              <w:t>Special diluent (SDR II)</w:t>
            </w:r>
          </w:p>
        </w:tc>
        <w:tc>
          <w:tcPr>
            <w:tcW w:w="1200" w:type="pct"/>
            <w:hideMark/>
          </w:tcPr>
          <w:p w:rsidR="001240F8" w:rsidRDefault="00F5450A">
            <w:pPr>
              <w:pStyle w:val="NcclsPara"/>
              <w:spacing w:before="20" w:beforeAutospacing="0" w:after="20" w:afterAutospacing="0"/>
              <w:jc w:val="right"/>
            </w:pPr>
            <w:r>
              <w:t>6</w:t>
            </w:r>
            <w:r w:rsidR="00792DBA">
              <w:t xml:space="preserve"> µL</w:t>
            </w:r>
          </w:p>
        </w:tc>
        <w:tc>
          <w:tcPr>
            <w:tcW w:w="2134" w:type="pct"/>
            <w:hideMark/>
          </w:tcPr>
          <w:p w:rsidR="001240F8" w:rsidRDefault="001240F8" w:rsidP="00792DBA">
            <w:pPr>
              <w:pStyle w:val="NcclsPara"/>
              <w:spacing w:before="20" w:beforeAutospacing="0" w:after="20" w:afterAutospacing="0"/>
              <w:jc w:val="center"/>
            </w:pPr>
          </w:p>
        </w:tc>
      </w:tr>
      <w:tr w:rsidR="00792DBA" w:rsidTr="001240F8">
        <w:trPr>
          <w:cantSplit/>
          <w:trHeight w:val="370"/>
        </w:trPr>
        <w:tc>
          <w:tcPr>
            <w:tcW w:w="1666" w:type="pct"/>
          </w:tcPr>
          <w:p w:rsidR="00792DBA" w:rsidRDefault="00792DBA">
            <w:pPr>
              <w:pStyle w:val="NcclsPara"/>
              <w:spacing w:before="20" w:beforeAutospacing="0" w:after="20" w:afterAutospacing="0"/>
            </w:pPr>
            <w:r>
              <w:t>SR</w:t>
            </w:r>
          </w:p>
        </w:tc>
        <w:tc>
          <w:tcPr>
            <w:tcW w:w="1200" w:type="pct"/>
          </w:tcPr>
          <w:p w:rsidR="00792DBA" w:rsidRDefault="00792DBA">
            <w:pPr>
              <w:pStyle w:val="NcclsPara"/>
              <w:spacing w:before="20" w:beforeAutospacing="0" w:after="20" w:afterAutospacing="0"/>
              <w:jc w:val="right"/>
            </w:pPr>
            <w:r>
              <w:t>15 µL</w:t>
            </w:r>
          </w:p>
        </w:tc>
        <w:tc>
          <w:tcPr>
            <w:tcW w:w="2134" w:type="pct"/>
          </w:tcPr>
          <w:p w:rsidR="00792DBA" w:rsidRDefault="00792DBA">
            <w:pPr>
              <w:spacing w:before="20" w:after="20"/>
              <w:jc w:val="center"/>
            </w:pPr>
            <w:r>
              <w:t>10µL</w:t>
            </w:r>
          </w:p>
        </w:tc>
      </w:tr>
      <w:tr w:rsidR="001240F8" w:rsidTr="001240F8">
        <w:trPr>
          <w:cantSplit/>
          <w:trHeight w:val="370"/>
        </w:trPr>
        <w:tc>
          <w:tcPr>
            <w:tcW w:w="1666" w:type="pct"/>
            <w:hideMark/>
          </w:tcPr>
          <w:p w:rsidR="001240F8" w:rsidRDefault="001240F8">
            <w:pPr>
              <w:pStyle w:val="NcclsPara"/>
              <w:spacing w:before="20" w:beforeAutospacing="0" w:after="20" w:afterAutospacing="0"/>
            </w:pPr>
            <w:r>
              <w:t>Total volume</w:t>
            </w:r>
          </w:p>
        </w:tc>
        <w:tc>
          <w:tcPr>
            <w:tcW w:w="1200" w:type="pct"/>
            <w:hideMark/>
          </w:tcPr>
          <w:p w:rsidR="001240F8" w:rsidRDefault="00F5450A">
            <w:pPr>
              <w:pStyle w:val="NcclsPara"/>
              <w:spacing w:before="20" w:beforeAutospacing="0" w:after="20" w:afterAutospacing="0"/>
              <w:jc w:val="right"/>
            </w:pPr>
            <w:r>
              <w:t>175</w:t>
            </w:r>
            <w:r w:rsidR="001240F8">
              <w:t xml:space="preserve"> µL</w:t>
            </w:r>
          </w:p>
        </w:tc>
        <w:tc>
          <w:tcPr>
            <w:tcW w:w="2134" w:type="pct"/>
          </w:tcPr>
          <w:p w:rsidR="001240F8" w:rsidRDefault="001240F8">
            <w:pPr>
              <w:spacing w:before="20" w:after="20"/>
              <w:jc w:val="center"/>
            </w:pPr>
          </w:p>
        </w:tc>
      </w:tr>
    </w:tbl>
    <w:p w:rsidR="007D6836" w:rsidRDefault="007D6836" w:rsidP="00486DB6"/>
    <w:p w:rsidR="004B16BB" w:rsidRPr="00B049A9" w:rsidRDefault="004B16BB" w:rsidP="004B16BB">
      <w:pPr>
        <w:pStyle w:val="ListParagraph"/>
        <w:numPr>
          <w:ilvl w:val="0"/>
          <w:numId w:val="1"/>
        </w:numPr>
        <w:rPr>
          <w:b/>
        </w:rPr>
      </w:pPr>
      <w:r w:rsidRPr="00B049A9">
        <w:rPr>
          <w:b/>
        </w:rPr>
        <w:t>LIMITATIONS</w:t>
      </w:r>
    </w:p>
    <w:p w:rsidR="00672CEB" w:rsidRDefault="00601380" w:rsidP="00601380">
      <w:pPr>
        <w:pStyle w:val="ListParagraph"/>
        <w:ind w:left="1080"/>
      </w:pPr>
      <w:r>
        <w:t>Refer to SW.CP.GL.jad.0</w:t>
      </w:r>
      <w:r w:rsidR="00AA16D9">
        <w:t>102</w:t>
      </w:r>
      <w:r>
        <w:t xml:space="preserve"> for the chart indicating at what Roche H, I, L </w:t>
      </w:r>
      <w:proofErr w:type="spellStart"/>
      <w:r>
        <w:t>indice</w:t>
      </w:r>
      <w:proofErr w:type="spellEnd"/>
      <w:r>
        <w:t xml:space="preserve"> level the test is affected if any.</w:t>
      </w:r>
    </w:p>
    <w:p w:rsidR="00601380" w:rsidRDefault="00601380" w:rsidP="00601380">
      <w:pPr>
        <w:pStyle w:val="ListParagraph"/>
        <w:ind w:left="1080"/>
      </w:pPr>
    </w:p>
    <w:p w:rsidR="004B16BB" w:rsidRDefault="004B16BB" w:rsidP="004B16BB">
      <w:pPr>
        <w:pStyle w:val="ListParagraph"/>
        <w:numPr>
          <w:ilvl w:val="0"/>
          <w:numId w:val="1"/>
        </w:numPr>
        <w:rPr>
          <w:b/>
        </w:rPr>
      </w:pPr>
      <w:r w:rsidRPr="00B049A9">
        <w:rPr>
          <w:b/>
        </w:rPr>
        <w:t>CALCULATIONS</w:t>
      </w:r>
    </w:p>
    <w:p w:rsidR="00601380" w:rsidRPr="00601380" w:rsidRDefault="00601380" w:rsidP="00601380">
      <w:pPr>
        <w:pStyle w:val="ListParagraph"/>
        <w:ind w:left="1170"/>
      </w:pPr>
      <w:r>
        <w:t>COBAS INTEGRA analyzers automatically calculate the analyte concentration of each sample.</w:t>
      </w:r>
    </w:p>
    <w:p w:rsidR="00601380" w:rsidRDefault="00601380" w:rsidP="00601380">
      <w:pPr>
        <w:pStyle w:val="ListParagraph"/>
        <w:ind w:left="1170"/>
        <w:rPr>
          <w:b/>
        </w:rPr>
      </w:pPr>
    </w:p>
    <w:p w:rsidR="00601380" w:rsidRPr="00B049A9" w:rsidRDefault="00601380" w:rsidP="004B16BB">
      <w:pPr>
        <w:pStyle w:val="ListParagraph"/>
        <w:numPr>
          <w:ilvl w:val="0"/>
          <w:numId w:val="1"/>
        </w:numPr>
        <w:rPr>
          <w:b/>
        </w:rPr>
      </w:pPr>
      <w:r>
        <w:rPr>
          <w:b/>
        </w:rPr>
        <w:t xml:space="preserve">MEASURING RANGE </w:t>
      </w:r>
    </w:p>
    <w:p w:rsidR="004555CC" w:rsidRPr="004555CC" w:rsidRDefault="004555CC" w:rsidP="00601380">
      <w:pPr>
        <w:pStyle w:val="NcclsPara"/>
        <w:ind w:left="1170"/>
        <w:rPr>
          <w:rFonts w:asciiTheme="minorHAnsi" w:hAnsiTheme="minorHAnsi"/>
        </w:rPr>
      </w:pPr>
      <w:r w:rsidRPr="004555CC">
        <w:rPr>
          <w:rFonts w:asciiTheme="minorHAnsi" w:hAnsiTheme="minorHAnsi"/>
        </w:rPr>
        <w:t>Refer to the Roche Range Chart for the measuring range guidelines (SW.CP.GL.jad.0104).</w:t>
      </w:r>
    </w:p>
    <w:p w:rsidR="004B16BB" w:rsidRPr="00B049A9" w:rsidRDefault="004B16BB" w:rsidP="004B16BB">
      <w:pPr>
        <w:pStyle w:val="ListParagraph"/>
        <w:numPr>
          <w:ilvl w:val="0"/>
          <w:numId w:val="1"/>
        </w:numPr>
        <w:rPr>
          <w:b/>
        </w:rPr>
      </w:pPr>
      <w:r w:rsidRPr="00B049A9">
        <w:rPr>
          <w:b/>
        </w:rPr>
        <w:t>INTERPRETATION</w:t>
      </w:r>
    </w:p>
    <w:p w:rsidR="00D36B38" w:rsidRDefault="00D36B38" w:rsidP="00D36B38">
      <w:pPr>
        <w:pStyle w:val="ListParagraph"/>
        <w:ind w:left="1080"/>
      </w:pPr>
      <w:r w:rsidRPr="002B7602">
        <w:t>Refer to Reference Range guide for age appropriate referen</w:t>
      </w:r>
      <w:r>
        <w:t>ce ranges and critical</w:t>
      </w:r>
      <w:r w:rsidR="00601380">
        <w:t xml:space="preserve"> value levels (SW.CP.GL.jad.0</w:t>
      </w:r>
      <w:r w:rsidR="00AA16D9">
        <w:t>103</w:t>
      </w:r>
      <w:r>
        <w:t>).</w:t>
      </w:r>
    </w:p>
    <w:p w:rsidR="003B45A9" w:rsidRDefault="003B45A9" w:rsidP="003B45A9">
      <w:pPr>
        <w:pStyle w:val="NcclsPara"/>
        <w:ind w:left="360" w:firstLine="720"/>
        <w:rPr>
          <w:b/>
          <w:i/>
        </w:rPr>
      </w:pPr>
      <w:r>
        <w:rPr>
          <w:b/>
          <w:i/>
        </w:rPr>
        <w:t>Critical value(s)</w:t>
      </w:r>
    </w:p>
    <w:p w:rsidR="003B45A9" w:rsidRDefault="003B45A9" w:rsidP="003B45A9">
      <w:pPr>
        <w:pStyle w:val="NcclsPara"/>
        <w:rPr>
          <w:b/>
          <w:i/>
        </w:rPr>
      </w:pPr>
    </w:p>
    <w:p w:rsidR="003B45A9" w:rsidRDefault="003B45A9" w:rsidP="003B45A9">
      <w:pPr>
        <w:pStyle w:val="NcclsPara"/>
        <w:ind w:left="360" w:firstLine="720"/>
      </w:pPr>
      <w:r>
        <w:t>Age range</w:t>
      </w:r>
      <w:r>
        <w:tab/>
      </w:r>
      <w:r>
        <w:tab/>
      </w:r>
      <w:r>
        <w:tab/>
        <w:t>Critical Low</w:t>
      </w:r>
      <w:r>
        <w:tab/>
      </w:r>
      <w:r>
        <w:tab/>
      </w:r>
      <w:r>
        <w:tab/>
        <w:t>Critical High</w:t>
      </w:r>
    </w:p>
    <w:p w:rsidR="003B45A9" w:rsidRDefault="003B45A9" w:rsidP="003B45A9">
      <w:pPr>
        <w:pStyle w:val="NcclsPara"/>
        <w:ind w:left="360" w:firstLine="720"/>
      </w:pPr>
    </w:p>
    <w:p w:rsidR="003B45A9" w:rsidRDefault="003B45A9" w:rsidP="003B45A9">
      <w:pPr>
        <w:pStyle w:val="NcclsPara"/>
        <w:ind w:left="360" w:firstLine="720"/>
      </w:pPr>
      <w:r>
        <w:t>n/a</w:t>
      </w:r>
      <w:r>
        <w:tab/>
      </w:r>
      <w:r>
        <w:tab/>
      </w:r>
      <w:r>
        <w:tab/>
      </w:r>
      <w:r>
        <w:tab/>
      </w:r>
      <w:proofErr w:type="spellStart"/>
      <w:proofErr w:type="gramStart"/>
      <w:r>
        <w:t>n/a</w:t>
      </w:r>
      <w:proofErr w:type="spellEnd"/>
      <w:proofErr w:type="gramEnd"/>
      <w:r>
        <w:tab/>
      </w:r>
      <w:r>
        <w:tab/>
      </w:r>
      <w:r>
        <w:tab/>
      </w:r>
      <w:r>
        <w:tab/>
      </w:r>
      <w:r w:rsidR="00FE7DED">
        <w:t>≥         3.0</w:t>
      </w:r>
      <w:r w:rsidR="00C16D58">
        <w:t xml:space="preserve"> µ</w:t>
      </w:r>
      <w:r>
        <w:t>g/mL</w:t>
      </w:r>
    </w:p>
    <w:p w:rsidR="003B45A9" w:rsidRDefault="003B45A9" w:rsidP="003B45A9">
      <w:pPr>
        <w:pStyle w:val="NcclsPara"/>
        <w:ind w:left="1080"/>
      </w:pPr>
    </w:p>
    <w:p w:rsidR="003B45A9" w:rsidRDefault="003B45A9" w:rsidP="003B45A9">
      <w:pPr>
        <w:pStyle w:val="NcclsPara"/>
        <w:ind w:left="1080"/>
        <w:rPr>
          <w:rFonts w:ascii="Arial" w:hAnsi="Arial" w:cs="Arial"/>
          <w:b/>
        </w:rPr>
      </w:pPr>
      <w:r>
        <w:t>The critical value limits and appropriate reporting process for this assay can be referenced by reviewing the URMC Clinical Laboratory Policy Manual, Policy VI-14 Clinical Laboratory Critical Value Immediate Notification Policy (</w:t>
      </w:r>
      <w:r>
        <w:rPr>
          <w:rFonts w:ascii="Arial" w:hAnsi="Arial" w:cs="Arial"/>
          <w:b/>
        </w:rPr>
        <w:t>SH.CP.AA.lgp.0049).</w:t>
      </w:r>
    </w:p>
    <w:p w:rsidR="003B45A9" w:rsidRDefault="003B45A9" w:rsidP="003B45A9">
      <w:pPr>
        <w:pStyle w:val="NcclsPara"/>
        <w:tabs>
          <w:tab w:val="left" w:pos="6405"/>
        </w:tabs>
      </w:pPr>
      <w:r>
        <w:tab/>
      </w:r>
    </w:p>
    <w:p w:rsidR="004B16BB" w:rsidRPr="00B049A9" w:rsidRDefault="003B45A9" w:rsidP="004B16BB">
      <w:pPr>
        <w:pStyle w:val="ListParagraph"/>
        <w:numPr>
          <w:ilvl w:val="0"/>
          <w:numId w:val="1"/>
        </w:numPr>
        <w:rPr>
          <w:b/>
        </w:rPr>
      </w:pPr>
      <w:r>
        <w:rPr>
          <w:b/>
        </w:rPr>
        <w:t>R</w:t>
      </w:r>
      <w:r w:rsidR="004B16BB" w:rsidRPr="00B049A9">
        <w:rPr>
          <w:b/>
        </w:rPr>
        <w:t>ESULT REPORTING</w:t>
      </w:r>
    </w:p>
    <w:p w:rsidR="009E6960" w:rsidRDefault="00D36B38" w:rsidP="00601380">
      <w:pPr>
        <w:pStyle w:val="ListParagraph"/>
        <w:ind w:left="1080"/>
      </w:pPr>
      <w:r>
        <w:t>Results are generally reported via the DI Middleware-refe</w:t>
      </w:r>
      <w:r w:rsidR="00601380">
        <w:t>r to procedure SW.CP.GL.</w:t>
      </w:r>
      <w:r w:rsidR="00AA16D9">
        <w:t>lab</w:t>
      </w:r>
      <w:r w:rsidR="00601380">
        <w:t>.0</w:t>
      </w:r>
      <w:r w:rsidR="00AA16D9">
        <w:t>103</w:t>
      </w:r>
      <w:r>
        <w:t>.</w:t>
      </w:r>
    </w:p>
    <w:p w:rsidR="009E6960" w:rsidRDefault="009E6960" w:rsidP="00672CEB">
      <w:pPr>
        <w:pStyle w:val="ListParagraph"/>
        <w:ind w:left="1080"/>
      </w:pPr>
    </w:p>
    <w:p w:rsidR="00FE7DED" w:rsidRDefault="00FE7DED" w:rsidP="00672CEB">
      <w:pPr>
        <w:pStyle w:val="ListParagraph"/>
        <w:ind w:left="1080"/>
      </w:pPr>
    </w:p>
    <w:p w:rsidR="00486DB6" w:rsidRDefault="00486DB6" w:rsidP="00672CEB">
      <w:pPr>
        <w:pStyle w:val="ListParagraph"/>
        <w:ind w:left="1080"/>
      </w:pPr>
    </w:p>
    <w:p w:rsidR="009E6960" w:rsidRPr="009E6960" w:rsidRDefault="004B16BB" w:rsidP="009E6960">
      <w:pPr>
        <w:pStyle w:val="ListParagraph"/>
        <w:numPr>
          <w:ilvl w:val="0"/>
          <w:numId w:val="1"/>
        </w:numPr>
        <w:rPr>
          <w:b/>
        </w:rPr>
      </w:pPr>
      <w:r w:rsidRPr="00B049A9">
        <w:rPr>
          <w:b/>
        </w:rPr>
        <w:lastRenderedPageBreak/>
        <w:t>TRAINING</w:t>
      </w:r>
    </w:p>
    <w:tbl>
      <w:tblPr>
        <w:tblStyle w:val="TableGrid"/>
        <w:tblW w:w="3390" w:type="dxa"/>
        <w:tblInd w:w="1080" w:type="dxa"/>
        <w:tblLook w:val="01E0" w:firstRow="1" w:lastRow="1" w:firstColumn="1" w:lastColumn="1" w:noHBand="0" w:noVBand="0"/>
      </w:tblPr>
      <w:tblGrid>
        <w:gridCol w:w="1495"/>
        <w:gridCol w:w="1895"/>
      </w:tblGrid>
      <w:tr w:rsidR="009E6960" w:rsidRPr="007C57E2" w:rsidTr="00F5450A">
        <w:tc>
          <w:tcPr>
            <w:tcW w:w="1495" w:type="dxa"/>
            <w:vAlign w:val="bottom"/>
          </w:tcPr>
          <w:p w:rsidR="009E6960" w:rsidRPr="007C57E2" w:rsidRDefault="009E6960" w:rsidP="00F5450A">
            <w:pPr>
              <w:rPr>
                <w:rFonts w:ascii="Arial" w:hAnsi="Arial" w:cs="Arial"/>
                <w:b/>
              </w:rPr>
            </w:pPr>
            <w:r w:rsidRPr="007C57E2">
              <w:rPr>
                <w:rFonts w:ascii="Arial" w:hAnsi="Arial" w:cs="Arial"/>
                <w:b/>
              </w:rPr>
              <w:t>Role</w:t>
            </w:r>
          </w:p>
        </w:tc>
        <w:tc>
          <w:tcPr>
            <w:tcW w:w="1895" w:type="dxa"/>
            <w:vAlign w:val="bottom"/>
          </w:tcPr>
          <w:p w:rsidR="009E6960" w:rsidRPr="007C57E2" w:rsidRDefault="009E6960" w:rsidP="00F5450A">
            <w:pPr>
              <w:rPr>
                <w:rFonts w:ascii="Arial" w:hAnsi="Arial" w:cs="Arial"/>
                <w:b/>
              </w:rPr>
            </w:pPr>
            <w:r w:rsidRPr="007C57E2">
              <w:rPr>
                <w:rFonts w:ascii="Arial" w:hAnsi="Arial" w:cs="Arial"/>
                <w:b/>
              </w:rPr>
              <w:t>Training Needed</w:t>
            </w:r>
          </w:p>
        </w:tc>
      </w:tr>
      <w:tr w:rsidR="009E6960" w:rsidRPr="007C57E2" w:rsidTr="00F5450A">
        <w:trPr>
          <w:trHeight w:hRule="exact" w:val="288"/>
        </w:trPr>
        <w:tc>
          <w:tcPr>
            <w:tcW w:w="1495" w:type="dxa"/>
            <w:vAlign w:val="bottom"/>
          </w:tcPr>
          <w:p w:rsidR="009E6960" w:rsidRPr="007C57E2" w:rsidRDefault="009E6960" w:rsidP="00F5450A">
            <w:pPr>
              <w:rPr>
                <w:rFonts w:ascii="Arial" w:hAnsi="Arial" w:cs="Arial"/>
              </w:rPr>
            </w:pPr>
            <w:r w:rsidRPr="007C57E2">
              <w:rPr>
                <w:rFonts w:ascii="Arial" w:hAnsi="Arial" w:cs="Arial"/>
              </w:rPr>
              <w:t>Management</w:t>
            </w:r>
          </w:p>
        </w:tc>
        <w:tc>
          <w:tcPr>
            <w:tcW w:w="1895" w:type="dxa"/>
            <w:vAlign w:val="bottom"/>
          </w:tcPr>
          <w:p w:rsidR="009E6960" w:rsidRPr="007C57E2" w:rsidRDefault="009E6960" w:rsidP="00F5450A">
            <w:pPr>
              <w:rPr>
                <w:rFonts w:ascii="Arial" w:hAnsi="Arial" w:cs="Arial"/>
              </w:rPr>
            </w:pPr>
            <w:r w:rsidRPr="007C57E2">
              <w:rPr>
                <w:rFonts w:ascii="Arial" w:hAnsi="Arial" w:cs="Arial"/>
              </w:rPr>
              <w:t>Read</w:t>
            </w:r>
            <w:r w:rsidR="00601380">
              <w:rPr>
                <w:rFonts w:ascii="Arial" w:hAnsi="Arial" w:cs="Arial"/>
              </w:rPr>
              <w:t xml:space="preserve"> procedure</w:t>
            </w:r>
          </w:p>
        </w:tc>
      </w:tr>
      <w:tr w:rsidR="009E6960" w:rsidRPr="005F0A12" w:rsidTr="00F5450A">
        <w:trPr>
          <w:trHeight w:hRule="exact" w:val="288"/>
        </w:trPr>
        <w:tc>
          <w:tcPr>
            <w:tcW w:w="1495" w:type="dxa"/>
            <w:vAlign w:val="bottom"/>
          </w:tcPr>
          <w:p w:rsidR="009E6960" w:rsidRPr="007C57E2" w:rsidRDefault="009E6960" w:rsidP="00F5450A">
            <w:pPr>
              <w:rPr>
                <w:rFonts w:ascii="Arial" w:hAnsi="Arial" w:cs="Arial"/>
              </w:rPr>
            </w:pPr>
            <w:r w:rsidRPr="007C57E2">
              <w:rPr>
                <w:rFonts w:ascii="Arial" w:hAnsi="Arial" w:cs="Arial"/>
              </w:rPr>
              <w:t>Employees</w:t>
            </w:r>
          </w:p>
        </w:tc>
        <w:tc>
          <w:tcPr>
            <w:tcW w:w="1895" w:type="dxa"/>
            <w:vAlign w:val="bottom"/>
          </w:tcPr>
          <w:p w:rsidR="009E6960" w:rsidRPr="005F0A12" w:rsidRDefault="009E6960" w:rsidP="00F5450A">
            <w:pPr>
              <w:rPr>
                <w:rFonts w:ascii="Arial" w:hAnsi="Arial" w:cs="Arial"/>
              </w:rPr>
            </w:pPr>
            <w:r w:rsidRPr="007C57E2">
              <w:rPr>
                <w:rFonts w:ascii="Arial" w:hAnsi="Arial" w:cs="Arial"/>
              </w:rPr>
              <w:t>Read</w:t>
            </w:r>
            <w:r w:rsidR="00601380">
              <w:rPr>
                <w:rFonts w:ascii="Arial" w:hAnsi="Arial" w:cs="Arial"/>
              </w:rPr>
              <w:t xml:space="preserve"> procedure</w:t>
            </w:r>
          </w:p>
        </w:tc>
      </w:tr>
    </w:tbl>
    <w:p w:rsidR="00983126" w:rsidRDefault="00983126" w:rsidP="00672CEB">
      <w:pPr>
        <w:pStyle w:val="ListParagraph"/>
        <w:numPr>
          <w:ilvl w:val="0"/>
          <w:numId w:val="1"/>
        </w:numPr>
        <w:rPr>
          <w:b/>
        </w:rPr>
      </w:pPr>
      <w:r>
        <w:rPr>
          <w:b/>
        </w:rPr>
        <w:t>ANALYTICAL SPECIFICITY</w:t>
      </w:r>
    </w:p>
    <w:p w:rsidR="00983126" w:rsidRDefault="00983126" w:rsidP="00983126">
      <w:pPr>
        <w:pStyle w:val="NcclsPara"/>
      </w:pPr>
      <w:r>
        <w:t xml:space="preserve">The following cross-reactive, structurally related and/or co-administered substances were evaluated on the COBAS INTEGRA systems in </w:t>
      </w:r>
      <w:r w:rsidR="000B75CD">
        <w:t xml:space="preserve">filtered normal human serum spiked with </w:t>
      </w:r>
      <w:proofErr w:type="spellStart"/>
      <w:r w:rsidR="0079029E">
        <w:t>phenytonin</w:t>
      </w:r>
      <w:proofErr w:type="spellEnd"/>
      <w:r w:rsidR="0079029E">
        <w:t xml:space="preserve"> at 1.9</w:t>
      </w:r>
      <w:r>
        <w:t xml:space="preserve"> </w:t>
      </w:r>
      <w:r w:rsidR="000B75CD">
        <w:t xml:space="preserve">µg/mL </w:t>
      </w:r>
      <w:proofErr w:type="gramStart"/>
      <w:r>
        <w:t>(</w:t>
      </w:r>
      <w:r w:rsidR="0079029E">
        <w:t>7.5</w:t>
      </w:r>
      <w:r>
        <w:t> µ</w:t>
      </w:r>
      <w:proofErr w:type="spellStart"/>
      <w:r>
        <w:t>mol</w:t>
      </w:r>
      <w:proofErr w:type="spellEnd"/>
      <w:r>
        <w:t>/L)</w:t>
      </w:r>
      <w:proofErr w:type="gramEnd"/>
      <w:r>
        <w:t xml:space="preserve">. </w:t>
      </w:r>
      <w:r w:rsidR="000B75CD">
        <w:t xml:space="preserve">  </w:t>
      </w:r>
      <w:r>
        <w:t>Each substance was tested at 10 times the highest concentration for its therapeutic or normal range, as per the protocol described by NCCLS.</w:t>
      </w:r>
      <w:r>
        <w:rPr>
          <w:vertAlign w:val="superscript"/>
        </w:rPr>
        <w:t>12</w:t>
      </w:r>
      <w:r>
        <w:t xml:space="preserve"> </w:t>
      </w:r>
      <w:proofErr w:type="gramStart"/>
      <w:r>
        <w:t>The</w:t>
      </w:r>
      <w:proofErr w:type="gramEnd"/>
      <w:r>
        <w:t xml:space="preserve"> imprecision of the assay was taken into account when determining cross-reactivity. Cross-reactivity was designated as “not detectable” (ND) if the obtained value was less than the sensitivity of the assay.</w:t>
      </w:r>
    </w:p>
    <w:p w:rsidR="00983126" w:rsidRDefault="00983126" w:rsidP="00983126">
      <w:pPr>
        <w:pStyle w:val="NcclsPara"/>
        <w:rPr>
          <w:sz w:val="10"/>
          <w:szCs w:val="10"/>
        </w:rPr>
      </w:pPr>
    </w:p>
    <w:tbl>
      <w:tblPr>
        <w:tblW w:w="5000" w:type="pct"/>
        <w:tblLook w:val="04A0" w:firstRow="1" w:lastRow="0" w:firstColumn="1" w:lastColumn="0" w:noHBand="0" w:noVBand="1"/>
      </w:tblPr>
      <w:tblGrid>
        <w:gridCol w:w="2555"/>
        <w:gridCol w:w="1913"/>
        <w:gridCol w:w="2555"/>
        <w:gridCol w:w="2553"/>
      </w:tblGrid>
      <w:tr w:rsidR="00983126" w:rsidTr="00983126">
        <w:trPr>
          <w:cantSplit/>
        </w:trPr>
        <w:tc>
          <w:tcPr>
            <w:tcW w:w="1334" w:type="pct"/>
            <w:vMerge w:val="restart"/>
            <w:vAlign w:val="center"/>
            <w:hideMark/>
          </w:tcPr>
          <w:p w:rsidR="00983126" w:rsidRDefault="00983126">
            <w:pPr>
              <w:pStyle w:val="NcclsPara"/>
              <w:jc w:val="center"/>
            </w:pPr>
            <w:r>
              <w:t>Cross-reactivity (%) =</w:t>
            </w:r>
          </w:p>
        </w:tc>
        <w:tc>
          <w:tcPr>
            <w:tcW w:w="3666" w:type="pct"/>
            <w:gridSpan w:val="3"/>
            <w:tcBorders>
              <w:top w:val="nil"/>
              <w:left w:val="nil"/>
              <w:bottom w:val="single" w:sz="4" w:space="0" w:color="auto"/>
              <w:right w:val="nil"/>
            </w:tcBorders>
            <w:hideMark/>
          </w:tcPr>
          <w:p w:rsidR="00983126" w:rsidRDefault="00983126">
            <w:pPr>
              <w:pStyle w:val="NcclsPara"/>
              <w:jc w:val="center"/>
            </w:pPr>
            <w:r>
              <w:t>100 × (analytical result - analyte concentration)</w:t>
            </w:r>
          </w:p>
        </w:tc>
      </w:tr>
      <w:tr w:rsidR="00983126" w:rsidTr="00983126">
        <w:trPr>
          <w:cantSplit/>
        </w:trPr>
        <w:tc>
          <w:tcPr>
            <w:tcW w:w="0" w:type="auto"/>
            <w:vMerge/>
            <w:vAlign w:val="center"/>
            <w:hideMark/>
          </w:tcPr>
          <w:p w:rsidR="00983126" w:rsidRDefault="00983126">
            <w:pPr>
              <w:rPr>
                <w:szCs w:val="24"/>
              </w:rPr>
            </w:pPr>
          </w:p>
        </w:tc>
        <w:tc>
          <w:tcPr>
            <w:tcW w:w="3666" w:type="pct"/>
            <w:gridSpan w:val="3"/>
            <w:tcBorders>
              <w:top w:val="single" w:sz="4" w:space="0" w:color="auto"/>
              <w:left w:val="nil"/>
              <w:bottom w:val="nil"/>
              <w:right w:val="nil"/>
            </w:tcBorders>
            <w:hideMark/>
          </w:tcPr>
          <w:p w:rsidR="00983126" w:rsidRDefault="00983126">
            <w:pPr>
              <w:pStyle w:val="NcclsPara"/>
              <w:jc w:val="center"/>
            </w:pPr>
            <w:r>
              <w:t xml:space="preserve">concentration of </w:t>
            </w:r>
            <w:proofErr w:type="spellStart"/>
            <w:r>
              <w:t>interferent</w:t>
            </w:r>
            <w:proofErr w:type="spellEnd"/>
          </w:p>
        </w:tc>
      </w:tr>
      <w:tr w:rsidR="00983126" w:rsidTr="000B75CD">
        <w:trPr>
          <w:cantSplit/>
        </w:trPr>
        <w:tc>
          <w:tcPr>
            <w:tcW w:w="2333" w:type="pct"/>
            <w:gridSpan w:val="2"/>
            <w:tcBorders>
              <w:top w:val="nil"/>
              <w:left w:val="nil"/>
              <w:bottom w:val="single" w:sz="4" w:space="0" w:color="auto"/>
              <w:right w:val="nil"/>
            </w:tcBorders>
            <w:hideMark/>
          </w:tcPr>
          <w:p w:rsidR="00983126" w:rsidRDefault="00983126">
            <w:pPr>
              <w:pStyle w:val="NcclsPara"/>
              <w:spacing w:before="20" w:beforeAutospacing="0" w:after="20" w:afterAutospacing="0"/>
            </w:pPr>
            <w:r>
              <w:t>Drug</w:t>
            </w:r>
          </w:p>
        </w:tc>
        <w:tc>
          <w:tcPr>
            <w:tcW w:w="1334" w:type="pct"/>
            <w:tcBorders>
              <w:top w:val="nil"/>
              <w:left w:val="nil"/>
              <w:bottom w:val="single" w:sz="4" w:space="0" w:color="auto"/>
              <w:right w:val="nil"/>
            </w:tcBorders>
            <w:hideMark/>
          </w:tcPr>
          <w:p w:rsidR="00983126" w:rsidRDefault="00983126">
            <w:pPr>
              <w:pStyle w:val="NcclsPara"/>
              <w:spacing w:before="20" w:beforeAutospacing="0" w:after="20" w:afterAutospacing="0"/>
              <w:jc w:val="center"/>
            </w:pPr>
            <w:r>
              <w:t>Level tested</w:t>
            </w:r>
          </w:p>
          <w:p w:rsidR="00983126" w:rsidRDefault="00983126">
            <w:pPr>
              <w:pStyle w:val="NcclsPara"/>
              <w:spacing w:before="20" w:beforeAutospacing="0" w:after="20" w:afterAutospacing="0"/>
              <w:jc w:val="center"/>
            </w:pPr>
            <w:r>
              <w:t>µg/mL</w:t>
            </w:r>
          </w:p>
        </w:tc>
        <w:tc>
          <w:tcPr>
            <w:tcW w:w="1333" w:type="pct"/>
            <w:tcBorders>
              <w:top w:val="nil"/>
              <w:left w:val="nil"/>
              <w:bottom w:val="single" w:sz="4" w:space="0" w:color="auto"/>
              <w:right w:val="nil"/>
            </w:tcBorders>
            <w:hideMark/>
          </w:tcPr>
          <w:p w:rsidR="00983126" w:rsidRDefault="00983126">
            <w:pPr>
              <w:pStyle w:val="NcclsPara"/>
              <w:spacing w:before="20" w:beforeAutospacing="0" w:after="20" w:afterAutospacing="0"/>
              <w:jc w:val="center"/>
            </w:pPr>
            <w:r>
              <w:t>Cross-reactivity</w:t>
            </w:r>
          </w:p>
          <w:p w:rsidR="00983126" w:rsidRDefault="00983126">
            <w:pPr>
              <w:pStyle w:val="NcclsPara"/>
              <w:spacing w:before="20" w:beforeAutospacing="0" w:after="20" w:afterAutospacing="0"/>
              <w:jc w:val="center"/>
            </w:pPr>
            <w:r>
              <w:t>%</w:t>
            </w:r>
          </w:p>
        </w:tc>
      </w:tr>
      <w:tr w:rsidR="00983126" w:rsidTr="000B75CD">
        <w:trPr>
          <w:cantSplit/>
          <w:trHeight w:val="323"/>
        </w:trPr>
        <w:tc>
          <w:tcPr>
            <w:tcW w:w="2333" w:type="pct"/>
            <w:gridSpan w:val="2"/>
            <w:tcBorders>
              <w:top w:val="single" w:sz="4" w:space="0" w:color="auto"/>
              <w:left w:val="nil"/>
              <w:bottom w:val="nil"/>
              <w:right w:val="nil"/>
            </w:tcBorders>
            <w:hideMark/>
          </w:tcPr>
          <w:p w:rsidR="00983126" w:rsidRDefault="0079029E">
            <w:pPr>
              <w:pStyle w:val="NcclsPara"/>
              <w:spacing w:before="20" w:beforeAutospacing="0" w:after="20" w:afterAutospacing="0"/>
            </w:pPr>
            <w:r>
              <w:t>5-p-(</w:t>
            </w:r>
            <w:proofErr w:type="spellStart"/>
            <w:r>
              <w:t>Hydroxyphenyl</w:t>
            </w:r>
            <w:proofErr w:type="spellEnd"/>
            <w:r>
              <w:t>)-5phenylhydantoin (HPPH)</w:t>
            </w:r>
          </w:p>
        </w:tc>
        <w:tc>
          <w:tcPr>
            <w:tcW w:w="1334" w:type="pct"/>
            <w:tcBorders>
              <w:top w:val="single" w:sz="4" w:space="0" w:color="auto"/>
              <w:left w:val="nil"/>
              <w:bottom w:val="nil"/>
              <w:right w:val="nil"/>
            </w:tcBorders>
            <w:hideMark/>
          </w:tcPr>
          <w:p w:rsidR="00983126" w:rsidRDefault="0079029E" w:rsidP="0079029E">
            <w:pPr>
              <w:pStyle w:val="NcclsPara"/>
              <w:spacing w:before="20" w:beforeAutospacing="0" w:after="20" w:afterAutospacing="0"/>
              <w:jc w:val="center"/>
            </w:pPr>
            <w:r>
              <w:t>1</w:t>
            </w:r>
            <w:r w:rsidR="000B75CD">
              <w:t>00</w:t>
            </w:r>
          </w:p>
        </w:tc>
        <w:tc>
          <w:tcPr>
            <w:tcW w:w="1333" w:type="pct"/>
            <w:tcBorders>
              <w:top w:val="single" w:sz="4" w:space="0" w:color="auto"/>
              <w:left w:val="nil"/>
              <w:bottom w:val="nil"/>
              <w:right w:val="nil"/>
            </w:tcBorders>
            <w:hideMark/>
          </w:tcPr>
          <w:p w:rsidR="00983126" w:rsidRDefault="0079029E">
            <w:pPr>
              <w:pStyle w:val="NcclsPara"/>
              <w:spacing w:before="20" w:beforeAutospacing="0" w:after="20" w:afterAutospacing="0"/>
              <w:jc w:val="center"/>
            </w:pPr>
            <w:r>
              <w:t>1.8</w:t>
            </w:r>
          </w:p>
        </w:tc>
      </w:tr>
    </w:tbl>
    <w:p w:rsidR="00983126" w:rsidRDefault="003B45A9" w:rsidP="003B45A9">
      <w:pPr>
        <w:pStyle w:val="NcclsPara"/>
        <w:rPr>
          <w:b/>
        </w:rPr>
      </w:pPr>
      <w:r>
        <w:t>ND = Not Detectable</w:t>
      </w:r>
    </w:p>
    <w:p w:rsidR="00672CEB" w:rsidRDefault="00672CEB" w:rsidP="00FE7DED">
      <w:pPr>
        <w:pStyle w:val="ListParagraph"/>
        <w:numPr>
          <w:ilvl w:val="0"/>
          <w:numId w:val="1"/>
        </w:numPr>
        <w:spacing w:after="0"/>
        <w:rPr>
          <w:b/>
        </w:rPr>
      </w:pPr>
      <w:r>
        <w:rPr>
          <w:b/>
        </w:rPr>
        <w:t>REFERENCES</w:t>
      </w:r>
    </w:p>
    <w:tbl>
      <w:tblPr>
        <w:tblW w:w="9354" w:type="dxa"/>
        <w:tblLayout w:type="fixed"/>
        <w:tblCellMar>
          <w:left w:w="10" w:type="dxa"/>
          <w:right w:w="10" w:type="dxa"/>
        </w:tblCellMar>
        <w:tblLook w:val="04A0" w:firstRow="1" w:lastRow="0" w:firstColumn="1" w:lastColumn="0" w:noHBand="0" w:noVBand="1"/>
      </w:tblPr>
      <w:tblGrid>
        <w:gridCol w:w="283"/>
        <w:gridCol w:w="9071"/>
      </w:tblGrid>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FE7DED">
            <w:pPr>
              <w:pStyle w:val="BODY"/>
              <w:numPr>
                <w:ilvl w:val="0"/>
                <w:numId w:val="1"/>
              </w:numPr>
              <w:rPr>
                <w:rFonts w:ascii="Times New Roman" w:hAnsi="Times New Roman"/>
                <w:sz w:val="22"/>
              </w:rPr>
            </w:pPr>
            <w:r w:rsidRPr="00EC6FBE">
              <w:rPr>
                <w:rFonts w:ascii="Times New Roman" w:hAnsi="Times New Roman"/>
                <w:sz w:val="22"/>
              </w:rPr>
              <w:t>1</w:t>
            </w:r>
          </w:p>
        </w:tc>
        <w:tc>
          <w:tcPr>
            <w:tcW w:w="9071" w:type="dxa"/>
            <w:shd w:val="clear" w:color="auto" w:fill="auto"/>
            <w:tcMar>
              <w:top w:w="0" w:type="dxa"/>
              <w:left w:w="0" w:type="dxa"/>
              <w:bottom w:w="0" w:type="dxa"/>
              <w:right w:w="0" w:type="dxa"/>
            </w:tcMar>
          </w:tcPr>
          <w:p w:rsidR="00EC6FBE" w:rsidRPr="00EC6FBE" w:rsidRDefault="00EC6FBE" w:rsidP="00FE7DED">
            <w:pPr>
              <w:pStyle w:val="BODY"/>
              <w:rPr>
                <w:rFonts w:ascii="Times New Roman" w:hAnsi="Times New Roman"/>
                <w:sz w:val="22"/>
              </w:rPr>
            </w:pPr>
            <w:r w:rsidRPr="00EC6FBE">
              <w:rPr>
                <w:rFonts w:ascii="Times New Roman" w:hAnsi="Times New Roman"/>
                <w:sz w:val="22"/>
              </w:rPr>
              <w:t>Buchthal F, Lennox-Buchtal MA. Diphenylhydantoin: relation of anti-convulsant effect to concentration in serum. Antiepileptic Drugs Raven Press, NY 1972;193-209.</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2</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Roberts WL, Rainey PM. Interference in immunoassay measurements of total and free phenytoin in uremic patients:a reappraisal. Clin Chem 1993;39(9):1872-1877.</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3</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Dandliker WB, Feigen GA. Quantification of the antigen-antibody reaction by the polarization of fluorescence. Biochem Biophys Res Comm 1961;5:299-304.</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4</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Ehrnebo M, Agurell S, Julling B, et al. Age differences in drug binding by plasma proteins: studies on human fetuses, neonates, adults. Eur J Clin Pharmacol 1971;3:189-193.</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5</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Smith LB, Anderson BD. Effect of ultrafiltration product and ultrafiltration-freezing sequence on free phenytoin determination. Clin Pharm 1991;10:132-136.</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6</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Glick MR, Ryder KW, Jackson SA. Graphical Comparisons of Interferences in Clinical Chemistry Instrumentation. Clin Chem 1986;32:470-475.</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7</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Kilpatrick CJ, Wanwimolruk S, Wing LMH. Plasma concentrations of unbound phenytoin in the management of epilepsy. Br J Clin Pharmacol 1984;17:539-546.</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8</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Cai WM, Zhu GZ, Chen G. Free phenytoin monitoring in serum and saliva of epileptic patients in China. Ther Drug Monit 1993;15:31-34.</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9</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Schramm W, Annesley TM, Siegel GJ, et al. Measurement of phenytoin and carbamazepine in an ultrafiltrate of saliva. Ther Drug Monit 1991;13:452-460.</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10</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Zielmann S, Mielck F, Kahl R, et al. A rational basis for the measurement of free phenytoin concentration in critically ill trauma patients. Ther Drug Monit 1994;16:139-144.</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11</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National Committee for Clinical Laboratory Standards. User Evaluation of Precision Performance of Clinical Chemistry Devices; Tentative Guideline. Villanova, PA.: NCCLS;1992;4(12). NCCLS Publication EP5-T2.</w:t>
            </w:r>
          </w:p>
        </w:tc>
      </w:tr>
      <w:tr w:rsidR="00EC6FBE" w:rsidRPr="00EC6FBE" w:rsidTr="00193DBD">
        <w:tc>
          <w:tcPr>
            <w:tcW w:w="283"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12</w:t>
            </w:r>
          </w:p>
        </w:tc>
        <w:tc>
          <w:tcPr>
            <w:tcW w:w="9071" w:type="dxa"/>
            <w:shd w:val="clear" w:color="auto" w:fill="auto"/>
            <w:tcMar>
              <w:top w:w="0" w:type="dxa"/>
              <w:left w:w="0" w:type="dxa"/>
              <w:bottom w:w="0" w:type="dxa"/>
              <w:right w:w="0" w:type="dxa"/>
            </w:tcMar>
          </w:tcPr>
          <w:p w:rsidR="00EC6FBE" w:rsidRPr="00EC6FBE" w:rsidRDefault="00EC6FBE" w:rsidP="00193DBD">
            <w:pPr>
              <w:pStyle w:val="BODY"/>
              <w:rPr>
                <w:rFonts w:ascii="Times New Roman" w:hAnsi="Times New Roman"/>
                <w:sz w:val="22"/>
              </w:rPr>
            </w:pPr>
            <w:r w:rsidRPr="00EC6FBE">
              <w:rPr>
                <w:rFonts w:ascii="Times New Roman" w:hAnsi="Times New Roman"/>
                <w:sz w:val="22"/>
              </w:rPr>
              <w:t>National Committee for Clinical Laboratory Standards. Interference Testing in Clinical Chemistry; Proposed Guideline. Villanova, PA.: NCCLS; 1986;6(13). NCCLS Publication EP7-P.</w:t>
            </w:r>
          </w:p>
        </w:tc>
      </w:tr>
    </w:tbl>
    <w:p w:rsidR="00266DCC" w:rsidRDefault="00266DCC" w:rsidP="00266DCC">
      <w:pPr>
        <w:tabs>
          <w:tab w:val="left" w:pos="4140"/>
        </w:tabs>
        <w:rPr>
          <w:rFonts w:ascii="Arial" w:hAnsi="Arial" w:cs="Arial"/>
          <w:b/>
          <w:bCs/>
          <w:color w:val="000000"/>
        </w:rPr>
      </w:pPr>
      <w:r w:rsidRPr="00526945">
        <w:rPr>
          <w:rFonts w:ascii="Arial" w:hAnsi="Arial" w:cs="Arial"/>
          <w:b/>
          <w:bCs/>
          <w:color w:val="000000"/>
        </w:rPr>
        <w:lastRenderedPageBreak/>
        <w:t xml:space="preserve">Training </w:t>
      </w:r>
      <w:r>
        <w:rPr>
          <w:rFonts w:ascii="Arial" w:hAnsi="Arial" w:cs="Arial"/>
          <w:b/>
          <w:bCs/>
          <w:color w:val="000000"/>
        </w:rPr>
        <w:t xml:space="preserve">or Read/Review </w:t>
      </w:r>
      <w:r w:rsidRPr="00526945">
        <w:rPr>
          <w:rFonts w:ascii="Arial" w:hAnsi="Arial" w:cs="Arial"/>
          <w:b/>
          <w:bCs/>
          <w:color w:val="000000"/>
        </w:rPr>
        <w:t>Signature Log</w:t>
      </w:r>
    </w:p>
    <w:tbl>
      <w:tblPr>
        <w:tblW w:w="1061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
        <w:gridCol w:w="2123"/>
        <w:gridCol w:w="1638"/>
        <w:gridCol w:w="1620"/>
        <w:gridCol w:w="3997"/>
        <w:gridCol w:w="988"/>
      </w:tblGrid>
      <w:tr w:rsidR="00266DCC" w:rsidRPr="00EE6996" w:rsidTr="00266DCC">
        <w:trPr>
          <w:gridBefore w:val="1"/>
          <w:wBefore w:w="252" w:type="dxa"/>
          <w:trHeight w:val="683"/>
          <w:jc w:val="center"/>
        </w:trPr>
        <w:tc>
          <w:tcPr>
            <w:tcW w:w="2123" w:type="dxa"/>
            <w:shd w:val="clear" w:color="auto" w:fill="auto"/>
            <w:noWrap/>
          </w:tcPr>
          <w:p w:rsidR="00266DCC" w:rsidRPr="00EE6996" w:rsidRDefault="00266DCC" w:rsidP="00064BF6">
            <w:pPr>
              <w:rPr>
                <w:rFonts w:ascii="Arial" w:hAnsi="Arial" w:cs="Arial"/>
                <w:b/>
                <w:bCs/>
              </w:rPr>
            </w:pPr>
            <w:r w:rsidRPr="00EE6996">
              <w:rPr>
                <w:rFonts w:ascii="Arial" w:hAnsi="Arial" w:cs="Arial"/>
                <w:b/>
                <w:bCs/>
              </w:rPr>
              <w:t xml:space="preserve">Document Title:    </w:t>
            </w:r>
          </w:p>
          <w:p w:rsidR="00266DCC" w:rsidRPr="00EE6996" w:rsidRDefault="00266DCC" w:rsidP="00064BF6">
            <w:pPr>
              <w:rPr>
                <w:rFonts w:ascii="Arial" w:hAnsi="Arial" w:cs="Arial"/>
                <w:b/>
                <w:bCs/>
              </w:rPr>
            </w:pPr>
          </w:p>
        </w:tc>
        <w:tc>
          <w:tcPr>
            <w:tcW w:w="8243" w:type="dxa"/>
            <w:gridSpan w:val="4"/>
            <w:shd w:val="clear" w:color="auto" w:fill="auto"/>
            <w:noWrap/>
          </w:tcPr>
          <w:p w:rsidR="00266DCC" w:rsidRPr="00EE6996" w:rsidRDefault="00266DCC" w:rsidP="00064BF6">
            <w:pPr>
              <w:rPr>
                <w:rFonts w:ascii="Arial" w:hAnsi="Arial" w:cs="Arial"/>
              </w:rPr>
            </w:pPr>
          </w:p>
          <w:p w:rsidR="00266DCC" w:rsidRPr="00EE6996" w:rsidRDefault="00266DCC" w:rsidP="00064BF6">
            <w:pPr>
              <w:rPr>
                <w:rFonts w:ascii="Arial" w:hAnsi="Arial" w:cs="Arial"/>
              </w:rPr>
            </w:pPr>
          </w:p>
        </w:tc>
      </w:tr>
      <w:tr w:rsidR="00266DCC" w:rsidRPr="00EE6996" w:rsidTr="00266DCC">
        <w:trPr>
          <w:gridBefore w:val="1"/>
          <w:wBefore w:w="252" w:type="dxa"/>
          <w:trHeight w:val="287"/>
          <w:jc w:val="center"/>
        </w:trPr>
        <w:tc>
          <w:tcPr>
            <w:tcW w:w="2123" w:type="dxa"/>
            <w:shd w:val="clear" w:color="auto" w:fill="auto"/>
            <w:noWrap/>
            <w:vAlign w:val="center"/>
          </w:tcPr>
          <w:p w:rsidR="00266DCC" w:rsidRPr="00EE6996" w:rsidRDefault="00266DCC" w:rsidP="00064BF6">
            <w:pPr>
              <w:rPr>
                <w:rFonts w:ascii="Arial" w:hAnsi="Arial" w:cs="Arial"/>
                <w:b/>
                <w:bCs/>
              </w:rPr>
            </w:pPr>
            <w:r w:rsidRPr="00EE6996">
              <w:rPr>
                <w:rFonts w:ascii="Arial" w:hAnsi="Arial" w:cs="Arial"/>
                <w:b/>
                <w:bCs/>
              </w:rPr>
              <w:t>Document  Number:</w:t>
            </w:r>
          </w:p>
        </w:tc>
        <w:tc>
          <w:tcPr>
            <w:tcW w:w="8243" w:type="dxa"/>
            <w:gridSpan w:val="4"/>
            <w:shd w:val="clear" w:color="auto" w:fill="auto"/>
            <w:noWrap/>
            <w:vAlign w:val="center"/>
          </w:tcPr>
          <w:p w:rsidR="00266DCC" w:rsidRPr="00EE6996" w:rsidRDefault="00266DCC" w:rsidP="00064BF6">
            <w:pPr>
              <w:rPr>
                <w:rFonts w:ascii="Arial" w:hAnsi="Arial" w:cs="Arial"/>
              </w:rPr>
            </w:pPr>
          </w:p>
        </w:tc>
      </w:tr>
      <w:tr w:rsidR="00266DCC" w:rsidRPr="00EE6996" w:rsidTr="00266DCC">
        <w:trPr>
          <w:gridBefore w:val="1"/>
          <w:wBefore w:w="252" w:type="dxa"/>
          <w:trHeight w:val="255"/>
          <w:jc w:val="center"/>
        </w:trPr>
        <w:tc>
          <w:tcPr>
            <w:tcW w:w="2123" w:type="dxa"/>
            <w:shd w:val="clear" w:color="auto" w:fill="auto"/>
            <w:noWrap/>
          </w:tcPr>
          <w:p w:rsidR="00266DCC" w:rsidRPr="00EE6996" w:rsidRDefault="00266DCC" w:rsidP="00064BF6">
            <w:pPr>
              <w:rPr>
                <w:rFonts w:ascii="Arial" w:hAnsi="Arial" w:cs="Arial"/>
                <w:b/>
                <w:bCs/>
              </w:rPr>
            </w:pPr>
            <w:r w:rsidRPr="00EE6996">
              <w:rPr>
                <w:rFonts w:ascii="Arial" w:hAnsi="Arial" w:cs="Arial"/>
                <w:b/>
                <w:bCs/>
              </w:rPr>
              <w:t>Document Type:</w:t>
            </w:r>
          </w:p>
        </w:tc>
        <w:tc>
          <w:tcPr>
            <w:tcW w:w="1638" w:type="dxa"/>
            <w:shd w:val="clear" w:color="auto" w:fill="auto"/>
            <w:noWrap/>
          </w:tcPr>
          <w:p w:rsidR="00266DCC" w:rsidRPr="00EE6996" w:rsidRDefault="00266DCC" w:rsidP="00064BF6">
            <w:pPr>
              <w:rPr>
                <w:rFonts w:ascii="Arial" w:hAnsi="Arial" w:cs="Arial"/>
              </w:rPr>
            </w:pPr>
            <w:r w:rsidRPr="00EE6996">
              <w:rPr>
                <w:rFonts w:ascii="Arial" w:hAnsi="Arial" w:cs="Arial"/>
              </w:rPr>
              <w:t>□</w:t>
            </w:r>
            <w:r>
              <w:rPr>
                <w:rFonts w:ascii="Arial" w:hAnsi="Arial" w:cs="Arial"/>
              </w:rPr>
              <w:t xml:space="preserve">  </w:t>
            </w:r>
            <w:r w:rsidRPr="00EE6996">
              <w:rPr>
                <w:rFonts w:ascii="Arial" w:hAnsi="Arial" w:cs="Arial"/>
              </w:rPr>
              <w:t>SOP</w:t>
            </w:r>
          </w:p>
        </w:tc>
        <w:tc>
          <w:tcPr>
            <w:tcW w:w="1620" w:type="dxa"/>
            <w:shd w:val="clear" w:color="auto" w:fill="auto"/>
            <w:noWrap/>
          </w:tcPr>
          <w:p w:rsidR="00266DCC" w:rsidRPr="00EE6996" w:rsidRDefault="00266DCC" w:rsidP="00064BF6">
            <w:pPr>
              <w:rPr>
                <w:rFonts w:ascii="Arial" w:hAnsi="Arial" w:cs="Arial"/>
              </w:rPr>
            </w:pPr>
            <w:r w:rsidRPr="00EE6996">
              <w:rPr>
                <w:rFonts w:ascii="Arial" w:hAnsi="Arial" w:cs="Arial"/>
              </w:rPr>
              <w:t xml:space="preserve">□  </w:t>
            </w:r>
            <w:r>
              <w:rPr>
                <w:rFonts w:ascii="Arial" w:hAnsi="Arial" w:cs="Arial"/>
              </w:rPr>
              <w:t>Policy</w:t>
            </w:r>
          </w:p>
        </w:tc>
        <w:tc>
          <w:tcPr>
            <w:tcW w:w="4985" w:type="dxa"/>
            <w:gridSpan w:val="2"/>
            <w:shd w:val="clear" w:color="auto" w:fill="auto"/>
            <w:noWrap/>
          </w:tcPr>
          <w:p w:rsidR="00266DCC" w:rsidRDefault="00266DCC" w:rsidP="00064BF6">
            <w:pPr>
              <w:rPr>
                <w:rFonts w:ascii="Arial" w:hAnsi="Arial" w:cs="Arial"/>
              </w:rPr>
            </w:pPr>
            <w:r w:rsidRPr="00EE6996">
              <w:rPr>
                <w:rFonts w:ascii="Arial" w:hAnsi="Arial" w:cs="Arial"/>
              </w:rPr>
              <w:t>□  Other _________</w:t>
            </w:r>
          </w:p>
          <w:p w:rsidR="00266DCC" w:rsidRPr="00EE6996" w:rsidRDefault="00266DCC" w:rsidP="00064BF6">
            <w:pPr>
              <w:rPr>
                <w:rFonts w:ascii="Arial" w:hAnsi="Arial" w:cs="Arial"/>
              </w:rPr>
            </w:pPr>
            <w:r>
              <w:rPr>
                <w:rFonts w:ascii="Arial" w:hAnsi="Arial" w:cs="Arial"/>
              </w:rPr>
              <w:t>(specify: Article, Job Aid, Form, MSDS revision)</w:t>
            </w:r>
          </w:p>
        </w:tc>
      </w:tr>
      <w:tr w:rsidR="00266DCC" w:rsidRPr="005C1AE7" w:rsidTr="00266DCC">
        <w:tblPrEx>
          <w:jc w:val="left"/>
          <w:tblBorders>
            <w:insideH w:val="none" w:sz="0" w:space="0" w:color="auto"/>
            <w:insideV w:val="none" w:sz="0" w:space="0" w:color="auto"/>
          </w:tblBorders>
          <w:tblLook w:val="01E0" w:firstRow="1" w:lastRow="1" w:firstColumn="1" w:lastColumn="1" w:noHBand="0" w:noVBand="0"/>
        </w:tblPrEx>
        <w:trPr>
          <w:gridAfter w:val="1"/>
          <w:wAfter w:w="988" w:type="dxa"/>
          <w:trHeight w:val="1007"/>
        </w:trPr>
        <w:tc>
          <w:tcPr>
            <w:tcW w:w="9630" w:type="dxa"/>
            <w:gridSpan w:val="5"/>
          </w:tcPr>
          <w:p w:rsidR="00266DCC" w:rsidRPr="005C1AE7" w:rsidRDefault="00266DCC" w:rsidP="00064BF6">
            <w:pPr>
              <w:rPr>
                <w:rFonts w:ascii="Arial" w:hAnsi="Arial" w:cs="Arial"/>
                <w:color w:val="000000"/>
              </w:rPr>
            </w:pPr>
            <w:r w:rsidRPr="005C1AE7">
              <w:rPr>
                <w:rFonts w:ascii="Arial" w:hAnsi="Arial" w:cs="Arial"/>
                <w:color w:val="000000"/>
              </w:rPr>
              <w:t xml:space="preserve">Brief Description:     </w:t>
            </w:r>
            <w:r>
              <w:rPr>
                <w:rFonts w:ascii="Arial" w:hAnsi="Arial" w:cs="Arial"/>
                <w:color w:val="000000"/>
              </w:rPr>
              <w:t>(i.e. Revised)</w:t>
            </w:r>
          </w:p>
          <w:p w:rsidR="00266DCC" w:rsidRPr="005C1AE7" w:rsidRDefault="00266DCC" w:rsidP="00064BF6">
            <w:pPr>
              <w:rPr>
                <w:rFonts w:ascii="Arial" w:hAnsi="Arial" w:cs="Arial"/>
                <w:color w:val="000000"/>
                <w:u w:val="single"/>
              </w:rPr>
            </w:pP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t>_______</w:t>
            </w:r>
            <w:r w:rsidRPr="005C1AE7">
              <w:rPr>
                <w:rFonts w:ascii="Arial" w:hAnsi="Arial" w:cs="Arial"/>
                <w:color w:val="000000"/>
                <w:u w:val="single"/>
              </w:rPr>
              <w:tab/>
            </w:r>
          </w:p>
          <w:p w:rsidR="00266DCC" w:rsidRPr="005C1AE7" w:rsidRDefault="00266DCC" w:rsidP="00064BF6">
            <w:pPr>
              <w:rPr>
                <w:rFonts w:ascii="Arial" w:hAnsi="Arial" w:cs="Arial"/>
              </w:rPr>
            </w:pP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r>
            <w:r w:rsidRPr="005C1AE7">
              <w:rPr>
                <w:rFonts w:ascii="Arial" w:hAnsi="Arial" w:cs="Arial"/>
                <w:color w:val="000000"/>
                <w:u w:val="single"/>
              </w:rPr>
              <w:tab/>
              <w:t>_______</w:t>
            </w:r>
            <w:r w:rsidRPr="005C1AE7">
              <w:rPr>
                <w:rFonts w:ascii="Arial" w:hAnsi="Arial" w:cs="Arial"/>
                <w:color w:val="000000"/>
                <w:u w:val="single"/>
              </w:rPr>
              <w:tab/>
            </w:r>
          </w:p>
        </w:tc>
      </w:tr>
      <w:tr w:rsidR="00266DCC" w:rsidRPr="005C1AE7" w:rsidTr="00266DCC">
        <w:tblPrEx>
          <w:jc w:val="left"/>
          <w:tblBorders>
            <w:insideH w:val="none" w:sz="0" w:space="0" w:color="auto"/>
            <w:insideV w:val="none" w:sz="0" w:space="0" w:color="auto"/>
          </w:tblBorders>
          <w:tblLook w:val="01E0" w:firstRow="1" w:lastRow="1" w:firstColumn="1" w:lastColumn="1" w:noHBand="0" w:noVBand="0"/>
        </w:tblPrEx>
        <w:trPr>
          <w:gridAfter w:val="1"/>
          <w:wAfter w:w="988" w:type="dxa"/>
        </w:trPr>
        <w:tc>
          <w:tcPr>
            <w:tcW w:w="9630" w:type="dxa"/>
            <w:gridSpan w:val="5"/>
          </w:tcPr>
          <w:p w:rsidR="00266DCC" w:rsidRPr="005C1AE7" w:rsidRDefault="00266DCC" w:rsidP="00064BF6">
            <w:pPr>
              <w:rPr>
                <w:rFonts w:ascii="Arial" w:hAnsi="Arial" w:cs="Arial"/>
              </w:rPr>
            </w:pPr>
            <w:r w:rsidRPr="005C1AE7">
              <w:rPr>
                <w:rFonts w:ascii="Arial" w:hAnsi="Arial" w:cs="Arial"/>
              </w:rPr>
              <w:t xml:space="preserve">Trainer(s):  </w:t>
            </w:r>
          </w:p>
          <w:p w:rsidR="00266DCC" w:rsidRPr="00CD38BE" w:rsidRDefault="00266DCC" w:rsidP="00064BF6">
            <w:pPr>
              <w:rPr>
                <w:rFonts w:ascii="Arial" w:hAnsi="Arial" w:cs="Arial"/>
              </w:rPr>
            </w:pPr>
            <w:r w:rsidRPr="00CD38BE">
              <w:rPr>
                <w:rFonts w:ascii="Arial" w:hAnsi="Arial" w:cs="Arial"/>
              </w:rPr>
              <w:t>(if applicable, or NA)</w:t>
            </w:r>
          </w:p>
        </w:tc>
      </w:tr>
    </w:tbl>
    <w:p w:rsidR="00266DCC" w:rsidRPr="005C1AE7" w:rsidRDefault="00266DCC" w:rsidP="00266DCC">
      <w:pPr>
        <w:rPr>
          <w:rFonts w:ascii="Arial" w:hAnsi="Arial" w:cs="Arial"/>
          <w:b/>
          <w:i/>
          <w:color w:val="000000"/>
        </w:rPr>
      </w:pPr>
      <w:r w:rsidRPr="005C1AE7">
        <w:rPr>
          <w:rFonts w:ascii="Arial" w:hAnsi="Arial" w:cs="Arial"/>
          <w:b/>
          <w:i/>
          <w:iCs/>
        </w:rPr>
        <w:t>Your signature below indicates that you have read/been traine</w:t>
      </w:r>
      <w:r>
        <w:rPr>
          <w:rFonts w:ascii="Arial" w:hAnsi="Arial" w:cs="Arial"/>
          <w:b/>
          <w:i/>
          <w:iCs/>
        </w:rPr>
        <w:t>d and understood the information</w:t>
      </w:r>
      <w:r w:rsidRPr="005C1AE7">
        <w:rPr>
          <w:rFonts w:ascii="Arial" w:hAnsi="Arial" w:cs="Arial"/>
          <w:b/>
          <w:i/>
          <w:iCs/>
        </w:rPr>
        <w:t>.</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2700"/>
      </w:tblGrid>
      <w:tr w:rsidR="00266DCC" w:rsidRPr="005C1AE7" w:rsidTr="00064BF6">
        <w:trPr>
          <w:jc w:val="center"/>
        </w:trPr>
        <w:tc>
          <w:tcPr>
            <w:tcW w:w="3780" w:type="dxa"/>
          </w:tcPr>
          <w:p w:rsidR="00266DCC" w:rsidRPr="005C1AE7" w:rsidRDefault="00266DCC" w:rsidP="00064BF6">
            <w:pPr>
              <w:jc w:val="center"/>
              <w:rPr>
                <w:rFonts w:ascii="Arial" w:hAnsi="Arial" w:cs="Arial"/>
                <w:b/>
                <w:color w:val="000000"/>
              </w:rPr>
            </w:pPr>
            <w:r w:rsidRPr="005C1AE7">
              <w:rPr>
                <w:rFonts w:ascii="Arial" w:hAnsi="Arial" w:cs="Arial"/>
                <w:b/>
                <w:color w:val="000000"/>
              </w:rPr>
              <w:t>Name (print)</w:t>
            </w:r>
          </w:p>
        </w:tc>
        <w:tc>
          <w:tcPr>
            <w:tcW w:w="3780" w:type="dxa"/>
          </w:tcPr>
          <w:p w:rsidR="00266DCC" w:rsidRPr="005C1AE7" w:rsidRDefault="00266DCC" w:rsidP="00064BF6">
            <w:pPr>
              <w:jc w:val="center"/>
              <w:rPr>
                <w:rFonts w:ascii="Arial" w:hAnsi="Arial" w:cs="Arial"/>
                <w:b/>
                <w:color w:val="000000"/>
              </w:rPr>
            </w:pPr>
            <w:r w:rsidRPr="005C1AE7">
              <w:rPr>
                <w:rFonts w:ascii="Arial" w:hAnsi="Arial" w:cs="Arial"/>
                <w:b/>
                <w:color w:val="000000"/>
              </w:rPr>
              <w:t>Signature</w:t>
            </w:r>
          </w:p>
        </w:tc>
        <w:tc>
          <w:tcPr>
            <w:tcW w:w="2700" w:type="dxa"/>
          </w:tcPr>
          <w:p w:rsidR="00266DCC" w:rsidRPr="005C1AE7" w:rsidRDefault="00266DCC" w:rsidP="00064BF6">
            <w:pPr>
              <w:jc w:val="center"/>
              <w:rPr>
                <w:rFonts w:ascii="Arial" w:hAnsi="Arial" w:cs="Arial"/>
                <w:b/>
                <w:color w:val="000000"/>
              </w:rPr>
            </w:pPr>
            <w:r w:rsidRPr="005C1AE7">
              <w:rPr>
                <w:rFonts w:ascii="Arial" w:hAnsi="Arial" w:cs="Arial"/>
                <w:b/>
                <w:color w:val="000000"/>
              </w:rPr>
              <w:t xml:space="preserve">Date </w:t>
            </w:r>
            <w:r w:rsidRPr="005C1AE7">
              <w:rPr>
                <w:rFonts w:ascii="Arial" w:hAnsi="Arial" w:cs="Arial"/>
                <w:color w:val="000000"/>
              </w:rPr>
              <w:t>(mmm/</w:t>
            </w:r>
            <w:proofErr w:type="spellStart"/>
            <w:r>
              <w:rPr>
                <w:rFonts w:ascii="Arial" w:hAnsi="Arial" w:cs="Arial"/>
                <w:color w:val="000000"/>
              </w:rPr>
              <w:t>dd</w:t>
            </w:r>
            <w:proofErr w:type="spellEnd"/>
            <w:r>
              <w:rPr>
                <w:rFonts w:ascii="Arial" w:hAnsi="Arial" w:cs="Arial"/>
                <w:color w:val="000000"/>
              </w:rPr>
              <w:t>/</w:t>
            </w:r>
            <w:proofErr w:type="spellStart"/>
            <w:r w:rsidRPr="005C1AE7">
              <w:rPr>
                <w:rFonts w:ascii="Arial" w:hAnsi="Arial" w:cs="Arial"/>
                <w:color w:val="000000"/>
              </w:rPr>
              <w:t>yyyy</w:t>
            </w:r>
            <w:proofErr w:type="spellEnd"/>
            <w:r w:rsidRPr="005C1AE7">
              <w:rPr>
                <w:rFonts w:ascii="Arial" w:hAnsi="Arial" w:cs="Arial"/>
                <w:color w:val="000000"/>
              </w:rPr>
              <w:t>)</w:t>
            </w: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trHeight w:val="368"/>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r w:rsidR="00266DCC" w:rsidRPr="005C1AE7" w:rsidTr="00064BF6">
        <w:trPr>
          <w:jc w:val="center"/>
        </w:trPr>
        <w:tc>
          <w:tcPr>
            <w:tcW w:w="3780" w:type="dxa"/>
          </w:tcPr>
          <w:p w:rsidR="00266DCC" w:rsidRPr="005C1AE7" w:rsidRDefault="00266DCC" w:rsidP="00064BF6">
            <w:pPr>
              <w:jc w:val="both"/>
              <w:rPr>
                <w:rFonts w:ascii="Arial" w:hAnsi="Arial" w:cs="Arial"/>
                <w:color w:val="000000"/>
                <w:szCs w:val="20"/>
              </w:rPr>
            </w:pPr>
          </w:p>
        </w:tc>
        <w:tc>
          <w:tcPr>
            <w:tcW w:w="3780" w:type="dxa"/>
          </w:tcPr>
          <w:p w:rsidR="00266DCC" w:rsidRPr="005C1AE7" w:rsidRDefault="00266DCC" w:rsidP="00064BF6">
            <w:pPr>
              <w:jc w:val="both"/>
              <w:rPr>
                <w:rFonts w:ascii="Arial" w:hAnsi="Arial" w:cs="Arial"/>
                <w:color w:val="000000"/>
                <w:szCs w:val="20"/>
              </w:rPr>
            </w:pPr>
          </w:p>
        </w:tc>
        <w:tc>
          <w:tcPr>
            <w:tcW w:w="2700" w:type="dxa"/>
          </w:tcPr>
          <w:p w:rsidR="00266DCC" w:rsidRPr="005C1AE7" w:rsidRDefault="00266DCC" w:rsidP="00064BF6">
            <w:pPr>
              <w:jc w:val="both"/>
              <w:rPr>
                <w:rFonts w:ascii="Arial" w:hAnsi="Arial" w:cs="Arial"/>
                <w:color w:val="000000"/>
                <w:szCs w:val="20"/>
              </w:rPr>
            </w:pPr>
          </w:p>
        </w:tc>
      </w:tr>
    </w:tbl>
    <w:p w:rsidR="00370695" w:rsidRPr="00435F2C" w:rsidRDefault="00370695" w:rsidP="00370695">
      <w:pPr>
        <w:tabs>
          <w:tab w:val="left" w:pos="4140"/>
        </w:tabs>
        <w:jc w:val="center"/>
        <w:rPr>
          <w:rFonts w:ascii="Arial" w:hAnsi="Arial" w:cs="Arial"/>
          <w:sz w:val="20"/>
          <w:szCs w:val="20"/>
        </w:rPr>
      </w:pPr>
      <w:r>
        <w:rPr>
          <w:rStyle w:val="normalchar1"/>
          <w:b/>
          <w:bCs/>
          <w:sz w:val="20"/>
          <w:szCs w:val="20"/>
        </w:rPr>
        <w:lastRenderedPageBreak/>
        <w:t xml:space="preserve">Preparation of samples for Testing of Free Phenytoin and Free </w:t>
      </w:r>
      <w:proofErr w:type="spellStart"/>
      <w:r>
        <w:rPr>
          <w:rStyle w:val="normalchar1"/>
          <w:b/>
          <w:bCs/>
          <w:sz w:val="20"/>
          <w:szCs w:val="20"/>
        </w:rPr>
        <w:t>Valproic</w:t>
      </w:r>
      <w:proofErr w:type="spellEnd"/>
      <w:r>
        <w:rPr>
          <w:rStyle w:val="normalchar1"/>
          <w:b/>
          <w:bCs/>
          <w:sz w:val="20"/>
          <w:szCs w:val="20"/>
        </w:rPr>
        <w:t xml:space="preserve"> Acid on the Integra 400</w:t>
      </w:r>
      <w:r w:rsidRPr="00435F2C">
        <w:rPr>
          <w:rFonts w:ascii="Arial" w:hAnsi="Arial" w:cs="Arial"/>
          <w:b/>
          <w:sz w:val="20"/>
          <w:szCs w:val="20"/>
        </w:rPr>
        <w:t xml:space="preserve"> - Skills Assessment</w:t>
      </w:r>
      <w:r w:rsidRPr="00435F2C">
        <w:rPr>
          <w:rFonts w:ascii="Arial" w:hAnsi="Arial" w:cs="Arial"/>
          <w:b/>
          <w:sz w:val="20"/>
          <w:szCs w:val="20"/>
        </w:rPr>
        <w:tab/>
      </w:r>
    </w:p>
    <w:p w:rsidR="00370695" w:rsidRDefault="00370695" w:rsidP="00370695">
      <w:pPr>
        <w:spacing w:before="240" w:after="240"/>
        <w:rPr>
          <w:rFonts w:ascii="Arial" w:hAnsi="Arial" w:cs="Arial"/>
          <w:sz w:val="20"/>
          <w:szCs w:val="20"/>
        </w:rPr>
      </w:pPr>
      <w:r w:rsidRPr="00435F2C">
        <w:rPr>
          <w:rFonts w:ascii="Arial" w:hAnsi="Arial" w:cs="Arial"/>
          <w:sz w:val="20"/>
          <w:szCs w:val="20"/>
        </w:rPr>
        <w:t>Trainee Name:</w:t>
      </w:r>
      <w:r>
        <w:rPr>
          <w:rFonts w:ascii="Arial" w:hAnsi="Arial" w:cs="Arial"/>
          <w:sz w:val="20"/>
          <w:szCs w:val="20"/>
        </w:rPr>
        <w:t xml:space="preserve"> _________________________________________</w:t>
      </w:r>
      <w:r w:rsidRPr="00435F2C">
        <w:rPr>
          <w:rFonts w:ascii="Arial" w:hAnsi="Arial" w:cs="Arial"/>
          <w:sz w:val="20"/>
          <w:szCs w:val="20"/>
        </w:rPr>
        <w:t xml:space="preserve"> </w:t>
      </w:r>
    </w:p>
    <w:p w:rsidR="00370695" w:rsidRPr="00435F2C" w:rsidRDefault="00370695" w:rsidP="00370695">
      <w:pPr>
        <w:spacing w:before="240" w:after="240"/>
        <w:rPr>
          <w:rFonts w:ascii="Arial" w:hAnsi="Arial" w:cs="Arial"/>
          <w:sz w:val="20"/>
          <w:szCs w:val="20"/>
        </w:rPr>
      </w:pPr>
      <w:r w:rsidRPr="00435F2C">
        <w:rPr>
          <w:rFonts w:ascii="Arial" w:hAnsi="Arial" w:cs="Arial"/>
          <w:sz w:val="20"/>
          <w:szCs w:val="20"/>
        </w:rPr>
        <w:t>Trainer Name:</w:t>
      </w:r>
      <w:r>
        <w:rPr>
          <w:rFonts w:ascii="Arial" w:hAnsi="Arial" w:cs="Arial"/>
          <w:sz w:val="20"/>
          <w:szCs w:val="20"/>
        </w:rPr>
        <w:t xml:space="preserve"> __________________________________________ Review Date: ________________</w:t>
      </w:r>
      <w:r w:rsidRPr="00435F2C">
        <w:rPr>
          <w:rFonts w:ascii="Arial" w:hAnsi="Arial" w:cs="Arial"/>
          <w:sz w:val="20"/>
          <w:szCs w:val="20"/>
        </w:rPr>
        <w:tab/>
      </w:r>
      <w:r w:rsidRPr="00435F2C">
        <w:rPr>
          <w:rFonts w:ascii="Arial" w:hAnsi="Arial" w:cs="Arial"/>
          <w:sz w:val="20"/>
          <w:szCs w:val="20"/>
        </w:rPr>
        <w:tab/>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4"/>
        <w:gridCol w:w="2160"/>
        <w:gridCol w:w="2088"/>
      </w:tblGrid>
      <w:tr w:rsidR="00370695" w:rsidRPr="0068205A" w:rsidTr="00064BF6">
        <w:trPr>
          <w:trHeight w:val="529"/>
          <w:tblHeader/>
          <w:jc w:val="center"/>
        </w:trPr>
        <w:tc>
          <w:tcPr>
            <w:tcW w:w="5564" w:type="dxa"/>
          </w:tcPr>
          <w:p w:rsidR="00370695" w:rsidRPr="0068205A" w:rsidRDefault="00370695" w:rsidP="00064BF6">
            <w:pPr>
              <w:spacing w:beforeLines="20" w:before="48" w:afterLines="20" w:after="48"/>
              <w:jc w:val="center"/>
              <w:rPr>
                <w:rFonts w:ascii="Arial" w:hAnsi="Arial" w:cs="Arial"/>
                <w:b/>
                <w:sz w:val="20"/>
                <w:szCs w:val="20"/>
              </w:rPr>
            </w:pPr>
            <w:r w:rsidRPr="0068205A">
              <w:rPr>
                <w:rFonts w:ascii="Arial" w:hAnsi="Arial" w:cs="Arial"/>
                <w:b/>
                <w:sz w:val="20"/>
                <w:szCs w:val="20"/>
              </w:rPr>
              <w:t>Skill</w:t>
            </w:r>
          </w:p>
        </w:tc>
        <w:tc>
          <w:tcPr>
            <w:tcW w:w="2160" w:type="dxa"/>
          </w:tcPr>
          <w:p w:rsidR="00370695" w:rsidRPr="0068205A" w:rsidRDefault="00370695" w:rsidP="00064BF6">
            <w:pPr>
              <w:spacing w:beforeLines="20" w:before="48" w:afterLines="20" w:after="48"/>
              <w:jc w:val="center"/>
              <w:rPr>
                <w:rFonts w:ascii="Arial" w:hAnsi="Arial" w:cs="Arial"/>
                <w:b/>
                <w:sz w:val="20"/>
                <w:szCs w:val="20"/>
              </w:rPr>
            </w:pPr>
            <w:r w:rsidRPr="0068205A">
              <w:rPr>
                <w:rFonts w:ascii="Arial" w:hAnsi="Arial" w:cs="Arial"/>
                <w:b/>
                <w:sz w:val="20"/>
                <w:szCs w:val="20"/>
              </w:rPr>
              <w:t>Trainee</w:t>
            </w:r>
          </w:p>
          <w:p w:rsidR="00370695" w:rsidRPr="0068205A" w:rsidRDefault="00370695" w:rsidP="00064BF6">
            <w:pPr>
              <w:spacing w:beforeLines="20" w:before="48" w:afterLines="20" w:after="48"/>
              <w:jc w:val="center"/>
              <w:rPr>
                <w:rFonts w:ascii="Arial" w:hAnsi="Arial" w:cs="Arial"/>
                <w:b/>
                <w:sz w:val="20"/>
                <w:szCs w:val="20"/>
              </w:rPr>
            </w:pPr>
            <w:r w:rsidRPr="0068205A">
              <w:rPr>
                <w:rFonts w:ascii="Arial" w:hAnsi="Arial" w:cs="Arial"/>
                <w:b/>
                <w:sz w:val="20"/>
                <w:szCs w:val="20"/>
              </w:rPr>
              <w:t>Initial and date</w:t>
            </w:r>
          </w:p>
        </w:tc>
        <w:tc>
          <w:tcPr>
            <w:tcW w:w="2088" w:type="dxa"/>
          </w:tcPr>
          <w:p w:rsidR="00370695" w:rsidRPr="0068205A" w:rsidRDefault="00370695" w:rsidP="00064BF6">
            <w:pPr>
              <w:spacing w:beforeLines="20" w:before="48" w:afterLines="20" w:after="48"/>
              <w:jc w:val="center"/>
              <w:rPr>
                <w:rFonts w:ascii="Arial" w:hAnsi="Arial" w:cs="Arial"/>
                <w:b/>
                <w:sz w:val="20"/>
                <w:szCs w:val="20"/>
              </w:rPr>
            </w:pPr>
            <w:r w:rsidRPr="0068205A">
              <w:rPr>
                <w:rFonts w:ascii="Arial" w:hAnsi="Arial" w:cs="Arial"/>
                <w:b/>
                <w:sz w:val="20"/>
                <w:szCs w:val="20"/>
              </w:rPr>
              <w:t>Trainer</w:t>
            </w:r>
          </w:p>
          <w:p w:rsidR="00370695" w:rsidRPr="0068205A" w:rsidRDefault="00370695" w:rsidP="00064BF6">
            <w:pPr>
              <w:spacing w:beforeLines="20" w:before="48" w:afterLines="20" w:after="48"/>
              <w:jc w:val="center"/>
              <w:rPr>
                <w:rFonts w:ascii="Arial" w:hAnsi="Arial" w:cs="Arial"/>
                <w:b/>
                <w:sz w:val="20"/>
                <w:szCs w:val="20"/>
              </w:rPr>
            </w:pPr>
            <w:r w:rsidRPr="0068205A">
              <w:rPr>
                <w:rFonts w:ascii="Arial" w:hAnsi="Arial" w:cs="Arial"/>
                <w:b/>
                <w:sz w:val="20"/>
                <w:szCs w:val="20"/>
              </w:rPr>
              <w:t>Initial and date</w:t>
            </w:r>
          </w:p>
        </w:tc>
      </w:tr>
      <w:tr w:rsidR="00370695" w:rsidRPr="0068205A" w:rsidTr="00064BF6">
        <w:trPr>
          <w:trHeight w:val="529"/>
          <w:jc w:val="center"/>
        </w:trPr>
        <w:tc>
          <w:tcPr>
            <w:tcW w:w="5564" w:type="dxa"/>
          </w:tcPr>
          <w:p w:rsidR="00370695" w:rsidRPr="0068205A" w:rsidRDefault="00370695" w:rsidP="00064BF6">
            <w:pPr>
              <w:spacing w:beforeLines="20" w:before="48" w:afterLines="20" w:after="48"/>
              <w:rPr>
                <w:rFonts w:ascii="Arial" w:hAnsi="Arial" w:cs="Arial"/>
                <w:sz w:val="20"/>
                <w:szCs w:val="20"/>
              </w:rPr>
            </w:pPr>
            <w:bookmarkStart w:id="0" w:name="_GoBack"/>
            <w:bookmarkEnd w:id="0"/>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D9359D" w:rsidRDefault="00370695" w:rsidP="00064BF6">
            <w:pPr>
              <w:pStyle w:val="FootnoteText"/>
              <w:spacing w:beforeLines="20" w:before="48" w:afterLines="20" w:after="48"/>
              <w:rPr>
                <w:rFonts w:ascii="Arial" w:hAnsi="Arial" w:cs="Arial"/>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1A5E8B" w:rsidRDefault="00370695" w:rsidP="00064BF6">
            <w:pPr>
              <w:spacing w:beforeLines="20" w:before="48" w:afterLines="20" w:after="48"/>
              <w:rPr>
                <w:rFonts w:ascii="Arial" w:hAnsi="Arial" w:cs="Arial"/>
                <w:sz w:val="20"/>
                <w:szCs w:val="20"/>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1A5E8B" w:rsidRDefault="00370695" w:rsidP="00064BF6">
            <w:pPr>
              <w:pStyle w:val="FootnoteText"/>
              <w:spacing w:beforeLines="20" w:before="48" w:afterLines="20" w:after="48"/>
              <w:rPr>
                <w:rFonts w:ascii="Arial" w:hAnsi="Arial" w:cs="Arial"/>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1A5E8B" w:rsidRDefault="00370695" w:rsidP="00064BF6">
            <w:pPr>
              <w:spacing w:beforeLines="20" w:before="48" w:afterLines="20" w:after="48"/>
              <w:rPr>
                <w:rFonts w:ascii="Arial" w:hAnsi="Arial" w:cs="Arial"/>
                <w:sz w:val="20"/>
                <w:szCs w:val="20"/>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1A5E8B" w:rsidRDefault="00370695" w:rsidP="00064BF6">
            <w:pPr>
              <w:spacing w:beforeLines="20" w:before="48" w:afterLines="20" w:after="48"/>
              <w:rPr>
                <w:rFonts w:ascii="Arial" w:hAnsi="Arial" w:cs="Arial"/>
                <w:sz w:val="20"/>
                <w:szCs w:val="20"/>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r w:rsidR="00370695" w:rsidRPr="0068205A" w:rsidTr="00064BF6">
        <w:trPr>
          <w:trHeight w:val="529"/>
          <w:jc w:val="center"/>
        </w:trPr>
        <w:tc>
          <w:tcPr>
            <w:tcW w:w="5564" w:type="dxa"/>
          </w:tcPr>
          <w:p w:rsidR="00370695" w:rsidRPr="0068205A" w:rsidRDefault="00370695" w:rsidP="00064BF6">
            <w:pPr>
              <w:spacing w:beforeLines="20" w:before="48" w:afterLines="20" w:after="48"/>
              <w:rPr>
                <w:rFonts w:ascii="Arial" w:hAnsi="Arial" w:cs="Arial"/>
                <w:sz w:val="20"/>
                <w:szCs w:val="20"/>
              </w:rPr>
            </w:pPr>
          </w:p>
        </w:tc>
        <w:tc>
          <w:tcPr>
            <w:tcW w:w="2160" w:type="dxa"/>
            <w:vAlign w:val="bottom"/>
          </w:tcPr>
          <w:p w:rsidR="00370695" w:rsidRPr="0068205A" w:rsidRDefault="00370695" w:rsidP="00064BF6">
            <w:pPr>
              <w:spacing w:beforeLines="20" w:before="48" w:afterLines="20" w:after="48"/>
              <w:rPr>
                <w:rFonts w:ascii="Arial" w:hAnsi="Arial" w:cs="Arial"/>
                <w:sz w:val="20"/>
                <w:szCs w:val="20"/>
              </w:rPr>
            </w:pPr>
          </w:p>
        </w:tc>
        <w:tc>
          <w:tcPr>
            <w:tcW w:w="2088" w:type="dxa"/>
            <w:vAlign w:val="bottom"/>
          </w:tcPr>
          <w:p w:rsidR="00370695" w:rsidRPr="0068205A" w:rsidRDefault="00370695" w:rsidP="00064BF6">
            <w:pPr>
              <w:spacing w:beforeLines="20" w:before="48" w:afterLines="20" w:after="48"/>
              <w:rPr>
                <w:rFonts w:ascii="Arial" w:hAnsi="Arial" w:cs="Arial"/>
                <w:sz w:val="20"/>
                <w:szCs w:val="20"/>
              </w:rPr>
            </w:pPr>
          </w:p>
        </w:tc>
      </w:tr>
    </w:tbl>
    <w:p w:rsidR="00370695" w:rsidRPr="00435F2C" w:rsidRDefault="00370695" w:rsidP="00370695">
      <w:pPr>
        <w:pStyle w:val="Heading3"/>
        <w:rPr>
          <w:rFonts w:ascii="Arial" w:hAnsi="Arial" w:cs="Arial"/>
          <w:b w:val="0"/>
          <w:bCs w:val="0"/>
          <w:sz w:val="20"/>
        </w:rPr>
      </w:pPr>
      <w:r w:rsidRPr="00435F2C">
        <w:rPr>
          <w:rFonts w:ascii="Arial" w:hAnsi="Arial" w:cs="Arial"/>
          <w:b w:val="0"/>
          <w:bCs w:val="0"/>
          <w:sz w:val="20"/>
        </w:rPr>
        <w:tab/>
      </w:r>
      <w:r w:rsidRPr="00435F2C">
        <w:rPr>
          <w:rFonts w:ascii="Arial" w:hAnsi="Arial" w:cs="Arial"/>
          <w:b w:val="0"/>
          <w:bCs w:val="0"/>
          <w:sz w:val="20"/>
        </w:rPr>
        <w:tab/>
      </w:r>
      <w:r w:rsidRPr="00435F2C">
        <w:rPr>
          <w:rFonts w:ascii="Arial" w:hAnsi="Arial" w:cs="Arial"/>
          <w:b w:val="0"/>
          <w:bCs w:val="0"/>
          <w:sz w:val="20"/>
        </w:rPr>
        <w:tab/>
      </w:r>
      <w:r w:rsidRPr="00435F2C">
        <w:rPr>
          <w:rFonts w:ascii="Arial" w:hAnsi="Arial" w:cs="Arial"/>
          <w:b w:val="0"/>
          <w:bCs w:val="0"/>
          <w:sz w:val="20"/>
        </w:rPr>
        <w:tab/>
      </w:r>
      <w:r w:rsidRPr="00435F2C">
        <w:rPr>
          <w:rFonts w:ascii="Arial" w:hAnsi="Arial" w:cs="Arial"/>
          <w:b w:val="0"/>
          <w:bCs w:val="0"/>
          <w:sz w:val="20"/>
        </w:rPr>
        <w:tab/>
      </w:r>
      <w:r w:rsidRPr="00435F2C">
        <w:rPr>
          <w:rFonts w:ascii="Arial" w:hAnsi="Arial" w:cs="Arial"/>
          <w:b w:val="0"/>
          <w:bCs w:val="0"/>
          <w:sz w:val="20"/>
        </w:rPr>
        <w:tab/>
      </w:r>
    </w:p>
    <w:p w:rsidR="00370695" w:rsidRPr="00435F2C" w:rsidRDefault="00370695" w:rsidP="00370695">
      <w:pPr>
        <w:jc w:val="right"/>
        <w:rPr>
          <w:rFonts w:ascii="Arial" w:hAnsi="Arial" w:cs="Arial"/>
          <w:b/>
          <w:sz w:val="20"/>
          <w:szCs w:val="20"/>
        </w:rPr>
      </w:pPr>
    </w:p>
    <w:p w:rsidR="00370695" w:rsidRPr="00435F2C" w:rsidRDefault="00370695" w:rsidP="00370695">
      <w:pPr>
        <w:rPr>
          <w:rFonts w:ascii="Arial" w:hAnsi="Arial" w:cs="Arial"/>
          <w:b/>
          <w:sz w:val="20"/>
          <w:szCs w:val="20"/>
        </w:rPr>
      </w:pPr>
      <w:r w:rsidRPr="00435F2C">
        <w:rPr>
          <w:rFonts w:ascii="Arial" w:hAnsi="Arial" w:cs="Arial"/>
          <w:b/>
          <w:sz w:val="20"/>
          <w:szCs w:val="20"/>
        </w:rPr>
        <w:t>________________________</w:t>
      </w:r>
      <w:r w:rsidRPr="00435F2C">
        <w:rPr>
          <w:rFonts w:ascii="Arial" w:hAnsi="Arial" w:cs="Arial"/>
          <w:b/>
          <w:sz w:val="20"/>
          <w:szCs w:val="20"/>
        </w:rPr>
        <w:tab/>
      </w:r>
      <w:r w:rsidRPr="00435F2C">
        <w:rPr>
          <w:rFonts w:ascii="Arial" w:hAnsi="Arial" w:cs="Arial"/>
          <w:b/>
          <w:sz w:val="20"/>
          <w:szCs w:val="20"/>
        </w:rPr>
        <w:tab/>
      </w:r>
    </w:p>
    <w:p w:rsidR="00370695" w:rsidRPr="00435F2C" w:rsidRDefault="00370695" w:rsidP="00370695">
      <w:pPr>
        <w:rPr>
          <w:rFonts w:ascii="Arial" w:hAnsi="Arial" w:cs="Arial"/>
          <w:b/>
          <w:sz w:val="20"/>
          <w:szCs w:val="20"/>
        </w:rPr>
      </w:pPr>
      <w:r w:rsidRPr="00435F2C">
        <w:rPr>
          <w:rFonts w:ascii="Arial" w:hAnsi="Arial" w:cs="Arial"/>
          <w:b/>
          <w:sz w:val="20"/>
          <w:szCs w:val="20"/>
        </w:rPr>
        <w:t>Employee name (print)</w:t>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r>
    </w:p>
    <w:p w:rsidR="00370695" w:rsidRPr="00435F2C" w:rsidRDefault="00370695" w:rsidP="00370695">
      <w:pPr>
        <w:rPr>
          <w:rFonts w:ascii="Arial" w:hAnsi="Arial" w:cs="Arial"/>
          <w:b/>
          <w:sz w:val="20"/>
          <w:szCs w:val="20"/>
        </w:rPr>
      </w:pPr>
    </w:p>
    <w:p w:rsidR="00370695" w:rsidRPr="00435F2C" w:rsidRDefault="00370695" w:rsidP="00370695">
      <w:pPr>
        <w:rPr>
          <w:rFonts w:ascii="Arial" w:hAnsi="Arial" w:cs="Arial"/>
          <w:b/>
          <w:sz w:val="20"/>
          <w:szCs w:val="20"/>
        </w:rPr>
      </w:pPr>
      <w:r w:rsidRPr="00435F2C">
        <w:rPr>
          <w:rFonts w:ascii="Arial" w:hAnsi="Arial" w:cs="Arial"/>
          <w:b/>
          <w:sz w:val="20"/>
          <w:szCs w:val="20"/>
        </w:rPr>
        <w:t>________________________</w:t>
      </w:r>
      <w:r w:rsidRPr="00435F2C">
        <w:rPr>
          <w:rFonts w:ascii="Arial" w:hAnsi="Arial" w:cs="Arial"/>
          <w:b/>
          <w:sz w:val="20"/>
          <w:szCs w:val="20"/>
        </w:rPr>
        <w:tab/>
      </w:r>
      <w:r w:rsidRPr="00435F2C">
        <w:rPr>
          <w:rFonts w:ascii="Arial" w:hAnsi="Arial" w:cs="Arial"/>
          <w:b/>
          <w:sz w:val="20"/>
          <w:szCs w:val="20"/>
        </w:rPr>
        <w:tab/>
        <w:t>______________________</w:t>
      </w:r>
    </w:p>
    <w:p w:rsidR="00370695" w:rsidRPr="00435F2C" w:rsidRDefault="00370695" w:rsidP="00370695">
      <w:pPr>
        <w:rPr>
          <w:rFonts w:ascii="Arial" w:hAnsi="Arial" w:cs="Arial"/>
          <w:b/>
          <w:sz w:val="20"/>
          <w:szCs w:val="20"/>
        </w:rPr>
      </w:pPr>
      <w:r w:rsidRPr="00435F2C">
        <w:rPr>
          <w:rFonts w:ascii="Arial" w:hAnsi="Arial" w:cs="Arial"/>
          <w:b/>
          <w:sz w:val="20"/>
          <w:szCs w:val="20"/>
        </w:rPr>
        <w:t>Employee signature</w:t>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t>(Date)</w:t>
      </w:r>
    </w:p>
    <w:p w:rsidR="00370695" w:rsidRPr="00435F2C" w:rsidRDefault="00370695" w:rsidP="00370695">
      <w:pPr>
        <w:pStyle w:val="Second-OrderHeading"/>
        <w:numPr>
          <w:ilvl w:val="0"/>
          <w:numId w:val="0"/>
        </w:numPr>
        <w:ind w:left="1440" w:hanging="720"/>
        <w:rPr>
          <w:rFonts w:cs="Arial"/>
        </w:rPr>
      </w:pPr>
    </w:p>
    <w:p w:rsidR="00370695" w:rsidRPr="00435F2C" w:rsidRDefault="00370695" w:rsidP="00370695">
      <w:pPr>
        <w:rPr>
          <w:rFonts w:ascii="Arial" w:hAnsi="Arial" w:cs="Arial"/>
          <w:b/>
          <w:sz w:val="20"/>
          <w:szCs w:val="20"/>
        </w:rPr>
      </w:pPr>
      <w:r w:rsidRPr="00435F2C">
        <w:rPr>
          <w:rFonts w:ascii="Arial" w:hAnsi="Arial" w:cs="Arial"/>
          <w:b/>
          <w:sz w:val="20"/>
          <w:szCs w:val="20"/>
        </w:rPr>
        <w:t>________________________</w:t>
      </w:r>
      <w:r w:rsidRPr="00435F2C">
        <w:rPr>
          <w:rFonts w:ascii="Arial" w:hAnsi="Arial" w:cs="Arial"/>
          <w:b/>
          <w:sz w:val="20"/>
          <w:szCs w:val="20"/>
        </w:rPr>
        <w:tab/>
      </w:r>
      <w:r w:rsidRPr="00435F2C">
        <w:rPr>
          <w:rFonts w:ascii="Arial" w:hAnsi="Arial" w:cs="Arial"/>
          <w:b/>
          <w:sz w:val="20"/>
          <w:szCs w:val="20"/>
        </w:rPr>
        <w:tab/>
      </w:r>
    </w:p>
    <w:p w:rsidR="00370695" w:rsidRPr="00435F2C" w:rsidRDefault="00370695" w:rsidP="00370695">
      <w:pPr>
        <w:rPr>
          <w:rFonts w:ascii="Arial" w:hAnsi="Arial" w:cs="Arial"/>
          <w:b/>
          <w:sz w:val="20"/>
          <w:szCs w:val="20"/>
        </w:rPr>
      </w:pPr>
      <w:r w:rsidRPr="00435F2C">
        <w:rPr>
          <w:rFonts w:ascii="Arial" w:hAnsi="Arial" w:cs="Arial"/>
          <w:b/>
          <w:sz w:val="20"/>
          <w:szCs w:val="20"/>
        </w:rPr>
        <w:t>Supervisor name (print)</w:t>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r>
    </w:p>
    <w:p w:rsidR="00370695" w:rsidRPr="00435F2C" w:rsidRDefault="00370695" w:rsidP="00370695">
      <w:pPr>
        <w:rPr>
          <w:rFonts w:ascii="Arial" w:hAnsi="Arial" w:cs="Arial"/>
          <w:b/>
          <w:sz w:val="20"/>
          <w:szCs w:val="20"/>
        </w:rPr>
      </w:pPr>
    </w:p>
    <w:p w:rsidR="00370695" w:rsidRPr="00435F2C" w:rsidRDefault="00370695" w:rsidP="00370695">
      <w:pPr>
        <w:rPr>
          <w:rFonts w:ascii="Arial" w:hAnsi="Arial" w:cs="Arial"/>
          <w:b/>
          <w:sz w:val="20"/>
          <w:szCs w:val="20"/>
        </w:rPr>
      </w:pPr>
      <w:r w:rsidRPr="00435F2C">
        <w:rPr>
          <w:rFonts w:ascii="Arial" w:hAnsi="Arial" w:cs="Arial"/>
          <w:b/>
          <w:sz w:val="20"/>
          <w:szCs w:val="20"/>
        </w:rPr>
        <w:t>________________________</w:t>
      </w:r>
      <w:r w:rsidRPr="00435F2C">
        <w:rPr>
          <w:rFonts w:ascii="Arial" w:hAnsi="Arial" w:cs="Arial"/>
          <w:b/>
          <w:sz w:val="20"/>
          <w:szCs w:val="20"/>
        </w:rPr>
        <w:tab/>
      </w:r>
      <w:r w:rsidRPr="00435F2C">
        <w:rPr>
          <w:rFonts w:ascii="Arial" w:hAnsi="Arial" w:cs="Arial"/>
          <w:b/>
          <w:sz w:val="20"/>
          <w:szCs w:val="20"/>
        </w:rPr>
        <w:tab/>
        <w:t>______________________</w:t>
      </w:r>
    </w:p>
    <w:p w:rsidR="00370695" w:rsidRPr="00435F2C" w:rsidRDefault="00370695" w:rsidP="00370695">
      <w:pPr>
        <w:rPr>
          <w:rFonts w:ascii="Arial" w:hAnsi="Arial" w:cs="Arial"/>
          <w:b/>
          <w:sz w:val="20"/>
          <w:szCs w:val="20"/>
        </w:rPr>
      </w:pPr>
      <w:r w:rsidRPr="00435F2C">
        <w:rPr>
          <w:rFonts w:ascii="Arial" w:hAnsi="Arial" w:cs="Arial"/>
          <w:b/>
          <w:sz w:val="20"/>
          <w:szCs w:val="20"/>
        </w:rPr>
        <w:t>Supervisor signature</w:t>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r>
      <w:r w:rsidRPr="00435F2C">
        <w:rPr>
          <w:rFonts w:ascii="Arial" w:hAnsi="Arial" w:cs="Arial"/>
          <w:b/>
          <w:sz w:val="20"/>
          <w:szCs w:val="20"/>
        </w:rPr>
        <w:tab/>
        <w:t>(Date)</w:t>
      </w:r>
    </w:p>
    <w:p w:rsidR="00672CEB" w:rsidRPr="00FE7DED" w:rsidRDefault="00672CEB" w:rsidP="00FE7DED">
      <w:pPr>
        <w:spacing w:after="0"/>
        <w:rPr>
          <w:b/>
        </w:rPr>
      </w:pPr>
    </w:p>
    <w:sectPr w:rsidR="00672CEB" w:rsidRPr="00FE7DE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8A" w:rsidRDefault="003B0D8A" w:rsidP="0020707A">
      <w:pPr>
        <w:spacing w:after="0" w:line="240" w:lineRule="auto"/>
      </w:pPr>
      <w:r>
        <w:separator/>
      </w:r>
    </w:p>
  </w:endnote>
  <w:endnote w:type="continuationSeparator" w:id="0">
    <w:p w:rsidR="003B0D8A" w:rsidRDefault="003B0D8A" w:rsidP="0020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3399"/>
      <w:docPartObj>
        <w:docPartGallery w:val="Page Numbers (Bottom of Page)"/>
        <w:docPartUnique/>
      </w:docPartObj>
    </w:sdtPr>
    <w:sdtEndPr/>
    <w:sdtContent>
      <w:sdt>
        <w:sdtPr>
          <w:id w:val="860082579"/>
          <w:docPartObj>
            <w:docPartGallery w:val="Page Numbers (Top of Page)"/>
            <w:docPartUnique/>
          </w:docPartObj>
        </w:sdtPr>
        <w:sdtEndPr/>
        <w:sdtContent>
          <w:p w:rsidR="00F5450A" w:rsidRDefault="00F545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5BD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BD6">
              <w:rPr>
                <w:b/>
                <w:bCs/>
                <w:noProof/>
              </w:rPr>
              <w:t>9</w:t>
            </w:r>
            <w:r>
              <w:rPr>
                <w:b/>
                <w:bCs/>
                <w:sz w:val="24"/>
                <w:szCs w:val="24"/>
              </w:rPr>
              <w:fldChar w:fldCharType="end"/>
            </w:r>
          </w:p>
        </w:sdtContent>
      </w:sdt>
    </w:sdtContent>
  </w:sdt>
  <w:p w:rsidR="00F5450A" w:rsidRDefault="00F5450A" w:rsidP="0020707A">
    <w:pPr>
      <w:pStyle w:val="Footer"/>
    </w:pPr>
    <w:r>
      <w:t>DEPARTMENT OF PAHOLOGY &amp; LABO</w:t>
    </w:r>
    <w:r w:rsidR="001B033A">
      <w:t>RATORY MEDICINE</w:t>
    </w:r>
    <w:r w:rsidR="001B033A">
      <w:tab/>
      <w:t>SW.CP.GL.lab.0135.0001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8A" w:rsidRDefault="003B0D8A" w:rsidP="0020707A">
      <w:pPr>
        <w:spacing w:after="0" w:line="240" w:lineRule="auto"/>
      </w:pPr>
      <w:r>
        <w:separator/>
      </w:r>
    </w:p>
  </w:footnote>
  <w:footnote w:type="continuationSeparator" w:id="0">
    <w:p w:rsidR="003B0D8A" w:rsidRDefault="003B0D8A" w:rsidP="00207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0A" w:rsidRDefault="00F5450A" w:rsidP="002B7A87">
    <w:pPr>
      <w:pStyle w:val="Header"/>
    </w:pPr>
    <w:r>
      <w:t>URMC LABS AT STRONG WEST</w:t>
    </w:r>
    <w:r>
      <w:tab/>
    </w:r>
    <w:r>
      <w:tab/>
      <w:t>SW.CP.GL.lab.</w:t>
    </w:r>
    <w:r w:rsidR="001B033A">
      <w:t>0135.0001</w:t>
    </w:r>
  </w:p>
  <w:p w:rsidR="00F5450A" w:rsidRDefault="00F5450A" w:rsidP="002B7A87">
    <w:pPr>
      <w:pStyle w:val="Header"/>
    </w:pPr>
    <w:r>
      <w:t>156 WEST AVE.</w:t>
    </w:r>
    <w:r>
      <w:tab/>
    </w:r>
    <w:r>
      <w:tab/>
      <w:t>ROCHE INTEGRA PROCEDURE</w:t>
    </w:r>
  </w:p>
  <w:p w:rsidR="00F5450A" w:rsidRDefault="00F5450A" w:rsidP="002B7A87">
    <w:pPr>
      <w:pStyle w:val="Header"/>
    </w:pPr>
    <w:r>
      <w:t>BROCKPORT, NY 14420</w:t>
    </w:r>
    <w:r>
      <w:tab/>
    </w:r>
    <w:r>
      <w:tab/>
    </w:r>
    <w:proofErr w:type="spellStart"/>
    <w:r>
      <w:t>Phenytonin</w:t>
    </w:r>
    <w:proofErr w:type="spellEnd"/>
    <w:r>
      <w:t xml:space="preserve"> - Free</w:t>
    </w:r>
  </w:p>
  <w:p w:rsidR="00F5450A" w:rsidRPr="002B7A87" w:rsidRDefault="00F5450A" w:rsidP="002B7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301"/>
    <w:multiLevelType w:val="hybridMultilevel"/>
    <w:tmpl w:val="DFE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90B91"/>
    <w:multiLevelType w:val="hybridMultilevel"/>
    <w:tmpl w:val="981279A6"/>
    <w:lvl w:ilvl="0" w:tplc="4B602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920222"/>
    <w:multiLevelType w:val="hybridMultilevel"/>
    <w:tmpl w:val="08786584"/>
    <w:lvl w:ilvl="0" w:tplc="B9C8A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BA1527"/>
    <w:multiLevelType w:val="hybridMultilevel"/>
    <w:tmpl w:val="FBA6D4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3F9D190F"/>
    <w:multiLevelType w:val="hybridMultilevel"/>
    <w:tmpl w:val="23E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F31C6"/>
    <w:multiLevelType w:val="hybridMultilevel"/>
    <w:tmpl w:val="6ABAFB34"/>
    <w:lvl w:ilvl="0" w:tplc="A3E61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53CA42F3"/>
    <w:multiLevelType w:val="multilevel"/>
    <w:tmpl w:val="02A6EC7A"/>
    <w:lvl w:ilvl="0">
      <w:start w:val="1"/>
      <w:numFmt w:val="upperRoman"/>
      <w:pStyle w:val="First-OrderHeading"/>
      <w:lvlText w:val="%1."/>
      <w:lvlJc w:val="left"/>
      <w:pPr>
        <w:tabs>
          <w:tab w:val="num" w:pos="720"/>
        </w:tabs>
        <w:ind w:left="720" w:hanging="720"/>
      </w:pPr>
      <w:rPr>
        <w:rFonts w:hint="default"/>
        <w:b/>
        <w:i w:val="0"/>
      </w:rPr>
    </w:lvl>
    <w:lvl w:ilvl="1">
      <w:start w:val="1"/>
      <w:numFmt w:val="upperLetter"/>
      <w:pStyle w:val="Second-OrderHeading"/>
      <w:lvlText w:val="%2."/>
      <w:lvlJc w:val="left"/>
      <w:pPr>
        <w:tabs>
          <w:tab w:val="num" w:pos="0"/>
        </w:tabs>
        <w:ind w:left="1440" w:hanging="720"/>
      </w:pPr>
      <w:rPr>
        <w:rFonts w:ascii="Arial" w:hAnsi="Arial" w:cs="Arial" w:hint="default"/>
        <w:b w:val="0"/>
        <w:i w:val="0"/>
        <w:sz w:val="20"/>
        <w:szCs w:val="20"/>
      </w:rPr>
    </w:lvl>
    <w:lvl w:ilvl="2">
      <w:start w:val="1"/>
      <w:numFmt w:val="decimal"/>
      <w:pStyle w:val="Third-OrderHeading"/>
      <w:lvlText w:val="%3."/>
      <w:lvlJc w:val="left"/>
      <w:pPr>
        <w:tabs>
          <w:tab w:val="num" w:pos="0"/>
        </w:tabs>
        <w:ind w:left="2160" w:hanging="720"/>
      </w:pPr>
      <w:rPr>
        <w:rFonts w:ascii="Arial" w:hAnsi="Arial" w:cs="Arial" w:hint="default"/>
        <w:b w:val="0"/>
        <w:i w:val="0"/>
        <w:sz w:val="20"/>
        <w:szCs w:val="20"/>
      </w:rPr>
    </w:lvl>
    <w:lvl w:ilvl="3">
      <w:start w:val="1"/>
      <w:numFmt w:val="lowerLetter"/>
      <w:pStyle w:val="Fourth-OrderHeading"/>
      <w:lvlText w:val="%4."/>
      <w:lvlJc w:val="left"/>
      <w:pPr>
        <w:tabs>
          <w:tab w:val="num" w:pos="2232"/>
        </w:tabs>
        <w:ind w:left="2880" w:hanging="720"/>
      </w:pPr>
      <w:rPr>
        <w:rFonts w:ascii="Arial" w:hAnsi="Arial" w:cs="Arial" w:hint="default"/>
        <w:b w:val="0"/>
        <w:i w:val="0"/>
        <w:sz w:val="20"/>
        <w:szCs w:val="20"/>
      </w:rPr>
    </w:lvl>
    <w:lvl w:ilvl="4">
      <w:start w:val="1"/>
      <w:numFmt w:val="decimal"/>
      <w:pStyle w:val="Fifth-OrderHeading"/>
      <w:lvlText w:val="(%5)"/>
      <w:lvlJc w:val="left"/>
      <w:pPr>
        <w:tabs>
          <w:tab w:val="num" w:pos="0"/>
        </w:tabs>
        <w:ind w:left="3600" w:hanging="720"/>
      </w:pPr>
      <w:rPr>
        <w:rFonts w:ascii="Arial" w:hAnsi="Arial" w:cs="Arial" w:hint="default"/>
        <w:sz w:val="20"/>
        <w:szCs w:val="20"/>
      </w:rPr>
    </w:lvl>
    <w:lvl w:ilvl="5">
      <w:start w:val="1"/>
      <w:numFmt w:val="lowerLetter"/>
      <w:pStyle w:val="Sixth-OrderHeading"/>
      <w:lvlText w:val="(%6)"/>
      <w:lvlJc w:val="left"/>
      <w:pPr>
        <w:tabs>
          <w:tab w:val="num" w:pos="0"/>
        </w:tabs>
        <w:ind w:left="4320" w:hanging="720"/>
      </w:pPr>
      <w:rPr>
        <w:rFonts w:ascii="Arial" w:hAnsi="Arial" w:cs="Arial" w:hint="default"/>
        <w:sz w:val="20"/>
        <w:szCs w:val="20"/>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6D0C3994"/>
    <w:multiLevelType w:val="hybridMultilevel"/>
    <w:tmpl w:val="4A6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86213"/>
    <w:multiLevelType w:val="hybridMultilevel"/>
    <w:tmpl w:val="894A5FEC"/>
    <w:lvl w:ilvl="0" w:tplc="B9C8A5D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70455"/>
    <w:multiLevelType w:val="hybridMultilevel"/>
    <w:tmpl w:val="CFF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4"/>
  </w:num>
  <w:num w:numId="5">
    <w:abstractNumId w:val="3"/>
  </w:num>
  <w:num w:numId="6">
    <w:abstractNumId w:val="0"/>
  </w:num>
  <w:num w:numId="7">
    <w:abstractNumId w:val="9"/>
  </w:num>
  <w:num w:numId="8">
    <w:abstractNumId w:val="5"/>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B"/>
    <w:rsid w:val="00000257"/>
    <w:rsid w:val="000326C3"/>
    <w:rsid w:val="000B75CD"/>
    <w:rsid w:val="000C0F10"/>
    <w:rsid w:val="000D227F"/>
    <w:rsid w:val="000D7983"/>
    <w:rsid w:val="000E3FDD"/>
    <w:rsid w:val="001240F8"/>
    <w:rsid w:val="00125CFD"/>
    <w:rsid w:val="001A4F38"/>
    <w:rsid w:val="001B033A"/>
    <w:rsid w:val="0020707A"/>
    <w:rsid w:val="002373E4"/>
    <w:rsid w:val="00250638"/>
    <w:rsid w:val="00257BA4"/>
    <w:rsid w:val="0026000B"/>
    <w:rsid w:val="00266DCC"/>
    <w:rsid w:val="00294760"/>
    <w:rsid w:val="002A42A8"/>
    <w:rsid w:val="002B7A87"/>
    <w:rsid w:val="002D3CF1"/>
    <w:rsid w:val="002E60A3"/>
    <w:rsid w:val="00304B88"/>
    <w:rsid w:val="00330B26"/>
    <w:rsid w:val="00361501"/>
    <w:rsid w:val="00370695"/>
    <w:rsid w:val="00375408"/>
    <w:rsid w:val="003B0D8A"/>
    <w:rsid w:val="003B45A9"/>
    <w:rsid w:val="00415C02"/>
    <w:rsid w:val="00425FAA"/>
    <w:rsid w:val="004555CC"/>
    <w:rsid w:val="00474172"/>
    <w:rsid w:val="00486DB6"/>
    <w:rsid w:val="004B16BB"/>
    <w:rsid w:val="00502D0E"/>
    <w:rsid w:val="005365A2"/>
    <w:rsid w:val="00544BE3"/>
    <w:rsid w:val="005765E2"/>
    <w:rsid w:val="005A32A9"/>
    <w:rsid w:val="005E72BC"/>
    <w:rsid w:val="005F493C"/>
    <w:rsid w:val="00601380"/>
    <w:rsid w:val="00607686"/>
    <w:rsid w:val="00612D0B"/>
    <w:rsid w:val="00672CEB"/>
    <w:rsid w:val="006B5B63"/>
    <w:rsid w:val="00707870"/>
    <w:rsid w:val="0079029E"/>
    <w:rsid w:val="00792DBA"/>
    <w:rsid w:val="007A2A26"/>
    <w:rsid w:val="007D44C0"/>
    <w:rsid w:val="007D6836"/>
    <w:rsid w:val="008044B0"/>
    <w:rsid w:val="00814379"/>
    <w:rsid w:val="00845A13"/>
    <w:rsid w:val="008D0C9A"/>
    <w:rsid w:val="008E7A72"/>
    <w:rsid w:val="009249E0"/>
    <w:rsid w:val="00947862"/>
    <w:rsid w:val="009809CA"/>
    <w:rsid w:val="00983126"/>
    <w:rsid w:val="009A4964"/>
    <w:rsid w:val="009A6AC7"/>
    <w:rsid w:val="009B2A5D"/>
    <w:rsid w:val="009E6960"/>
    <w:rsid w:val="00A016D0"/>
    <w:rsid w:val="00A0683B"/>
    <w:rsid w:val="00A344FC"/>
    <w:rsid w:val="00A5577F"/>
    <w:rsid w:val="00AA16D9"/>
    <w:rsid w:val="00B049A9"/>
    <w:rsid w:val="00B35417"/>
    <w:rsid w:val="00B42D05"/>
    <w:rsid w:val="00B51C87"/>
    <w:rsid w:val="00B95033"/>
    <w:rsid w:val="00BD0B01"/>
    <w:rsid w:val="00C02CC8"/>
    <w:rsid w:val="00C16D58"/>
    <w:rsid w:val="00C327FD"/>
    <w:rsid w:val="00C33380"/>
    <w:rsid w:val="00C80F4E"/>
    <w:rsid w:val="00CC05EE"/>
    <w:rsid w:val="00CC502C"/>
    <w:rsid w:val="00D0020F"/>
    <w:rsid w:val="00D210F8"/>
    <w:rsid w:val="00D21128"/>
    <w:rsid w:val="00D36B38"/>
    <w:rsid w:val="00D401B8"/>
    <w:rsid w:val="00D63971"/>
    <w:rsid w:val="00D91237"/>
    <w:rsid w:val="00DA18F3"/>
    <w:rsid w:val="00DA50D0"/>
    <w:rsid w:val="00EC6FBE"/>
    <w:rsid w:val="00F5450A"/>
    <w:rsid w:val="00F75BD6"/>
    <w:rsid w:val="00F80EC0"/>
    <w:rsid w:val="00FD67CF"/>
    <w:rsid w:val="00FE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370695"/>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line="240" w:lineRule="auto"/>
      <w:contextualSpacing/>
    </w:pPr>
    <w:rPr>
      <w:rFonts w:ascii="Times New Roman" w:eastAsia="Times New Roman" w:hAnsi="Times New Roman" w:cs="Times New Roman"/>
      <w:szCs w:val="24"/>
    </w:r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line="240" w:lineRule="auto"/>
      <w:ind w:left="274"/>
    </w:pPr>
    <w:rPr>
      <w:rFonts w:ascii="Times New Roman" w:eastAsia="Times New Roman" w:hAnsi="Times New Roman" w:cs="Times New Roman"/>
      <w:szCs w:val="24"/>
    </w:r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line="240" w:lineRule="auto"/>
      <w:contextualSpacing/>
    </w:pPr>
    <w:rPr>
      <w:rFonts w:ascii="Times New Roman" w:eastAsia="Times New Roman" w:hAnsi="Times New Roman" w:cs="Times New Roman"/>
      <w:szCs w:val="24"/>
    </w:r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customStyle="1" w:styleId="BODY1">
    <w:name w:val="BODY1"/>
    <w:rsid w:val="00A016D0"/>
    <w:pPr>
      <w:autoSpaceDN w:val="0"/>
      <w:spacing w:after="0" w:line="240" w:lineRule="auto"/>
    </w:pPr>
    <w:rPr>
      <w:rFonts w:ascii="Arial" w:eastAsia="Calibri" w:hAnsi="Arial" w:cs="Times New Roman"/>
      <w:sz w:val="20"/>
      <w:lang w:val="de-DE"/>
    </w:rPr>
  </w:style>
  <w:style w:type="paragraph" w:customStyle="1" w:styleId="BODY">
    <w:name w:val="BODY"/>
    <w:rsid w:val="00EC6FBE"/>
    <w:pPr>
      <w:suppressAutoHyphens/>
      <w:autoSpaceDN w:val="0"/>
      <w:spacing w:after="0" w:line="240" w:lineRule="auto"/>
      <w:textAlignment w:val="baseline"/>
    </w:pPr>
    <w:rPr>
      <w:rFonts w:ascii="Arial" w:eastAsia="Calibri" w:hAnsi="Arial" w:cs="Times New Roman"/>
      <w:sz w:val="20"/>
      <w:lang w:val="de-DE"/>
    </w:rPr>
  </w:style>
  <w:style w:type="paragraph" w:customStyle="1" w:styleId="Style7">
    <w:name w:val="Style_7"/>
    <w:rsid w:val="00EC6FBE"/>
    <w:pPr>
      <w:suppressAutoHyphens/>
      <w:autoSpaceDN w:val="0"/>
      <w:spacing w:before="40" w:after="20"/>
      <w:textAlignment w:val="baseline"/>
    </w:pPr>
    <w:rPr>
      <w:rFonts w:ascii="Arial" w:eastAsia="Calibri" w:hAnsi="Arial" w:cs="Times New Roman"/>
      <w:b/>
      <w:sz w:val="20"/>
      <w:lang w:val="de-DE"/>
    </w:rPr>
  </w:style>
  <w:style w:type="character" w:customStyle="1" w:styleId="Heading3Char">
    <w:name w:val="Heading 3 Char"/>
    <w:basedOn w:val="DefaultParagraphFont"/>
    <w:link w:val="Heading3"/>
    <w:rsid w:val="00370695"/>
    <w:rPr>
      <w:rFonts w:ascii="Cambria" w:eastAsia="Times New Roman" w:hAnsi="Cambria" w:cs="Times New Roman"/>
      <w:b/>
      <w:bCs/>
      <w:sz w:val="26"/>
      <w:szCs w:val="26"/>
    </w:rPr>
  </w:style>
  <w:style w:type="paragraph" w:customStyle="1" w:styleId="First-OrderHeading">
    <w:name w:val="First-Order Heading"/>
    <w:basedOn w:val="Normal"/>
    <w:rsid w:val="00370695"/>
    <w:pPr>
      <w:numPr>
        <w:numId w:val="12"/>
      </w:numPr>
      <w:spacing w:before="240" w:after="240" w:line="240" w:lineRule="auto"/>
    </w:pPr>
    <w:rPr>
      <w:rFonts w:ascii="Times New Roman" w:eastAsia="Times New Roman" w:hAnsi="Times New Roman" w:cs="Times New Roman"/>
      <w:b/>
      <w:caps/>
      <w:sz w:val="24"/>
      <w:szCs w:val="20"/>
    </w:rPr>
  </w:style>
  <w:style w:type="paragraph" w:customStyle="1" w:styleId="Second-OrderHeading">
    <w:name w:val="Second-Order Heading"/>
    <w:basedOn w:val="First-OrderHeading"/>
    <w:link w:val="Second-OrderHeadingChar"/>
    <w:rsid w:val="00370695"/>
    <w:pPr>
      <w:numPr>
        <w:ilvl w:val="1"/>
      </w:numPr>
      <w:spacing w:before="120" w:after="120"/>
    </w:pPr>
    <w:rPr>
      <w:rFonts w:ascii="Arial" w:hAnsi="Arial"/>
      <w:b w:val="0"/>
      <w:caps w:val="0"/>
      <w:sz w:val="20"/>
    </w:rPr>
  </w:style>
  <w:style w:type="paragraph" w:customStyle="1" w:styleId="Third-OrderHeading">
    <w:name w:val="Third-Order Heading"/>
    <w:basedOn w:val="Second-OrderHeading"/>
    <w:rsid w:val="00370695"/>
    <w:pPr>
      <w:numPr>
        <w:ilvl w:val="2"/>
      </w:numPr>
      <w:tabs>
        <w:tab w:val="clear" w:pos="0"/>
      </w:tabs>
      <w:ind w:hanging="180"/>
    </w:pPr>
  </w:style>
  <w:style w:type="paragraph" w:customStyle="1" w:styleId="Fourth-OrderHeading">
    <w:name w:val="Fourth-Order Heading"/>
    <w:basedOn w:val="Third-OrderHeading"/>
    <w:rsid w:val="00370695"/>
    <w:pPr>
      <w:numPr>
        <w:ilvl w:val="3"/>
      </w:numPr>
      <w:tabs>
        <w:tab w:val="clear" w:pos="2232"/>
      </w:tabs>
      <w:ind w:hanging="360"/>
    </w:pPr>
  </w:style>
  <w:style w:type="paragraph" w:customStyle="1" w:styleId="Fifth-OrderHeading">
    <w:name w:val="Fifth-Order Heading"/>
    <w:basedOn w:val="Fourth-OrderHeading"/>
    <w:rsid w:val="00370695"/>
    <w:pPr>
      <w:numPr>
        <w:ilvl w:val="4"/>
      </w:numPr>
      <w:tabs>
        <w:tab w:val="clear" w:pos="0"/>
      </w:tabs>
      <w:ind w:hanging="360"/>
    </w:pPr>
  </w:style>
  <w:style w:type="paragraph" w:customStyle="1" w:styleId="Sixth-OrderHeading">
    <w:name w:val="Sixth-Order Heading"/>
    <w:basedOn w:val="Fifth-OrderHeading"/>
    <w:rsid w:val="00370695"/>
    <w:pPr>
      <w:numPr>
        <w:ilvl w:val="5"/>
      </w:numPr>
      <w:tabs>
        <w:tab w:val="clear" w:pos="0"/>
      </w:tabs>
      <w:ind w:hanging="180"/>
    </w:pPr>
  </w:style>
  <w:style w:type="character" w:customStyle="1" w:styleId="Second-OrderHeadingChar">
    <w:name w:val="Second-Order Heading Char"/>
    <w:link w:val="Second-OrderHeading"/>
    <w:locked/>
    <w:rsid w:val="00370695"/>
    <w:rPr>
      <w:rFonts w:ascii="Arial" w:eastAsia="Times New Roman" w:hAnsi="Arial" w:cs="Times New Roman"/>
      <w:sz w:val="20"/>
      <w:szCs w:val="20"/>
    </w:rPr>
  </w:style>
  <w:style w:type="paragraph" w:styleId="FootnoteText">
    <w:name w:val="footnote text"/>
    <w:basedOn w:val="Normal"/>
    <w:link w:val="FootnoteTextChar"/>
    <w:semiHidden/>
    <w:rsid w:val="003706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70695"/>
    <w:rPr>
      <w:rFonts w:ascii="Times New Roman" w:eastAsia="Times New Roman" w:hAnsi="Times New Roman" w:cs="Times New Roman"/>
      <w:sz w:val="20"/>
      <w:szCs w:val="20"/>
    </w:rPr>
  </w:style>
  <w:style w:type="character" w:customStyle="1" w:styleId="normalchar1">
    <w:name w:val="normal__char1"/>
    <w:rsid w:val="00370695"/>
    <w:rPr>
      <w:rFonts w:ascii="Arial" w:hAnsi="Arial" w:cs="Arial"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370695"/>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line="240" w:lineRule="auto"/>
      <w:contextualSpacing/>
    </w:pPr>
    <w:rPr>
      <w:rFonts w:ascii="Times New Roman" w:eastAsia="Times New Roman" w:hAnsi="Times New Roman" w:cs="Times New Roman"/>
      <w:szCs w:val="24"/>
    </w:r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line="240" w:lineRule="auto"/>
      <w:ind w:left="274"/>
    </w:pPr>
    <w:rPr>
      <w:rFonts w:ascii="Times New Roman" w:eastAsia="Times New Roman" w:hAnsi="Times New Roman" w:cs="Times New Roman"/>
      <w:szCs w:val="24"/>
    </w:r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line="240" w:lineRule="auto"/>
      <w:contextualSpacing/>
    </w:pPr>
    <w:rPr>
      <w:rFonts w:ascii="Times New Roman" w:eastAsia="Times New Roman" w:hAnsi="Times New Roman" w:cs="Times New Roman"/>
      <w:szCs w:val="24"/>
    </w:r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customStyle="1" w:styleId="BODY1">
    <w:name w:val="BODY1"/>
    <w:rsid w:val="00A016D0"/>
    <w:pPr>
      <w:autoSpaceDN w:val="0"/>
      <w:spacing w:after="0" w:line="240" w:lineRule="auto"/>
    </w:pPr>
    <w:rPr>
      <w:rFonts w:ascii="Arial" w:eastAsia="Calibri" w:hAnsi="Arial" w:cs="Times New Roman"/>
      <w:sz w:val="20"/>
      <w:lang w:val="de-DE"/>
    </w:rPr>
  </w:style>
  <w:style w:type="paragraph" w:customStyle="1" w:styleId="BODY">
    <w:name w:val="BODY"/>
    <w:rsid w:val="00EC6FBE"/>
    <w:pPr>
      <w:suppressAutoHyphens/>
      <w:autoSpaceDN w:val="0"/>
      <w:spacing w:after="0" w:line="240" w:lineRule="auto"/>
      <w:textAlignment w:val="baseline"/>
    </w:pPr>
    <w:rPr>
      <w:rFonts w:ascii="Arial" w:eastAsia="Calibri" w:hAnsi="Arial" w:cs="Times New Roman"/>
      <w:sz w:val="20"/>
      <w:lang w:val="de-DE"/>
    </w:rPr>
  </w:style>
  <w:style w:type="paragraph" w:customStyle="1" w:styleId="Style7">
    <w:name w:val="Style_7"/>
    <w:rsid w:val="00EC6FBE"/>
    <w:pPr>
      <w:suppressAutoHyphens/>
      <w:autoSpaceDN w:val="0"/>
      <w:spacing w:before="40" w:after="20"/>
      <w:textAlignment w:val="baseline"/>
    </w:pPr>
    <w:rPr>
      <w:rFonts w:ascii="Arial" w:eastAsia="Calibri" w:hAnsi="Arial" w:cs="Times New Roman"/>
      <w:b/>
      <w:sz w:val="20"/>
      <w:lang w:val="de-DE"/>
    </w:rPr>
  </w:style>
  <w:style w:type="character" w:customStyle="1" w:styleId="Heading3Char">
    <w:name w:val="Heading 3 Char"/>
    <w:basedOn w:val="DefaultParagraphFont"/>
    <w:link w:val="Heading3"/>
    <w:rsid w:val="00370695"/>
    <w:rPr>
      <w:rFonts w:ascii="Cambria" w:eastAsia="Times New Roman" w:hAnsi="Cambria" w:cs="Times New Roman"/>
      <w:b/>
      <w:bCs/>
      <w:sz w:val="26"/>
      <w:szCs w:val="26"/>
    </w:rPr>
  </w:style>
  <w:style w:type="paragraph" w:customStyle="1" w:styleId="First-OrderHeading">
    <w:name w:val="First-Order Heading"/>
    <w:basedOn w:val="Normal"/>
    <w:rsid w:val="00370695"/>
    <w:pPr>
      <w:numPr>
        <w:numId w:val="12"/>
      </w:numPr>
      <w:spacing w:before="240" w:after="240" w:line="240" w:lineRule="auto"/>
    </w:pPr>
    <w:rPr>
      <w:rFonts w:ascii="Times New Roman" w:eastAsia="Times New Roman" w:hAnsi="Times New Roman" w:cs="Times New Roman"/>
      <w:b/>
      <w:caps/>
      <w:sz w:val="24"/>
      <w:szCs w:val="20"/>
    </w:rPr>
  </w:style>
  <w:style w:type="paragraph" w:customStyle="1" w:styleId="Second-OrderHeading">
    <w:name w:val="Second-Order Heading"/>
    <w:basedOn w:val="First-OrderHeading"/>
    <w:link w:val="Second-OrderHeadingChar"/>
    <w:rsid w:val="00370695"/>
    <w:pPr>
      <w:numPr>
        <w:ilvl w:val="1"/>
      </w:numPr>
      <w:spacing w:before="120" w:after="120"/>
    </w:pPr>
    <w:rPr>
      <w:rFonts w:ascii="Arial" w:hAnsi="Arial"/>
      <w:b w:val="0"/>
      <w:caps w:val="0"/>
      <w:sz w:val="20"/>
    </w:rPr>
  </w:style>
  <w:style w:type="paragraph" w:customStyle="1" w:styleId="Third-OrderHeading">
    <w:name w:val="Third-Order Heading"/>
    <w:basedOn w:val="Second-OrderHeading"/>
    <w:rsid w:val="00370695"/>
    <w:pPr>
      <w:numPr>
        <w:ilvl w:val="2"/>
      </w:numPr>
      <w:tabs>
        <w:tab w:val="clear" w:pos="0"/>
      </w:tabs>
      <w:ind w:hanging="180"/>
    </w:pPr>
  </w:style>
  <w:style w:type="paragraph" w:customStyle="1" w:styleId="Fourth-OrderHeading">
    <w:name w:val="Fourth-Order Heading"/>
    <w:basedOn w:val="Third-OrderHeading"/>
    <w:rsid w:val="00370695"/>
    <w:pPr>
      <w:numPr>
        <w:ilvl w:val="3"/>
      </w:numPr>
      <w:tabs>
        <w:tab w:val="clear" w:pos="2232"/>
      </w:tabs>
      <w:ind w:hanging="360"/>
    </w:pPr>
  </w:style>
  <w:style w:type="paragraph" w:customStyle="1" w:styleId="Fifth-OrderHeading">
    <w:name w:val="Fifth-Order Heading"/>
    <w:basedOn w:val="Fourth-OrderHeading"/>
    <w:rsid w:val="00370695"/>
    <w:pPr>
      <w:numPr>
        <w:ilvl w:val="4"/>
      </w:numPr>
      <w:tabs>
        <w:tab w:val="clear" w:pos="0"/>
      </w:tabs>
      <w:ind w:hanging="360"/>
    </w:pPr>
  </w:style>
  <w:style w:type="paragraph" w:customStyle="1" w:styleId="Sixth-OrderHeading">
    <w:name w:val="Sixth-Order Heading"/>
    <w:basedOn w:val="Fifth-OrderHeading"/>
    <w:rsid w:val="00370695"/>
    <w:pPr>
      <w:numPr>
        <w:ilvl w:val="5"/>
      </w:numPr>
      <w:tabs>
        <w:tab w:val="clear" w:pos="0"/>
      </w:tabs>
      <w:ind w:hanging="180"/>
    </w:pPr>
  </w:style>
  <w:style w:type="character" w:customStyle="1" w:styleId="Second-OrderHeadingChar">
    <w:name w:val="Second-Order Heading Char"/>
    <w:link w:val="Second-OrderHeading"/>
    <w:locked/>
    <w:rsid w:val="00370695"/>
    <w:rPr>
      <w:rFonts w:ascii="Arial" w:eastAsia="Times New Roman" w:hAnsi="Arial" w:cs="Times New Roman"/>
      <w:sz w:val="20"/>
      <w:szCs w:val="20"/>
    </w:rPr>
  </w:style>
  <w:style w:type="paragraph" w:styleId="FootnoteText">
    <w:name w:val="footnote text"/>
    <w:basedOn w:val="Normal"/>
    <w:link w:val="FootnoteTextChar"/>
    <w:semiHidden/>
    <w:rsid w:val="003706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70695"/>
    <w:rPr>
      <w:rFonts w:ascii="Times New Roman" w:eastAsia="Times New Roman" w:hAnsi="Times New Roman" w:cs="Times New Roman"/>
      <w:sz w:val="20"/>
      <w:szCs w:val="20"/>
    </w:rPr>
  </w:style>
  <w:style w:type="character" w:customStyle="1" w:styleId="normalchar1">
    <w:name w:val="normal__char1"/>
    <w:rsid w:val="00370695"/>
    <w:rPr>
      <w:rFonts w:ascii="Arial" w:hAnsi="Arial" w:cs="Arial"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40">
      <w:bodyDiv w:val="1"/>
      <w:marLeft w:val="0"/>
      <w:marRight w:val="0"/>
      <w:marTop w:val="0"/>
      <w:marBottom w:val="0"/>
      <w:divBdr>
        <w:top w:val="none" w:sz="0" w:space="0" w:color="auto"/>
        <w:left w:val="none" w:sz="0" w:space="0" w:color="auto"/>
        <w:bottom w:val="none" w:sz="0" w:space="0" w:color="auto"/>
        <w:right w:val="none" w:sz="0" w:space="0" w:color="auto"/>
      </w:divBdr>
    </w:div>
    <w:div w:id="192812584">
      <w:bodyDiv w:val="1"/>
      <w:marLeft w:val="0"/>
      <w:marRight w:val="0"/>
      <w:marTop w:val="0"/>
      <w:marBottom w:val="0"/>
      <w:divBdr>
        <w:top w:val="none" w:sz="0" w:space="0" w:color="auto"/>
        <w:left w:val="none" w:sz="0" w:space="0" w:color="auto"/>
        <w:bottom w:val="none" w:sz="0" w:space="0" w:color="auto"/>
        <w:right w:val="none" w:sz="0" w:space="0" w:color="auto"/>
      </w:divBdr>
    </w:div>
    <w:div w:id="251210116">
      <w:bodyDiv w:val="1"/>
      <w:marLeft w:val="0"/>
      <w:marRight w:val="0"/>
      <w:marTop w:val="0"/>
      <w:marBottom w:val="0"/>
      <w:divBdr>
        <w:top w:val="none" w:sz="0" w:space="0" w:color="auto"/>
        <w:left w:val="none" w:sz="0" w:space="0" w:color="auto"/>
        <w:bottom w:val="none" w:sz="0" w:space="0" w:color="auto"/>
        <w:right w:val="none" w:sz="0" w:space="0" w:color="auto"/>
      </w:divBdr>
    </w:div>
    <w:div w:id="259526294">
      <w:bodyDiv w:val="1"/>
      <w:marLeft w:val="0"/>
      <w:marRight w:val="0"/>
      <w:marTop w:val="0"/>
      <w:marBottom w:val="0"/>
      <w:divBdr>
        <w:top w:val="none" w:sz="0" w:space="0" w:color="auto"/>
        <w:left w:val="none" w:sz="0" w:space="0" w:color="auto"/>
        <w:bottom w:val="none" w:sz="0" w:space="0" w:color="auto"/>
        <w:right w:val="none" w:sz="0" w:space="0" w:color="auto"/>
      </w:divBdr>
    </w:div>
    <w:div w:id="339356633">
      <w:bodyDiv w:val="1"/>
      <w:marLeft w:val="0"/>
      <w:marRight w:val="0"/>
      <w:marTop w:val="0"/>
      <w:marBottom w:val="0"/>
      <w:divBdr>
        <w:top w:val="none" w:sz="0" w:space="0" w:color="auto"/>
        <w:left w:val="none" w:sz="0" w:space="0" w:color="auto"/>
        <w:bottom w:val="none" w:sz="0" w:space="0" w:color="auto"/>
        <w:right w:val="none" w:sz="0" w:space="0" w:color="auto"/>
      </w:divBdr>
    </w:div>
    <w:div w:id="366177155">
      <w:bodyDiv w:val="1"/>
      <w:marLeft w:val="0"/>
      <w:marRight w:val="0"/>
      <w:marTop w:val="0"/>
      <w:marBottom w:val="0"/>
      <w:divBdr>
        <w:top w:val="none" w:sz="0" w:space="0" w:color="auto"/>
        <w:left w:val="none" w:sz="0" w:space="0" w:color="auto"/>
        <w:bottom w:val="none" w:sz="0" w:space="0" w:color="auto"/>
        <w:right w:val="none" w:sz="0" w:space="0" w:color="auto"/>
      </w:divBdr>
    </w:div>
    <w:div w:id="418404003">
      <w:bodyDiv w:val="1"/>
      <w:marLeft w:val="0"/>
      <w:marRight w:val="0"/>
      <w:marTop w:val="0"/>
      <w:marBottom w:val="0"/>
      <w:divBdr>
        <w:top w:val="none" w:sz="0" w:space="0" w:color="auto"/>
        <w:left w:val="none" w:sz="0" w:space="0" w:color="auto"/>
        <w:bottom w:val="none" w:sz="0" w:space="0" w:color="auto"/>
        <w:right w:val="none" w:sz="0" w:space="0" w:color="auto"/>
      </w:divBdr>
    </w:div>
    <w:div w:id="457453440">
      <w:bodyDiv w:val="1"/>
      <w:marLeft w:val="0"/>
      <w:marRight w:val="0"/>
      <w:marTop w:val="0"/>
      <w:marBottom w:val="0"/>
      <w:divBdr>
        <w:top w:val="none" w:sz="0" w:space="0" w:color="auto"/>
        <w:left w:val="none" w:sz="0" w:space="0" w:color="auto"/>
        <w:bottom w:val="none" w:sz="0" w:space="0" w:color="auto"/>
        <w:right w:val="none" w:sz="0" w:space="0" w:color="auto"/>
      </w:divBdr>
    </w:div>
    <w:div w:id="509954282">
      <w:bodyDiv w:val="1"/>
      <w:marLeft w:val="0"/>
      <w:marRight w:val="0"/>
      <w:marTop w:val="0"/>
      <w:marBottom w:val="0"/>
      <w:divBdr>
        <w:top w:val="none" w:sz="0" w:space="0" w:color="auto"/>
        <w:left w:val="none" w:sz="0" w:space="0" w:color="auto"/>
        <w:bottom w:val="none" w:sz="0" w:space="0" w:color="auto"/>
        <w:right w:val="none" w:sz="0" w:space="0" w:color="auto"/>
      </w:divBdr>
    </w:div>
    <w:div w:id="540090388">
      <w:bodyDiv w:val="1"/>
      <w:marLeft w:val="0"/>
      <w:marRight w:val="0"/>
      <w:marTop w:val="0"/>
      <w:marBottom w:val="0"/>
      <w:divBdr>
        <w:top w:val="none" w:sz="0" w:space="0" w:color="auto"/>
        <w:left w:val="none" w:sz="0" w:space="0" w:color="auto"/>
        <w:bottom w:val="none" w:sz="0" w:space="0" w:color="auto"/>
        <w:right w:val="none" w:sz="0" w:space="0" w:color="auto"/>
      </w:divBdr>
    </w:div>
    <w:div w:id="690955695">
      <w:bodyDiv w:val="1"/>
      <w:marLeft w:val="0"/>
      <w:marRight w:val="0"/>
      <w:marTop w:val="0"/>
      <w:marBottom w:val="0"/>
      <w:divBdr>
        <w:top w:val="none" w:sz="0" w:space="0" w:color="auto"/>
        <w:left w:val="none" w:sz="0" w:space="0" w:color="auto"/>
        <w:bottom w:val="none" w:sz="0" w:space="0" w:color="auto"/>
        <w:right w:val="none" w:sz="0" w:space="0" w:color="auto"/>
      </w:divBdr>
    </w:div>
    <w:div w:id="710810067">
      <w:bodyDiv w:val="1"/>
      <w:marLeft w:val="0"/>
      <w:marRight w:val="0"/>
      <w:marTop w:val="0"/>
      <w:marBottom w:val="0"/>
      <w:divBdr>
        <w:top w:val="none" w:sz="0" w:space="0" w:color="auto"/>
        <w:left w:val="none" w:sz="0" w:space="0" w:color="auto"/>
        <w:bottom w:val="none" w:sz="0" w:space="0" w:color="auto"/>
        <w:right w:val="none" w:sz="0" w:space="0" w:color="auto"/>
      </w:divBdr>
    </w:div>
    <w:div w:id="727849903">
      <w:bodyDiv w:val="1"/>
      <w:marLeft w:val="0"/>
      <w:marRight w:val="0"/>
      <w:marTop w:val="0"/>
      <w:marBottom w:val="0"/>
      <w:divBdr>
        <w:top w:val="none" w:sz="0" w:space="0" w:color="auto"/>
        <w:left w:val="none" w:sz="0" w:space="0" w:color="auto"/>
        <w:bottom w:val="none" w:sz="0" w:space="0" w:color="auto"/>
        <w:right w:val="none" w:sz="0" w:space="0" w:color="auto"/>
      </w:divBdr>
    </w:div>
    <w:div w:id="1026563520">
      <w:bodyDiv w:val="1"/>
      <w:marLeft w:val="0"/>
      <w:marRight w:val="0"/>
      <w:marTop w:val="0"/>
      <w:marBottom w:val="0"/>
      <w:divBdr>
        <w:top w:val="none" w:sz="0" w:space="0" w:color="auto"/>
        <w:left w:val="none" w:sz="0" w:space="0" w:color="auto"/>
        <w:bottom w:val="none" w:sz="0" w:space="0" w:color="auto"/>
        <w:right w:val="none" w:sz="0" w:space="0" w:color="auto"/>
      </w:divBdr>
    </w:div>
    <w:div w:id="1040059293">
      <w:bodyDiv w:val="1"/>
      <w:marLeft w:val="0"/>
      <w:marRight w:val="0"/>
      <w:marTop w:val="0"/>
      <w:marBottom w:val="0"/>
      <w:divBdr>
        <w:top w:val="none" w:sz="0" w:space="0" w:color="auto"/>
        <w:left w:val="none" w:sz="0" w:space="0" w:color="auto"/>
        <w:bottom w:val="none" w:sz="0" w:space="0" w:color="auto"/>
        <w:right w:val="none" w:sz="0" w:space="0" w:color="auto"/>
      </w:divBdr>
    </w:div>
    <w:div w:id="1047340902">
      <w:bodyDiv w:val="1"/>
      <w:marLeft w:val="0"/>
      <w:marRight w:val="0"/>
      <w:marTop w:val="0"/>
      <w:marBottom w:val="0"/>
      <w:divBdr>
        <w:top w:val="none" w:sz="0" w:space="0" w:color="auto"/>
        <w:left w:val="none" w:sz="0" w:space="0" w:color="auto"/>
        <w:bottom w:val="none" w:sz="0" w:space="0" w:color="auto"/>
        <w:right w:val="none" w:sz="0" w:space="0" w:color="auto"/>
      </w:divBdr>
    </w:div>
    <w:div w:id="1082529093">
      <w:bodyDiv w:val="1"/>
      <w:marLeft w:val="0"/>
      <w:marRight w:val="0"/>
      <w:marTop w:val="0"/>
      <w:marBottom w:val="0"/>
      <w:divBdr>
        <w:top w:val="none" w:sz="0" w:space="0" w:color="auto"/>
        <w:left w:val="none" w:sz="0" w:space="0" w:color="auto"/>
        <w:bottom w:val="none" w:sz="0" w:space="0" w:color="auto"/>
        <w:right w:val="none" w:sz="0" w:space="0" w:color="auto"/>
      </w:divBdr>
    </w:div>
    <w:div w:id="1178081713">
      <w:bodyDiv w:val="1"/>
      <w:marLeft w:val="0"/>
      <w:marRight w:val="0"/>
      <w:marTop w:val="0"/>
      <w:marBottom w:val="0"/>
      <w:divBdr>
        <w:top w:val="none" w:sz="0" w:space="0" w:color="auto"/>
        <w:left w:val="none" w:sz="0" w:space="0" w:color="auto"/>
        <w:bottom w:val="none" w:sz="0" w:space="0" w:color="auto"/>
        <w:right w:val="none" w:sz="0" w:space="0" w:color="auto"/>
      </w:divBdr>
    </w:div>
    <w:div w:id="1301611915">
      <w:bodyDiv w:val="1"/>
      <w:marLeft w:val="0"/>
      <w:marRight w:val="0"/>
      <w:marTop w:val="0"/>
      <w:marBottom w:val="0"/>
      <w:divBdr>
        <w:top w:val="none" w:sz="0" w:space="0" w:color="auto"/>
        <w:left w:val="none" w:sz="0" w:space="0" w:color="auto"/>
        <w:bottom w:val="none" w:sz="0" w:space="0" w:color="auto"/>
        <w:right w:val="none" w:sz="0" w:space="0" w:color="auto"/>
      </w:divBdr>
    </w:div>
    <w:div w:id="1408108054">
      <w:bodyDiv w:val="1"/>
      <w:marLeft w:val="0"/>
      <w:marRight w:val="0"/>
      <w:marTop w:val="0"/>
      <w:marBottom w:val="0"/>
      <w:divBdr>
        <w:top w:val="none" w:sz="0" w:space="0" w:color="auto"/>
        <w:left w:val="none" w:sz="0" w:space="0" w:color="auto"/>
        <w:bottom w:val="none" w:sz="0" w:space="0" w:color="auto"/>
        <w:right w:val="none" w:sz="0" w:space="0" w:color="auto"/>
      </w:divBdr>
    </w:div>
    <w:div w:id="1505708114">
      <w:bodyDiv w:val="1"/>
      <w:marLeft w:val="0"/>
      <w:marRight w:val="0"/>
      <w:marTop w:val="0"/>
      <w:marBottom w:val="0"/>
      <w:divBdr>
        <w:top w:val="none" w:sz="0" w:space="0" w:color="auto"/>
        <w:left w:val="none" w:sz="0" w:space="0" w:color="auto"/>
        <w:bottom w:val="none" w:sz="0" w:space="0" w:color="auto"/>
        <w:right w:val="none" w:sz="0" w:space="0" w:color="auto"/>
      </w:divBdr>
    </w:div>
    <w:div w:id="1601260306">
      <w:bodyDiv w:val="1"/>
      <w:marLeft w:val="0"/>
      <w:marRight w:val="0"/>
      <w:marTop w:val="0"/>
      <w:marBottom w:val="0"/>
      <w:divBdr>
        <w:top w:val="none" w:sz="0" w:space="0" w:color="auto"/>
        <w:left w:val="none" w:sz="0" w:space="0" w:color="auto"/>
        <w:bottom w:val="none" w:sz="0" w:space="0" w:color="auto"/>
        <w:right w:val="none" w:sz="0" w:space="0" w:color="auto"/>
      </w:divBdr>
    </w:div>
    <w:div w:id="1692761943">
      <w:bodyDiv w:val="1"/>
      <w:marLeft w:val="0"/>
      <w:marRight w:val="0"/>
      <w:marTop w:val="0"/>
      <w:marBottom w:val="0"/>
      <w:divBdr>
        <w:top w:val="none" w:sz="0" w:space="0" w:color="auto"/>
        <w:left w:val="none" w:sz="0" w:space="0" w:color="auto"/>
        <w:bottom w:val="none" w:sz="0" w:space="0" w:color="auto"/>
        <w:right w:val="none" w:sz="0" w:space="0" w:color="auto"/>
      </w:divBdr>
    </w:div>
    <w:div w:id="1718122108">
      <w:bodyDiv w:val="1"/>
      <w:marLeft w:val="0"/>
      <w:marRight w:val="0"/>
      <w:marTop w:val="0"/>
      <w:marBottom w:val="0"/>
      <w:divBdr>
        <w:top w:val="none" w:sz="0" w:space="0" w:color="auto"/>
        <w:left w:val="none" w:sz="0" w:space="0" w:color="auto"/>
        <w:bottom w:val="none" w:sz="0" w:space="0" w:color="auto"/>
        <w:right w:val="none" w:sz="0" w:space="0" w:color="auto"/>
      </w:divBdr>
    </w:div>
    <w:div w:id="1965698040">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E29C4A00FA4AA9B32D2EB1F7E192" ma:contentTypeVersion="0" ma:contentTypeDescription="Create a new document." ma:contentTypeScope="" ma:versionID="5e6091525808ca76fba1cb255e0939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32E6-FD2F-44D1-A122-CAB35F94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7476BB-9EAB-4C27-8054-203E5D803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8D6CD-3548-493A-A5A9-A44E1C2D1C57}">
  <ds:schemaRefs>
    <ds:schemaRef ds:uri="http://schemas.microsoft.com/sharepoint/v3/contenttype/forms"/>
  </ds:schemaRefs>
</ds:datastoreItem>
</file>

<file path=customXml/itemProps4.xml><?xml version="1.0" encoding="utf-8"?>
<ds:datastoreItem xmlns:ds="http://schemas.openxmlformats.org/officeDocument/2006/customXml" ds:itemID="{165F35B7-D65D-48D1-8AAD-142D407C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Barbara</dc:creator>
  <cp:lastModifiedBy>Baker, Susan L</cp:lastModifiedBy>
  <cp:revision>12</cp:revision>
  <cp:lastPrinted>2018-01-26T14:11:00Z</cp:lastPrinted>
  <dcterms:created xsi:type="dcterms:W3CDTF">2017-10-13T16:08:00Z</dcterms:created>
  <dcterms:modified xsi:type="dcterms:W3CDTF">2018-01-26T21:34:00Z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0x0101001D0BE29C4A00FA4AA9B32D2EB1F7E192</vt:lpwstr>
  </property>
</Properties>
</file>