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41" w:rsidRPr="00A0644A" w:rsidRDefault="00B46DA9" w:rsidP="00862851">
      <w:pPr>
        <w:pStyle w:val="Heading1"/>
        <w:rPr>
          <w:b w:val="0"/>
        </w:rPr>
      </w:pPr>
      <w:r w:rsidRPr="00A0644A">
        <w:rPr>
          <w:rFonts w:ascii="Arial" w:hAnsi="Arial" w:cs="Arial"/>
          <w:b w:val="0"/>
        </w:rPr>
        <w:t xml:space="preserve">     </w:t>
      </w:r>
    </w:p>
    <w:p w:rsidR="00B46DA9" w:rsidRPr="007C1D50" w:rsidRDefault="00B46DA9">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sz w:val="20"/>
          <w:szCs w:val="20"/>
        </w:rPr>
        <w:t xml:space="preserve"> </w:t>
      </w:r>
      <w:r w:rsidRPr="007C1D50">
        <w:rPr>
          <w:rFonts w:ascii="Arial" w:hAnsi="Arial" w:cs="Arial"/>
          <w:b/>
          <w:bCs/>
          <w:sz w:val="20"/>
          <w:szCs w:val="20"/>
        </w:rPr>
        <w:t>Title:</w:t>
      </w:r>
      <w:r w:rsidRPr="007C1D50">
        <w:rPr>
          <w:rFonts w:ascii="Arial" w:hAnsi="Arial" w:cs="Arial"/>
          <w:sz w:val="20"/>
          <w:szCs w:val="20"/>
        </w:rPr>
        <w:tab/>
      </w:r>
      <w:r w:rsidR="00F70869">
        <w:rPr>
          <w:rFonts w:ascii="Arial" w:hAnsi="Arial" w:cs="Arial"/>
          <w:sz w:val="20"/>
          <w:szCs w:val="20"/>
        </w:rPr>
        <w:t>HDL - Cholesterol</w:t>
      </w:r>
      <w:r w:rsidRPr="007C1D50">
        <w:rPr>
          <w:rFonts w:ascii="Arial" w:hAnsi="Arial" w:cs="Arial"/>
          <w:sz w:val="20"/>
          <w:szCs w:val="20"/>
        </w:rPr>
        <w:tab/>
      </w:r>
    </w:p>
    <w:p w:rsidR="00B46DA9" w:rsidRPr="007C1D50" w:rsidRDefault="00B46DA9">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B46DA9" w:rsidRPr="007C1D50" w:rsidTr="00C23351">
        <w:trPr>
          <w:trHeight w:val="641"/>
        </w:trPr>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B46DA9" w:rsidRDefault="00B46DA9">
            <w:pPr>
              <w:jc w:val="center"/>
              <w:rPr>
                <w:rFonts w:ascii="Arial" w:hAnsi="Arial" w:cs="Arial"/>
                <w:b/>
                <w:sz w:val="20"/>
                <w:szCs w:val="20"/>
              </w:rPr>
            </w:pPr>
            <w:r w:rsidRPr="007C1D50">
              <w:rPr>
                <w:rFonts w:ascii="Arial" w:hAnsi="Arial" w:cs="Arial"/>
                <w:b/>
                <w:sz w:val="20"/>
                <w:szCs w:val="20"/>
              </w:rPr>
              <w:t>Effective  Date:</w:t>
            </w:r>
          </w:p>
          <w:p w:rsidR="00C23351" w:rsidRPr="007C1D50" w:rsidRDefault="00C23351">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Supersedes Procedure #</w:t>
            </w:r>
          </w:p>
        </w:tc>
      </w:tr>
      <w:tr w:rsidR="00F20D9B" w:rsidRPr="007C1D50" w:rsidTr="00C23351">
        <w:trPr>
          <w:trHeight w:val="497"/>
        </w:trPr>
        <w:tc>
          <w:tcPr>
            <w:tcW w:w="3240" w:type="dxa"/>
            <w:tcBorders>
              <w:top w:val="single" w:sz="4" w:space="0" w:color="auto"/>
              <w:left w:val="single" w:sz="6" w:space="0" w:color="auto"/>
              <w:bottom w:val="single" w:sz="36" w:space="0" w:color="auto"/>
              <w:right w:val="single" w:sz="6" w:space="0" w:color="auto"/>
            </w:tcBorders>
          </w:tcPr>
          <w:p w:rsidR="00F20D9B" w:rsidRPr="009E7E76" w:rsidRDefault="00F70869" w:rsidP="006938A0">
            <w:pPr>
              <w:pStyle w:val="Header"/>
              <w:rPr>
                <w:rFonts w:ascii="Arial" w:hAnsi="Arial" w:cs="Arial"/>
                <w:sz w:val="20"/>
                <w:szCs w:val="20"/>
              </w:rPr>
            </w:pPr>
            <w:r>
              <w:rPr>
                <w:rFonts w:ascii="Arial" w:hAnsi="Arial" w:cs="Arial"/>
                <w:sz w:val="20"/>
                <w:szCs w:val="20"/>
              </w:rPr>
              <w:t>S. Baker</w:t>
            </w:r>
          </w:p>
        </w:tc>
        <w:tc>
          <w:tcPr>
            <w:tcW w:w="3240" w:type="dxa"/>
            <w:tcBorders>
              <w:top w:val="single" w:sz="4" w:space="0" w:color="auto"/>
              <w:left w:val="single" w:sz="6" w:space="0" w:color="auto"/>
              <w:bottom w:val="single" w:sz="36" w:space="0" w:color="auto"/>
              <w:right w:val="single" w:sz="6" w:space="0" w:color="auto"/>
            </w:tcBorders>
          </w:tcPr>
          <w:p w:rsidR="00F20D9B" w:rsidRPr="007C1D50" w:rsidRDefault="00F20D9B">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F20D9B" w:rsidRPr="007C1D50" w:rsidRDefault="00F70869">
            <w:pPr>
              <w:jc w:val="center"/>
              <w:rPr>
                <w:rFonts w:ascii="Arial" w:hAnsi="Arial" w:cs="Arial"/>
                <w:sz w:val="20"/>
                <w:szCs w:val="20"/>
              </w:rPr>
            </w:pPr>
            <w:r>
              <w:rPr>
                <w:rFonts w:ascii="Arial" w:hAnsi="Arial" w:cs="Arial"/>
                <w:sz w:val="20"/>
                <w:szCs w:val="20"/>
              </w:rPr>
              <w:t>New</w:t>
            </w:r>
          </w:p>
        </w:tc>
      </w:tr>
    </w:tbl>
    <w:p w:rsidR="00B46DA9" w:rsidRPr="007C1D50" w:rsidRDefault="00B46DA9">
      <w:pPr>
        <w:jc w:val="both"/>
        <w:rPr>
          <w:rFonts w:ascii="Arial" w:hAnsi="Arial" w:cs="Arial"/>
          <w:sz w:val="20"/>
          <w:szCs w:val="20"/>
        </w:rPr>
      </w:pPr>
    </w:p>
    <w:p w:rsidR="00B46DA9" w:rsidRPr="007C1D50" w:rsidRDefault="00B46DA9">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B46DA9" w:rsidRPr="007C1D50" w:rsidTr="00C23351">
        <w:trPr>
          <w:trHeight w:val="782"/>
        </w:trPr>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B46DA9" w:rsidRDefault="00B46DA9">
            <w:pPr>
              <w:jc w:val="center"/>
              <w:rPr>
                <w:rFonts w:ascii="Arial" w:hAnsi="Arial" w:cs="Arial"/>
                <w:b/>
                <w:sz w:val="20"/>
                <w:szCs w:val="20"/>
              </w:rPr>
            </w:pPr>
            <w:r w:rsidRPr="007C1D50">
              <w:rPr>
                <w:rFonts w:ascii="Arial" w:hAnsi="Arial" w:cs="Arial"/>
                <w:b/>
                <w:sz w:val="20"/>
                <w:szCs w:val="20"/>
              </w:rPr>
              <w:t>Effective (adopted) Date:</w:t>
            </w:r>
          </w:p>
          <w:p w:rsidR="00C23351" w:rsidRPr="007C1D50" w:rsidRDefault="00C23351">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B46DA9" w:rsidRPr="007C1D50" w:rsidTr="00C23351">
        <w:trPr>
          <w:trHeight w:val="497"/>
        </w:trPr>
        <w:tc>
          <w:tcPr>
            <w:tcW w:w="3240" w:type="dxa"/>
            <w:tcBorders>
              <w:top w:val="single" w:sz="4" w:space="0" w:color="auto"/>
              <w:left w:val="single" w:sz="6" w:space="0" w:color="auto"/>
              <w:bottom w:val="single" w:sz="36" w:space="0" w:color="auto"/>
              <w:right w:val="single" w:sz="6" w:space="0" w:color="auto"/>
            </w:tcBorders>
          </w:tcPr>
          <w:p w:rsidR="00B46DA9" w:rsidRPr="007C1D50" w:rsidRDefault="00B46DA9">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B46DA9" w:rsidRPr="007C1D50" w:rsidRDefault="00B46DA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B46DA9" w:rsidRPr="007C1D50" w:rsidRDefault="00B46DA9">
            <w:pPr>
              <w:jc w:val="center"/>
              <w:rPr>
                <w:rFonts w:ascii="Arial" w:hAnsi="Arial" w:cs="Arial"/>
                <w:sz w:val="20"/>
                <w:szCs w:val="20"/>
              </w:rPr>
            </w:pPr>
          </w:p>
        </w:tc>
      </w:tr>
    </w:tbl>
    <w:p w:rsidR="00B46DA9" w:rsidRPr="007C1D50" w:rsidRDefault="00B46DA9">
      <w:pPr>
        <w:jc w:val="both"/>
        <w:rPr>
          <w:rFonts w:ascii="Arial" w:hAnsi="Arial" w:cs="Arial"/>
          <w:sz w:val="20"/>
          <w:szCs w:val="20"/>
        </w:rPr>
      </w:pPr>
    </w:p>
    <w:p w:rsidR="00B46DA9" w:rsidRPr="007C1D50" w:rsidRDefault="00B46DA9">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5760"/>
        <w:gridCol w:w="3870"/>
      </w:tblGrid>
      <w:tr w:rsidR="00B46DA9" w:rsidRPr="007C1D50">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B46DA9" w:rsidRPr="007C1D50" w:rsidRDefault="00B46DA9">
            <w:pPr>
              <w:jc w:val="center"/>
              <w:rPr>
                <w:rFonts w:ascii="Arial" w:hAnsi="Arial" w:cs="Arial"/>
                <w:b/>
                <w:sz w:val="20"/>
                <w:szCs w:val="20"/>
              </w:rPr>
            </w:pPr>
            <w:r w:rsidRPr="007C1D5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B46DA9" w:rsidRPr="007C1D50" w:rsidRDefault="00B46DA9">
            <w:pPr>
              <w:jc w:val="center"/>
              <w:rPr>
                <w:rFonts w:ascii="Arial" w:hAnsi="Arial" w:cs="Arial"/>
                <w:b/>
                <w:sz w:val="20"/>
                <w:szCs w:val="20"/>
              </w:rPr>
            </w:pPr>
            <w:r w:rsidRPr="007C1D50">
              <w:rPr>
                <w:rFonts w:ascii="Arial" w:hAnsi="Arial" w:cs="Arial"/>
                <w:b/>
                <w:sz w:val="20"/>
                <w:szCs w:val="20"/>
              </w:rPr>
              <w:t>Approval Date</w:t>
            </w:r>
          </w:p>
        </w:tc>
      </w:tr>
      <w:tr w:rsidR="0077543B" w:rsidRPr="007C1D50">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7543B" w:rsidRPr="00404A72" w:rsidRDefault="0077543B" w:rsidP="004C4A6B">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77543B" w:rsidRPr="007C1D50" w:rsidRDefault="0077543B">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404A72" w:rsidRDefault="007C1D50" w:rsidP="004C4A6B">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404A72" w:rsidRDefault="00F70869" w:rsidP="00EC38F2">
            <w:pPr>
              <w:jc w:val="center"/>
              <w:rPr>
                <w:rFonts w:ascii="Arial" w:hAnsi="Arial" w:cs="Arial"/>
                <w:sz w:val="20"/>
                <w:szCs w:val="20"/>
              </w:rPr>
            </w:pPr>
            <w:r>
              <w:rPr>
                <w:rFonts w:ascii="Arial" w:hAnsi="Arial" w:cs="Arial"/>
                <w:sz w:val="20"/>
                <w:szCs w:val="20"/>
              </w:rPr>
              <w:t>Dr. X</w:t>
            </w:r>
            <w:r w:rsidR="00EC38F2">
              <w:rPr>
                <w:rFonts w:ascii="Arial" w:hAnsi="Arial" w:cs="Arial"/>
                <w:sz w:val="20"/>
                <w:szCs w:val="20"/>
              </w:rPr>
              <w:t>iaolan</w:t>
            </w:r>
            <w:r>
              <w:rPr>
                <w:rFonts w:ascii="Arial" w:hAnsi="Arial" w:cs="Arial"/>
                <w:sz w:val="20"/>
                <w:szCs w:val="20"/>
              </w:rPr>
              <w:t xml:space="preserve"> Ou,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EF2C76" w:rsidRDefault="007C1D50" w:rsidP="004C4A6B">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4222CB" w:rsidRDefault="007C1D50" w:rsidP="004C4A6B">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EF2C76" w:rsidRDefault="00F70869" w:rsidP="00C23351">
            <w:pPr>
              <w:jc w:val="center"/>
              <w:rPr>
                <w:rFonts w:ascii="Arial" w:hAnsi="Arial" w:cs="Arial"/>
                <w:sz w:val="20"/>
                <w:szCs w:val="20"/>
              </w:rPr>
            </w:pPr>
            <w:r>
              <w:rPr>
                <w:rFonts w:ascii="Arial" w:hAnsi="Arial" w:cs="Arial"/>
                <w:sz w:val="20"/>
                <w:szCs w:val="20"/>
              </w:rPr>
              <w:t>Mary Johnson, Chief Supervisor</w:t>
            </w: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nil"/>
            </w:tcBorders>
            <w:vAlign w:val="center"/>
          </w:tcPr>
          <w:p w:rsidR="007C1D50" w:rsidRPr="00404A72" w:rsidRDefault="007C1D50" w:rsidP="004C4A6B">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404A72" w:rsidRDefault="007C1D50" w:rsidP="004C4A6B">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7C1D50" w:rsidRPr="007C1D50" w:rsidTr="00EF2C76">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7C1D50" w:rsidRPr="00404A72" w:rsidRDefault="00F70869" w:rsidP="004C4A6B">
            <w:pPr>
              <w:jc w:val="center"/>
              <w:rPr>
                <w:rFonts w:ascii="Arial" w:hAnsi="Arial" w:cs="Arial"/>
                <w:sz w:val="20"/>
                <w:szCs w:val="20"/>
              </w:rPr>
            </w:pPr>
            <w:r>
              <w:rPr>
                <w:rFonts w:ascii="Arial" w:hAnsi="Arial" w:cs="Arial"/>
                <w:sz w:val="20"/>
                <w:szCs w:val="20"/>
              </w:rPr>
              <w:t>Sue Baker, Asst. Supervisor – Strong West</w:t>
            </w:r>
          </w:p>
        </w:tc>
        <w:tc>
          <w:tcPr>
            <w:tcW w:w="3870" w:type="dxa"/>
            <w:tcBorders>
              <w:top w:val="single" w:sz="6" w:space="0" w:color="auto"/>
              <w:left w:val="nil"/>
              <w:bottom w:val="single" w:sz="6" w:space="0" w:color="auto"/>
              <w:right w:val="single" w:sz="36" w:space="0" w:color="auto"/>
            </w:tcBorders>
            <w:vAlign w:val="center"/>
          </w:tcPr>
          <w:p w:rsidR="007C1D50" w:rsidRPr="007C1D50" w:rsidRDefault="007C1D50">
            <w:pPr>
              <w:jc w:val="center"/>
              <w:rPr>
                <w:rFonts w:ascii="Arial" w:hAnsi="Arial" w:cs="Arial"/>
                <w:sz w:val="20"/>
                <w:szCs w:val="20"/>
              </w:rPr>
            </w:pPr>
          </w:p>
        </w:tc>
      </w:tr>
      <w:tr w:rsidR="00EF2C76" w:rsidRPr="007C1D50">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F2C76" w:rsidRPr="006877B5" w:rsidRDefault="00EF2C76" w:rsidP="004C4A6B">
            <w:pPr>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rsidR="00EF2C76" w:rsidRPr="007C1D50" w:rsidRDefault="00EF2C76">
            <w:pPr>
              <w:jc w:val="center"/>
              <w:rPr>
                <w:rFonts w:ascii="Arial" w:hAnsi="Arial" w:cs="Arial"/>
                <w:sz w:val="20"/>
                <w:szCs w:val="20"/>
              </w:rPr>
            </w:pPr>
          </w:p>
        </w:tc>
      </w:tr>
    </w:tbl>
    <w:p w:rsidR="00B46DA9" w:rsidRPr="007C1D50" w:rsidRDefault="00B46DA9">
      <w:pPr>
        <w:rPr>
          <w:rFonts w:ascii="Arial" w:hAnsi="Arial" w:cs="Arial"/>
          <w:sz w:val="20"/>
          <w:szCs w:val="20"/>
        </w:rPr>
      </w:pPr>
    </w:p>
    <w:p w:rsidR="00B46DA9" w:rsidRPr="007C1D50" w:rsidRDefault="00B46DA9">
      <w:pPr>
        <w:jc w:val="both"/>
        <w:rPr>
          <w:rFonts w:ascii="Arial" w:hAnsi="Arial" w:cs="Arial"/>
          <w:sz w:val="20"/>
          <w:szCs w:val="20"/>
        </w:rPr>
      </w:pPr>
    </w:p>
    <w:p w:rsidR="00B46DA9" w:rsidRPr="007C1D50" w:rsidRDefault="00B46DA9">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B46DA9" w:rsidRPr="007C1D50" w:rsidTr="00862851">
        <w:tc>
          <w:tcPr>
            <w:tcW w:w="4002"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p>
          <w:p w:rsidR="00B46DA9" w:rsidRPr="007C1D50" w:rsidRDefault="00B46DA9">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p>
          <w:p w:rsidR="00B46DA9" w:rsidRPr="007C1D50" w:rsidRDefault="00B46DA9">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B46DA9" w:rsidRPr="007C1D50" w:rsidRDefault="00B46DA9">
            <w:pPr>
              <w:jc w:val="center"/>
              <w:rPr>
                <w:rFonts w:ascii="Arial" w:hAnsi="Arial" w:cs="Arial"/>
                <w:b/>
                <w:sz w:val="20"/>
                <w:szCs w:val="20"/>
              </w:rPr>
            </w:pPr>
            <w:r w:rsidRPr="007C1D50">
              <w:rPr>
                <w:rFonts w:ascii="Arial" w:hAnsi="Arial" w:cs="Arial"/>
                <w:b/>
                <w:sz w:val="20"/>
                <w:szCs w:val="20"/>
              </w:rPr>
              <w:t># of Copies</w:t>
            </w:r>
          </w:p>
        </w:tc>
      </w:tr>
      <w:tr w:rsidR="007C1D50" w:rsidRPr="007C1D50" w:rsidTr="00862851">
        <w:tc>
          <w:tcPr>
            <w:tcW w:w="4002" w:type="dxa"/>
            <w:tcBorders>
              <w:top w:val="single" w:sz="4" w:space="0" w:color="auto"/>
              <w:left w:val="single" w:sz="6" w:space="0" w:color="auto"/>
              <w:bottom w:val="single" w:sz="6" w:space="0" w:color="auto"/>
              <w:right w:val="single" w:sz="6" w:space="0" w:color="auto"/>
            </w:tcBorders>
          </w:tcPr>
          <w:p w:rsidR="007C1D50" w:rsidRPr="00C0498C" w:rsidRDefault="00F93B22" w:rsidP="004C4A6B">
            <w:pPr>
              <w:jc w:val="center"/>
              <w:rPr>
                <w:rFonts w:ascii="Arial" w:hAnsi="Arial" w:cs="Arial"/>
                <w:sz w:val="20"/>
                <w:szCs w:val="20"/>
              </w:rPr>
            </w:pPr>
            <w:r>
              <w:rPr>
                <w:rFonts w:ascii="Arial" w:hAnsi="Arial" w:cs="Arial"/>
                <w:sz w:val="20"/>
                <w:szCs w:val="20"/>
              </w:rPr>
              <w:t>Lab</w:t>
            </w:r>
          </w:p>
        </w:tc>
        <w:tc>
          <w:tcPr>
            <w:tcW w:w="1260" w:type="dxa"/>
            <w:tcBorders>
              <w:top w:val="single" w:sz="4" w:space="0" w:color="auto"/>
              <w:left w:val="single" w:sz="6" w:space="0" w:color="auto"/>
              <w:bottom w:val="single" w:sz="6" w:space="0" w:color="auto"/>
              <w:right w:val="single" w:sz="6" w:space="0" w:color="auto"/>
            </w:tcBorders>
          </w:tcPr>
          <w:p w:rsidR="007C1D50" w:rsidRPr="007C1D50" w:rsidRDefault="00F93B22">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7C1D50" w:rsidRPr="007C1D50">
        <w:tc>
          <w:tcPr>
            <w:tcW w:w="4002" w:type="dxa"/>
            <w:tcBorders>
              <w:top w:val="single" w:sz="6" w:space="0" w:color="auto"/>
              <w:left w:val="single" w:sz="6" w:space="0" w:color="auto"/>
              <w:bottom w:val="single" w:sz="6" w:space="0" w:color="auto"/>
              <w:right w:val="single" w:sz="6" w:space="0" w:color="auto"/>
            </w:tcBorders>
          </w:tcPr>
          <w:p w:rsidR="007C1D50" w:rsidRPr="00C0498C" w:rsidRDefault="00F93B22" w:rsidP="004C4A6B">
            <w:pPr>
              <w:jc w:val="center"/>
              <w:rPr>
                <w:rFonts w:ascii="Arial" w:hAnsi="Arial" w:cs="Arial"/>
                <w:sz w:val="20"/>
                <w:szCs w:val="20"/>
              </w:rPr>
            </w:pPr>
            <w:r>
              <w:rPr>
                <w:rFonts w:ascii="Arial" w:hAnsi="Arial" w:cs="Arial"/>
                <w:sz w:val="20"/>
                <w:szCs w:val="20"/>
              </w:rPr>
              <w:t>Office</w:t>
            </w:r>
            <w:bookmarkStart w:id="0" w:name="_GoBack"/>
            <w:bookmarkEnd w:id="0"/>
          </w:p>
        </w:tc>
        <w:tc>
          <w:tcPr>
            <w:tcW w:w="1260" w:type="dxa"/>
            <w:tcBorders>
              <w:top w:val="single" w:sz="6" w:space="0" w:color="auto"/>
              <w:left w:val="single" w:sz="6" w:space="0" w:color="auto"/>
              <w:bottom w:val="single" w:sz="6" w:space="0" w:color="auto"/>
              <w:right w:val="single" w:sz="6" w:space="0" w:color="auto"/>
            </w:tcBorders>
          </w:tcPr>
          <w:p w:rsidR="007C1D50" w:rsidRPr="007C1D50" w:rsidRDefault="00F93B22">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7C1D50" w:rsidRPr="007C1D50">
        <w:tc>
          <w:tcPr>
            <w:tcW w:w="4002" w:type="dxa"/>
            <w:tcBorders>
              <w:top w:val="single" w:sz="6" w:space="0" w:color="auto"/>
              <w:left w:val="single" w:sz="6" w:space="0" w:color="auto"/>
              <w:bottom w:val="single" w:sz="6" w:space="0" w:color="auto"/>
              <w:right w:val="single" w:sz="6" w:space="0" w:color="auto"/>
            </w:tcBorders>
          </w:tcPr>
          <w:p w:rsidR="007C1D50" w:rsidRPr="00C0498C" w:rsidRDefault="007C1D50" w:rsidP="004C4A6B">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7C1D50" w:rsidRPr="007C1D50" w:rsidRDefault="007C1D50">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7C1D50" w:rsidRPr="007C1D50">
        <w:tc>
          <w:tcPr>
            <w:tcW w:w="4002" w:type="dxa"/>
            <w:tcBorders>
              <w:top w:val="single" w:sz="6" w:space="0" w:color="auto"/>
              <w:left w:val="single" w:sz="6" w:space="0" w:color="auto"/>
              <w:bottom w:val="single" w:sz="6" w:space="0" w:color="auto"/>
              <w:right w:val="single" w:sz="6" w:space="0" w:color="auto"/>
            </w:tcBorders>
          </w:tcPr>
          <w:p w:rsidR="007C1D50" w:rsidRPr="00C0498C" w:rsidRDefault="007C1D50" w:rsidP="004C4A6B">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7C1D50" w:rsidRPr="007C1D50" w:rsidRDefault="007C1D50">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7C1D50" w:rsidRPr="007C1D50" w:rsidRDefault="007C1D50">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7C1D50" w:rsidRPr="007C1D50" w:rsidRDefault="007C1D50">
            <w:pPr>
              <w:jc w:val="both"/>
              <w:rPr>
                <w:rFonts w:ascii="Arial" w:hAnsi="Arial" w:cs="Arial"/>
                <w:b/>
                <w:sz w:val="20"/>
                <w:szCs w:val="20"/>
              </w:rPr>
            </w:pPr>
          </w:p>
        </w:tc>
      </w:tr>
      <w:tr w:rsidR="00B46DA9" w:rsidRPr="007C1D50">
        <w:tc>
          <w:tcPr>
            <w:tcW w:w="4002" w:type="dxa"/>
            <w:tcBorders>
              <w:top w:val="single" w:sz="6" w:space="0" w:color="auto"/>
              <w:left w:val="single" w:sz="6" w:space="0" w:color="auto"/>
              <w:bottom w:val="single" w:sz="6" w:space="0" w:color="auto"/>
              <w:right w:val="single" w:sz="6" w:space="0" w:color="auto"/>
            </w:tcBorders>
          </w:tcPr>
          <w:p w:rsidR="00B46DA9" w:rsidRPr="007C1D50" w:rsidRDefault="00B46DA9">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B46DA9" w:rsidRPr="007C1D50" w:rsidRDefault="00B46DA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B46DA9" w:rsidRPr="007C1D50" w:rsidRDefault="00B46DA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B46DA9" w:rsidRPr="007C1D50" w:rsidRDefault="00B46DA9">
            <w:pPr>
              <w:jc w:val="both"/>
              <w:rPr>
                <w:rFonts w:ascii="Arial" w:hAnsi="Arial" w:cs="Arial"/>
                <w:b/>
                <w:sz w:val="20"/>
                <w:szCs w:val="20"/>
              </w:rPr>
            </w:pPr>
          </w:p>
        </w:tc>
      </w:tr>
    </w:tbl>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Pr="007C1D50" w:rsidRDefault="00B46DA9">
      <w:pPr>
        <w:pStyle w:val="Heading1"/>
        <w:rPr>
          <w:rFonts w:ascii="Arial" w:hAnsi="Arial" w:cs="Arial"/>
          <w:sz w:val="20"/>
          <w:szCs w:val="20"/>
        </w:rPr>
      </w:pPr>
    </w:p>
    <w:p w:rsidR="00B46DA9" w:rsidRDefault="00B46DA9">
      <w:pPr>
        <w:rPr>
          <w:rFonts w:ascii="Arial" w:hAnsi="Arial" w:cs="Arial"/>
          <w:sz w:val="20"/>
          <w:szCs w:val="20"/>
        </w:rPr>
      </w:pPr>
    </w:p>
    <w:p w:rsidR="006E3B07" w:rsidRDefault="006E3B07">
      <w:pPr>
        <w:rPr>
          <w:rFonts w:ascii="Arial" w:hAnsi="Arial" w:cs="Arial"/>
          <w:sz w:val="20"/>
          <w:szCs w:val="20"/>
        </w:rPr>
      </w:pPr>
    </w:p>
    <w:p w:rsidR="006E3B07" w:rsidRDefault="006E3B07">
      <w:pPr>
        <w:rPr>
          <w:rFonts w:ascii="Arial" w:hAnsi="Arial" w:cs="Arial"/>
          <w:sz w:val="20"/>
          <w:szCs w:val="20"/>
        </w:rPr>
      </w:pPr>
    </w:p>
    <w:p w:rsidR="00B46DA9" w:rsidRDefault="00526945">
      <w:pPr>
        <w:rPr>
          <w:rFonts w:ascii="Arial" w:hAnsi="Arial" w:cs="Arial"/>
          <w:b/>
          <w:sz w:val="20"/>
          <w:szCs w:val="20"/>
        </w:rPr>
      </w:pPr>
      <w:r>
        <w:rPr>
          <w:rFonts w:ascii="Arial" w:hAnsi="Arial" w:cs="Arial"/>
          <w:sz w:val="20"/>
          <w:szCs w:val="20"/>
        </w:rPr>
        <w:br w:type="page"/>
      </w:r>
      <w:r w:rsidR="00D234FD" w:rsidRPr="00D234FD">
        <w:rPr>
          <w:rFonts w:ascii="Arial" w:hAnsi="Arial" w:cs="Arial"/>
          <w:b/>
          <w:sz w:val="20"/>
          <w:szCs w:val="20"/>
        </w:rPr>
        <w:lastRenderedPageBreak/>
        <w:t>REVISION HISTORY</w:t>
      </w:r>
    </w:p>
    <w:p w:rsidR="00D234FD" w:rsidRDefault="00D234FD">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D234FD" w:rsidRPr="00520F5D" w:rsidTr="00641A12">
        <w:trPr>
          <w:trHeight w:val="263"/>
          <w:jc w:val="center"/>
        </w:trPr>
        <w:tc>
          <w:tcPr>
            <w:tcW w:w="1738" w:type="dxa"/>
            <w:tcBorders>
              <w:top w:val="single" w:sz="4" w:space="0" w:color="auto"/>
            </w:tcBorders>
            <w:shd w:val="clear" w:color="auto" w:fill="auto"/>
          </w:tcPr>
          <w:p w:rsidR="00D234FD" w:rsidRPr="00520F5D" w:rsidRDefault="00D234FD" w:rsidP="00641A12">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D234FD" w:rsidRPr="00520F5D" w:rsidRDefault="00D234FD" w:rsidP="00641A12">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D234FD" w:rsidRPr="00520F5D" w:rsidRDefault="00D234FD" w:rsidP="00641A12">
            <w:pPr>
              <w:pStyle w:val="Header"/>
              <w:jc w:val="center"/>
              <w:rPr>
                <w:rFonts w:ascii="Arial" w:hAnsi="Arial" w:cs="Arial"/>
                <w:b/>
                <w:sz w:val="20"/>
                <w:szCs w:val="20"/>
              </w:rPr>
            </w:pPr>
            <w:r w:rsidRPr="00520F5D">
              <w:rPr>
                <w:rFonts w:ascii="Arial" w:hAnsi="Arial" w:cs="Arial"/>
                <w:b/>
                <w:sz w:val="20"/>
                <w:szCs w:val="20"/>
              </w:rPr>
              <w:t>Reason for Revision</w:t>
            </w:r>
          </w:p>
        </w:tc>
      </w:tr>
      <w:tr w:rsidR="00D234FD" w:rsidRPr="00520F5D" w:rsidTr="00641A12">
        <w:trPr>
          <w:trHeight w:val="263"/>
          <w:jc w:val="center"/>
        </w:trPr>
        <w:tc>
          <w:tcPr>
            <w:tcW w:w="1738" w:type="dxa"/>
            <w:tcBorders>
              <w:top w:val="single" w:sz="4" w:space="0" w:color="auto"/>
            </w:tcBorders>
            <w:shd w:val="clear" w:color="auto" w:fill="auto"/>
          </w:tcPr>
          <w:p w:rsidR="00D234FD" w:rsidRPr="007A2997" w:rsidRDefault="00D234FD" w:rsidP="00D234FD">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D234FD" w:rsidRPr="007A2997" w:rsidRDefault="00D234FD" w:rsidP="00641A12">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D234FD" w:rsidRPr="007A2997" w:rsidRDefault="00D234FD" w:rsidP="00641A12">
            <w:pPr>
              <w:pStyle w:val="Header"/>
              <w:rPr>
                <w:rFonts w:ascii="Arial" w:hAnsi="Arial" w:cs="Arial"/>
                <w:b/>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r w:rsidR="00D234FD" w:rsidRPr="00520F5D" w:rsidTr="00641A12">
        <w:trPr>
          <w:trHeight w:val="263"/>
          <w:jc w:val="center"/>
        </w:trPr>
        <w:tc>
          <w:tcPr>
            <w:tcW w:w="1738" w:type="dxa"/>
            <w:shd w:val="clear" w:color="auto" w:fill="auto"/>
          </w:tcPr>
          <w:p w:rsidR="00D234FD" w:rsidRPr="00520F5D" w:rsidRDefault="00D234FD" w:rsidP="00641A12">
            <w:pPr>
              <w:pStyle w:val="Header"/>
              <w:rPr>
                <w:rFonts w:ascii="Arial" w:hAnsi="Arial" w:cs="Arial"/>
                <w:sz w:val="20"/>
                <w:szCs w:val="20"/>
              </w:rPr>
            </w:pPr>
          </w:p>
        </w:tc>
        <w:tc>
          <w:tcPr>
            <w:tcW w:w="1265" w:type="dxa"/>
            <w:shd w:val="clear" w:color="auto" w:fill="auto"/>
          </w:tcPr>
          <w:p w:rsidR="00D234FD" w:rsidRPr="00520F5D" w:rsidRDefault="00D234FD" w:rsidP="00641A12">
            <w:pPr>
              <w:pStyle w:val="Header"/>
              <w:rPr>
                <w:rFonts w:ascii="Arial" w:hAnsi="Arial" w:cs="Arial"/>
                <w:sz w:val="20"/>
                <w:szCs w:val="20"/>
              </w:rPr>
            </w:pPr>
          </w:p>
        </w:tc>
        <w:tc>
          <w:tcPr>
            <w:tcW w:w="4557" w:type="dxa"/>
            <w:tcBorders>
              <w:right w:val="single" w:sz="24" w:space="0" w:color="auto"/>
            </w:tcBorders>
            <w:shd w:val="clear" w:color="auto" w:fill="auto"/>
          </w:tcPr>
          <w:p w:rsidR="00D234FD" w:rsidRPr="00520F5D" w:rsidRDefault="00D234FD" w:rsidP="00641A12">
            <w:pPr>
              <w:pStyle w:val="Header"/>
              <w:rPr>
                <w:rFonts w:ascii="Arial" w:hAnsi="Arial" w:cs="Arial"/>
                <w:sz w:val="20"/>
                <w:szCs w:val="20"/>
              </w:rPr>
            </w:pPr>
          </w:p>
        </w:tc>
      </w:tr>
    </w:tbl>
    <w:p w:rsidR="00D234FD" w:rsidRDefault="00D234FD" w:rsidP="00D234FD">
      <w:pPr>
        <w:jc w:val="center"/>
        <w:rPr>
          <w:rFonts w:ascii="Arial" w:hAnsi="Arial" w:cs="Arial"/>
          <w:b/>
          <w:sz w:val="20"/>
          <w:szCs w:val="20"/>
        </w:rPr>
      </w:pPr>
    </w:p>
    <w:p w:rsidR="00D234FD" w:rsidRDefault="00D234FD" w:rsidP="00D234FD">
      <w:pPr>
        <w:jc w:val="center"/>
        <w:rPr>
          <w:rFonts w:ascii="Arial" w:hAnsi="Arial" w:cs="Arial"/>
          <w:b/>
          <w:sz w:val="20"/>
          <w:szCs w:val="20"/>
        </w:rPr>
      </w:pPr>
    </w:p>
    <w:p w:rsidR="000E6C38" w:rsidRPr="007C1D50" w:rsidRDefault="00D234FD" w:rsidP="000E6C38">
      <w:pPr>
        <w:rPr>
          <w:rFonts w:ascii="Arial" w:hAnsi="Arial" w:cs="Arial"/>
          <w:sz w:val="20"/>
          <w:szCs w:val="20"/>
        </w:rPr>
      </w:pPr>
      <w:r>
        <w:rPr>
          <w:rFonts w:ascii="Arial" w:hAnsi="Arial" w:cs="Arial"/>
          <w:b/>
          <w:sz w:val="20"/>
          <w:szCs w:val="20"/>
        </w:rPr>
        <w:br w:type="page"/>
      </w:r>
    </w:p>
    <w:p w:rsidR="00B46DA9" w:rsidRPr="007C1D50" w:rsidRDefault="00152035" w:rsidP="00C47BB6">
      <w:pPr>
        <w:pStyle w:val="Heading1"/>
        <w:rPr>
          <w:rFonts w:ascii="Arial" w:hAnsi="Arial" w:cs="Arial"/>
          <w:sz w:val="20"/>
          <w:szCs w:val="20"/>
        </w:rPr>
      </w:pPr>
      <w:r w:rsidRPr="007C1D50">
        <w:rPr>
          <w:rFonts w:ascii="Arial" w:hAnsi="Arial" w:cs="Arial"/>
          <w:sz w:val="20"/>
          <w:szCs w:val="20"/>
        </w:rPr>
        <w:lastRenderedPageBreak/>
        <w:t xml:space="preserve">TITLE: </w:t>
      </w:r>
    </w:p>
    <w:p w:rsidR="00C47BB6" w:rsidRPr="007C1D50" w:rsidRDefault="00C47BB6" w:rsidP="00C47BB6">
      <w:pPr>
        <w:rPr>
          <w:rFonts w:ascii="Arial" w:hAnsi="Arial" w:cs="Arial"/>
          <w:sz w:val="20"/>
          <w:szCs w:val="20"/>
        </w:rPr>
      </w:pPr>
    </w:p>
    <w:p w:rsidR="00ED7EC2" w:rsidRDefault="00B46DA9" w:rsidP="00C47BB6">
      <w:pPr>
        <w:pStyle w:val="First-OrderHeading"/>
        <w:numPr>
          <w:ilvl w:val="0"/>
          <w:numId w:val="12"/>
        </w:numPr>
        <w:tabs>
          <w:tab w:val="clear" w:pos="1080"/>
          <w:tab w:val="num" w:pos="0"/>
        </w:tabs>
        <w:ind w:left="0" w:firstLine="0"/>
        <w:rPr>
          <w:rFonts w:ascii="Arial" w:hAnsi="Arial" w:cs="Arial"/>
          <w:sz w:val="20"/>
        </w:rPr>
      </w:pPr>
      <w:r w:rsidRPr="007C1D50">
        <w:rPr>
          <w:rFonts w:ascii="Arial" w:hAnsi="Arial" w:cs="Arial"/>
          <w:sz w:val="20"/>
        </w:rPr>
        <w:t>P</w:t>
      </w:r>
      <w:r w:rsidR="00F107F5" w:rsidRPr="007C1D50">
        <w:rPr>
          <w:rFonts w:ascii="Arial" w:hAnsi="Arial" w:cs="Arial"/>
          <w:sz w:val="20"/>
        </w:rPr>
        <w:t>urpose</w:t>
      </w:r>
    </w:p>
    <w:p w:rsidR="00F70869" w:rsidRDefault="00F70869" w:rsidP="00F70869">
      <w:pPr>
        <w:pStyle w:val="Heading7"/>
        <w:ind w:left="720" w:firstLine="0"/>
      </w:pPr>
      <w:r>
        <w:t>High density lipoproteins (HDL) are responsible for the reverse transport of cholesterol from the peripheral cells to the liver.  In the liver, cholesterol is transformed to bile acids which are then excreted into the intestine via the biliary tract.</w:t>
      </w:r>
    </w:p>
    <w:p w:rsidR="00F70869" w:rsidRDefault="00F70869" w:rsidP="00F70869">
      <w:pPr>
        <w:ind w:left="720"/>
        <w:rPr>
          <w:rFonts w:ascii="Arial" w:hAnsi="Arial" w:cs="Arial"/>
          <w:sz w:val="20"/>
          <w:szCs w:val="20"/>
        </w:rPr>
      </w:pPr>
      <w:r w:rsidRPr="00F70869">
        <w:rPr>
          <w:rFonts w:ascii="Arial" w:hAnsi="Arial" w:cs="Arial"/>
          <w:sz w:val="20"/>
          <w:szCs w:val="20"/>
        </w:rPr>
        <w:t>Mo</w:t>
      </w:r>
      <w:r>
        <w:rPr>
          <w:rFonts w:ascii="Arial" w:hAnsi="Arial" w:cs="Arial"/>
          <w:sz w:val="20"/>
          <w:szCs w:val="20"/>
        </w:rPr>
        <w:t xml:space="preserve">nitoring of the HDL-cholesterol in serum or plasma is of clinical relevance as the HDL-cholesterol concentration is important in the assessment of the </w:t>
      </w:r>
      <w:r w:rsidR="00B06D2A">
        <w:rPr>
          <w:rFonts w:ascii="Arial" w:hAnsi="Arial" w:cs="Arial"/>
          <w:sz w:val="20"/>
          <w:szCs w:val="20"/>
        </w:rPr>
        <w:t>atherosclerotic</w:t>
      </w:r>
      <w:r>
        <w:rPr>
          <w:rFonts w:ascii="Arial" w:hAnsi="Arial" w:cs="Arial"/>
          <w:sz w:val="20"/>
          <w:szCs w:val="20"/>
        </w:rPr>
        <w:t xml:space="preserve"> risk.  Elevated HDL-cholesterol concentrations protect </w:t>
      </w:r>
      <w:r w:rsidR="00B06D2A">
        <w:rPr>
          <w:rFonts w:ascii="Arial" w:hAnsi="Arial" w:cs="Arial"/>
          <w:sz w:val="20"/>
          <w:szCs w:val="20"/>
        </w:rPr>
        <w:t>against</w:t>
      </w:r>
      <w:r>
        <w:rPr>
          <w:rFonts w:ascii="Arial" w:hAnsi="Arial" w:cs="Arial"/>
          <w:sz w:val="20"/>
          <w:szCs w:val="20"/>
        </w:rPr>
        <w:t xml:space="preserve"> coronary heart disease (CHD), whereas reduced HDL-cholesterol concentrations, particularly in conjunction with elevated triglycerides, increase cardiovascular risk.</w:t>
      </w:r>
    </w:p>
    <w:p w:rsidR="00F70869" w:rsidRPr="00F70869" w:rsidRDefault="00DC795D" w:rsidP="00F70869">
      <w:pPr>
        <w:ind w:left="720"/>
        <w:rPr>
          <w:rFonts w:ascii="Arial" w:hAnsi="Arial" w:cs="Arial"/>
          <w:sz w:val="20"/>
          <w:szCs w:val="20"/>
        </w:rPr>
      </w:pPr>
      <w:r>
        <w:rPr>
          <w:rFonts w:ascii="Arial" w:hAnsi="Arial" w:cs="Arial"/>
          <w:sz w:val="20"/>
          <w:szCs w:val="20"/>
        </w:rPr>
        <w:t xml:space="preserve">A variety of methods are available to determine HDL-cholesterol, including ultracentrifugation (reference method in </w:t>
      </w:r>
      <w:r w:rsidR="00B06D2A">
        <w:rPr>
          <w:rFonts w:ascii="Arial" w:hAnsi="Arial" w:cs="Arial"/>
          <w:sz w:val="20"/>
          <w:szCs w:val="20"/>
        </w:rPr>
        <w:t>combination</w:t>
      </w:r>
      <w:r>
        <w:rPr>
          <w:rFonts w:ascii="Arial" w:hAnsi="Arial" w:cs="Arial"/>
          <w:sz w:val="20"/>
          <w:szCs w:val="20"/>
        </w:rPr>
        <w:t xml:space="preserve"> with cholesterol measurement by the Abell-Kendall method), electrophoresis, HPLC, precipitation and direct methods.  Of these, the direct methods are used routinely.  Roche HDLC4 </w:t>
      </w:r>
      <w:r w:rsidR="00B06D2A">
        <w:rPr>
          <w:rFonts w:ascii="Arial" w:hAnsi="Arial" w:cs="Arial"/>
          <w:sz w:val="20"/>
          <w:szCs w:val="20"/>
        </w:rPr>
        <w:t>cholesterol</w:t>
      </w:r>
      <w:r>
        <w:rPr>
          <w:rFonts w:ascii="Arial" w:hAnsi="Arial" w:cs="Arial"/>
          <w:sz w:val="20"/>
          <w:szCs w:val="20"/>
        </w:rPr>
        <w:t xml:space="preserve"> oxidase (CHOD) and peroxidase to form a colored pigment that is measured optically.  The HDLC4 assay meets the 1998 National </w:t>
      </w:r>
      <w:r w:rsidR="00B06D2A">
        <w:rPr>
          <w:rFonts w:ascii="Arial" w:hAnsi="Arial" w:cs="Arial"/>
          <w:sz w:val="20"/>
          <w:szCs w:val="20"/>
        </w:rPr>
        <w:t>Institutes</w:t>
      </w:r>
      <w:r>
        <w:rPr>
          <w:rFonts w:ascii="Arial" w:hAnsi="Arial" w:cs="Arial"/>
          <w:sz w:val="20"/>
          <w:szCs w:val="20"/>
        </w:rPr>
        <w:t xml:space="preserve"> of Health (NIH)/National Cholesterol Education Program (NCEP) goals for precision and accuracy.  </w:t>
      </w:r>
    </w:p>
    <w:p w:rsidR="00367A4D" w:rsidRPr="00367A4D" w:rsidRDefault="00367A4D" w:rsidP="00ED7EC2">
      <w:pPr>
        <w:pStyle w:val="First-OrderHeading"/>
        <w:numPr>
          <w:ilvl w:val="0"/>
          <w:numId w:val="12"/>
        </w:numPr>
        <w:tabs>
          <w:tab w:val="left" w:pos="720"/>
        </w:tabs>
        <w:ind w:hanging="1080"/>
        <w:rPr>
          <w:rFonts w:ascii="Arial" w:hAnsi="Arial" w:cs="Arial"/>
          <w:sz w:val="20"/>
        </w:rPr>
      </w:pPr>
      <w:r>
        <w:rPr>
          <w:rFonts w:ascii="Arial" w:hAnsi="Arial" w:cs="Arial"/>
          <w:sz w:val="20"/>
        </w:rPr>
        <w:t>TeST PRINCIPLE</w:t>
      </w:r>
    </w:p>
    <w:p w:rsidR="00367A4D" w:rsidRDefault="00367A4D" w:rsidP="00367A4D">
      <w:pPr>
        <w:pStyle w:val="First-OrderHeading"/>
        <w:numPr>
          <w:ilvl w:val="0"/>
          <w:numId w:val="0"/>
        </w:numPr>
        <w:tabs>
          <w:tab w:val="left" w:pos="720"/>
        </w:tabs>
        <w:rPr>
          <w:rFonts w:ascii="Arial" w:hAnsi="Arial" w:cs="Arial"/>
          <w:b w:val="0"/>
          <w:caps w:val="0"/>
          <w:sz w:val="20"/>
        </w:rPr>
      </w:pPr>
      <w:r>
        <w:rPr>
          <w:rFonts w:ascii="Arial" w:hAnsi="Arial" w:cs="Arial"/>
          <w:b w:val="0"/>
          <w:sz w:val="20"/>
        </w:rPr>
        <w:tab/>
      </w:r>
      <w:r>
        <w:rPr>
          <w:rFonts w:ascii="Arial" w:hAnsi="Arial" w:cs="Arial"/>
          <w:b w:val="0"/>
          <w:caps w:val="0"/>
          <w:sz w:val="20"/>
        </w:rPr>
        <w:t>Homogeneous enzymatic colorimetric test.</w:t>
      </w:r>
    </w:p>
    <w:p w:rsidR="00367A4D" w:rsidRDefault="00367A4D" w:rsidP="00367A4D">
      <w:pPr>
        <w:pStyle w:val="First-OrderHeading"/>
        <w:numPr>
          <w:ilvl w:val="0"/>
          <w:numId w:val="0"/>
        </w:numPr>
        <w:tabs>
          <w:tab w:val="left" w:pos="720"/>
        </w:tabs>
        <w:spacing w:before="0" w:after="0"/>
        <w:ind w:left="720"/>
        <w:rPr>
          <w:rFonts w:ascii="Arial" w:hAnsi="Arial" w:cs="Arial"/>
          <w:b w:val="0"/>
          <w:caps w:val="0"/>
          <w:sz w:val="20"/>
        </w:rPr>
      </w:pPr>
      <w:r>
        <w:rPr>
          <w:rFonts w:ascii="Arial" w:hAnsi="Arial" w:cs="Arial"/>
          <w:b w:val="0"/>
          <w:caps w:val="0"/>
          <w:sz w:val="20"/>
        </w:rPr>
        <w:t>Non-HDL lipoproteins such as LDL, VLDL, and chylomicrons are combined with polyanions and a detergent forming a water-soluble complex.  In this complex the enzymatic reaction of CHER and CHOD towards non-HDL lipoproteins is blocked</w:t>
      </w:r>
    </w:p>
    <w:p w:rsidR="00367A4D" w:rsidRDefault="00367A4D" w:rsidP="00367A4D">
      <w:pPr>
        <w:pStyle w:val="First-OrderHeading"/>
        <w:numPr>
          <w:ilvl w:val="0"/>
          <w:numId w:val="0"/>
        </w:numPr>
        <w:tabs>
          <w:tab w:val="left" w:pos="720"/>
        </w:tabs>
        <w:spacing w:before="0" w:after="0"/>
        <w:ind w:left="720"/>
        <w:rPr>
          <w:rFonts w:ascii="Arial" w:hAnsi="Arial" w:cs="Arial"/>
          <w:b w:val="0"/>
          <w:caps w:val="0"/>
          <w:sz w:val="20"/>
        </w:rPr>
      </w:pPr>
      <w:r>
        <w:rPr>
          <w:rFonts w:ascii="Arial" w:hAnsi="Arial" w:cs="Arial"/>
          <w:b w:val="0"/>
          <w:caps w:val="0"/>
          <w:sz w:val="20"/>
        </w:rPr>
        <w:t xml:space="preserve">Finally only HDL-particles can react with CHER and CHOD.  The </w:t>
      </w:r>
      <w:r w:rsidR="00B06D2A">
        <w:rPr>
          <w:rFonts w:ascii="Arial" w:hAnsi="Arial" w:cs="Arial"/>
          <w:b w:val="0"/>
          <w:caps w:val="0"/>
          <w:sz w:val="20"/>
        </w:rPr>
        <w:t>concentration of HDL-cholesterol is</w:t>
      </w:r>
      <w:r>
        <w:rPr>
          <w:rFonts w:ascii="Arial" w:hAnsi="Arial" w:cs="Arial"/>
          <w:b w:val="0"/>
          <w:caps w:val="0"/>
          <w:sz w:val="20"/>
        </w:rPr>
        <w:t xml:space="preserve"> determined enzymatically by CHER and CHOD.</w:t>
      </w:r>
    </w:p>
    <w:p w:rsidR="00367A4D" w:rsidRDefault="00B06D2A" w:rsidP="00367A4D">
      <w:pPr>
        <w:pStyle w:val="First-OrderHeading"/>
        <w:numPr>
          <w:ilvl w:val="0"/>
          <w:numId w:val="0"/>
        </w:numPr>
        <w:tabs>
          <w:tab w:val="left" w:pos="720"/>
        </w:tabs>
        <w:spacing w:before="0" w:after="0"/>
        <w:ind w:left="720"/>
        <w:rPr>
          <w:rFonts w:ascii="Arial" w:hAnsi="Arial" w:cs="Arial"/>
          <w:b w:val="0"/>
          <w:caps w:val="0"/>
          <w:sz w:val="20"/>
        </w:rPr>
      </w:pPr>
      <w:r>
        <w:rPr>
          <w:rFonts w:ascii="Arial" w:hAnsi="Arial" w:cs="Arial"/>
          <w:b w:val="0"/>
          <w:caps w:val="0"/>
          <w:sz w:val="20"/>
        </w:rPr>
        <w:t>Cholesterol</w:t>
      </w:r>
      <w:r w:rsidR="00367A4D">
        <w:rPr>
          <w:rFonts w:ascii="Arial" w:hAnsi="Arial" w:cs="Arial"/>
          <w:b w:val="0"/>
          <w:caps w:val="0"/>
          <w:sz w:val="20"/>
        </w:rPr>
        <w:t xml:space="preserve"> esters are broken down quantitatively into free cholesterol and fatty acids by CHER.  </w:t>
      </w:r>
    </w:p>
    <w:p w:rsidR="00367A4D" w:rsidRDefault="00367A4D" w:rsidP="00367A4D">
      <w:pPr>
        <w:pStyle w:val="First-OrderHeading"/>
        <w:numPr>
          <w:ilvl w:val="0"/>
          <w:numId w:val="0"/>
        </w:numPr>
        <w:tabs>
          <w:tab w:val="left" w:pos="720"/>
        </w:tabs>
        <w:spacing w:before="0" w:after="0"/>
        <w:ind w:left="720"/>
        <w:jc w:val="center"/>
        <w:rPr>
          <w:rFonts w:ascii="Arial" w:hAnsi="Arial" w:cs="Arial"/>
          <w:b w:val="0"/>
          <w:caps w:val="0"/>
          <w:sz w:val="20"/>
        </w:rPr>
      </w:pPr>
      <w:r>
        <w:rPr>
          <w:rFonts w:ascii="Arial" w:hAnsi="Arial" w:cs="Arial"/>
          <w:b w:val="0"/>
          <w:caps w:val="0"/>
          <w:sz w:val="20"/>
        </w:rPr>
        <w:t>CHER</w:t>
      </w:r>
    </w:p>
    <w:p w:rsidR="00367A4D" w:rsidRDefault="00367A4D" w:rsidP="00367A4D">
      <w:pPr>
        <w:pStyle w:val="First-OrderHeading"/>
        <w:numPr>
          <w:ilvl w:val="0"/>
          <w:numId w:val="0"/>
        </w:numPr>
        <w:tabs>
          <w:tab w:val="left" w:pos="720"/>
          <w:tab w:val="center" w:pos="4752"/>
          <w:tab w:val="left" w:pos="7725"/>
        </w:tabs>
        <w:spacing w:before="0" w:after="0"/>
        <w:ind w:left="720"/>
        <w:rPr>
          <w:rFonts w:ascii="Arial" w:hAnsi="Arial" w:cs="Arial"/>
          <w:b w:val="0"/>
          <w:caps w:val="0"/>
          <w:sz w:val="20"/>
        </w:rPr>
      </w:pPr>
      <w:r>
        <w:rPr>
          <w:rFonts w:ascii="Arial" w:hAnsi="Arial" w:cs="Arial"/>
          <w:b w:val="0"/>
          <w:caps w:val="0"/>
          <w:noProof/>
          <w:sz w:val="20"/>
        </w:rPr>
        <mc:AlternateContent>
          <mc:Choice Requires="wps">
            <w:drawing>
              <wp:anchor distT="0" distB="0" distL="114300" distR="114300" simplePos="0" relativeHeight="251659264" behindDoc="0" locked="0" layoutInCell="1" allowOverlap="1" wp14:anchorId="61C029DF" wp14:editId="24133624">
                <wp:simplePos x="0" y="0"/>
                <wp:positionH relativeFrom="column">
                  <wp:posOffset>2769870</wp:posOffset>
                </wp:positionH>
                <wp:positionV relativeFrom="paragraph">
                  <wp:posOffset>64135</wp:posOffset>
                </wp:positionV>
                <wp:extent cx="5715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8.1pt;margin-top:5.05pt;width: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" strokecolor="black [3040]">
                <v:stroke endarrow="open"/>
              </v:shape>
            </w:pict>
          </mc:Fallback>
        </mc:AlternateContent>
      </w:r>
      <w:r>
        <w:rPr>
          <w:rFonts w:ascii="Arial" w:hAnsi="Arial" w:cs="Arial"/>
          <w:b w:val="0"/>
          <w:caps w:val="0"/>
          <w:noProof/>
          <w:sz w:val="20"/>
        </w:rPr>
        <w:t xml:space="preserve">  </w:t>
      </w:r>
      <w:r>
        <w:rPr>
          <w:rFonts w:ascii="Arial" w:hAnsi="Arial" w:cs="Arial"/>
          <w:b w:val="0"/>
          <w:caps w:val="0"/>
          <w:sz w:val="20"/>
        </w:rPr>
        <w:tab/>
        <w:t>HDL-cholesterol esters +H</w:t>
      </w:r>
      <w:r>
        <w:rPr>
          <w:rFonts w:ascii="Arial" w:hAnsi="Arial" w:cs="Arial"/>
          <w:b w:val="0"/>
          <w:caps w:val="0"/>
          <w:sz w:val="20"/>
          <w:vertAlign w:val="subscript"/>
        </w:rPr>
        <w:t>2</w:t>
      </w:r>
      <w:r>
        <w:rPr>
          <w:rFonts w:ascii="Arial" w:hAnsi="Arial" w:cs="Arial"/>
          <w:b w:val="0"/>
          <w:caps w:val="0"/>
          <w:sz w:val="20"/>
        </w:rPr>
        <w:t>0                  HDL-cholesterol + RCOOH</w:t>
      </w:r>
    </w:p>
    <w:p w:rsidR="00367A4D" w:rsidRDefault="00367A4D" w:rsidP="00367A4D">
      <w:pPr>
        <w:pStyle w:val="First-OrderHeading"/>
        <w:numPr>
          <w:ilvl w:val="0"/>
          <w:numId w:val="0"/>
        </w:numPr>
        <w:tabs>
          <w:tab w:val="left" w:pos="720"/>
          <w:tab w:val="center" w:pos="4752"/>
          <w:tab w:val="left" w:pos="7725"/>
        </w:tabs>
        <w:spacing w:before="0" w:after="0"/>
        <w:ind w:left="720"/>
        <w:rPr>
          <w:rFonts w:ascii="Arial" w:hAnsi="Arial" w:cs="Arial"/>
          <w:b w:val="0"/>
          <w:caps w:val="0"/>
          <w:sz w:val="20"/>
        </w:rPr>
      </w:pPr>
      <w:r>
        <w:rPr>
          <w:rFonts w:ascii="Arial" w:hAnsi="Arial" w:cs="Arial"/>
          <w:b w:val="0"/>
          <w:caps w:val="0"/>
          <w:sz w:val="20"/>
        </w:rPr>
        <w:t xml:space="preserve">In the presence of oxygen, cholesterol is oxidized by cholesterol oxidase to </w:t>
      </w:r>
      <w:r>
        <w:rPr>
          <w:rFonts w:ascii="Calibri" w:hAnsi="Calibri" w:cs="Arial"/>
          <w:b w:val="0"/>
          <w:caps w:val="0"/>
          <w:sz w:val="20"/>
        </w:rPr>
        <w:t>Δ</w:t>
      </w:r>
      <w:r w:rsidR="008E6341">
        <w:rPr>
          <w:rFonts w:ascii="Arial" w:hAnsi="Arial" w:cs="Arial"/>
          <w:b w:val="0"/>
          <w:caps w:val="0"/>
          <w:sz w:val="20"/>
        </w:rPr>
        <w:t>-cholestenone and hydrogen peroxide.</w:t>
      </w:r>
    </w:p>
    <w:p w:rsidR="008E6341" w:rsidRDefault="008E6341"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rPr>
      </w:pPr>
      <w:r>
        <w:rPr>
          <w:rFonts w:ascii="Arial" w:hAnsi="Arial" w:cs="Arial"/>
          <w:b w:val="0"/>
          <w:caps w:val="0"/>
          <w:sz w:val="20"/>
        </w:rPr>
        <w:t>CHOO</w:t>
      </w:r>
    </w:p>
    <w:p w:rsidR="008E6341" w:rsidRDefault="008E6341"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vertAlign w:val="subscript"/>
        </w:rPr>
      </w:pPr>
      <w:r>
        <w:rPr>
          <w:rFonts w:ascii="Arial" w:hAnsi="Arial" w:cs="Arial"/>
          <w:b w:val="0"/>
          <w:caps w:val="0"/>
          <w:noProof/>
          <w:sz w:val="20"/>
        </w:rPr>
        <mc:AlternateContent>
          <mc:Choice Requires="wps">
            <w:drawing>
              <wp:anchor distT="0" distB="0" distL="114300" distR="114300" simplePos="0" relativeHeight="251661312" behindDoc="0" locked="0" layoutInCell="1" allowOverlap="1" wp14:anchorId="18C65044" wp14:editId="0B020411">
                <wp:simplePos x="0" y="0"/>
                <wp:positionH relativeFrom="column">
                  <wp:posOffset>2684145</wp:posOffset>
                </wp:positionH>
                <wp:positionV relativeFrom="paragraph">
                  <wp:posOffset>108585</wp:posOffset>
                </wp:positionV>
                <wp:extent cx="5715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11.35pt;margin-top:8.55pt;width: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" strokecolor="black [3040]">
                <v:stroke endarrow="open"/>
              </v:shape>
            </w:pict>
          </mc:Fallback>
        </mc:AlternateContent>
      </w:r>
      <w:r>
        <w:rPr>
          <w:rFonts w:ascii="Arial" w:hAnsi="Arial" w:cs="Arial"/>
          <w:b w:val="0"/>
          <w:caps w:val="0"/>
          <w:sz w:val="20"/>
        </w:rPr>
        <w:t>HDL-cholesterol + O</w:t>
      </w:r>
      <w:r>
        <w:rPr>
          <w:rFonts w:ascii="Arial" w:hAnsi="Arial" w:cs="Arial"/>
          <w:b w:val="0"/>
          <w:caps w:val="0"/>
          <w:sz w:val="20"/>
          <w:vertAlign w:val="subscript"/>
        </w:rPr>
        <w:t>2</w:t>
      </w:r>
      <w:r>
        <w:rPr>
          <w:rFonts w:ascii="Arial" w:hAnsi="Arial" w:cs="Arial"/>
          <w:b w:val="0"/>
          <w:caps w:val="0"/>
          <w:sz w:val="20"/>
        </w:rPr>
        <w:t xml:space="preserve">                   </w:t>
      </w:r>
      <w:r>
        <w:rPr>
          <w:rFonts w:ascii="Calibri" w:hAnsi="Calibri" w:cs="Arial"/>
          <w:b w:val="0"/>
          <w:caps w:val="0"/>
          <w:sz w:val="20"/>
        </w:rPr>
        <w:t>Δ</w:t>
      </w:r>
      <w:r>
        <w:rPr>
          <w:rFonts w:ascii="Arial" w:hAnsi="Arial" w:cs="Arial"/>
          <w:b w:val="0"/>
          <w:caps w:val="0"/>
          <w:sz w:val="20"/>
        </w:rPr>
        <w:t>-cholestenone + H</w:t>
      </w:r>
      <w:r>
        <w:rPr>
          <w:rFonts w:ascii="Arial" w:hAnsi="Arial" w:cs="Arial"/>
          <w:b w:val="0"/>
          <w:caps w:val="0"/>
          <w:sz w:val="20"/>
          <w:vertAlign w:val="subscript"/>
        </w:rPr>
        <w:t>2</w:t>
      </w:r>
      <w:r>
        <w:rPr>
          <w:rFonts w:ascii="Arial" w:hAnsi="Arial" w:cs="Arial"/>
          <w:b w:val="0"/>
          <w:caps w:val="0"/>
          <w:sz w:val="20"/>
        </w:rPr>
        <w:t>O</w:t>
      </w:r>
      <w:r>
        <w:rPr>
          <w:rFonts w:ascii="Arial" w:hAnsi="Arial" w:cs="Arial"/>
          <w:b w:val="0"/>
          <w:caps w:val="0"/>
          <w:sz w:val="20"/>
          <w:vertAlign w:val="subscript"/>
        </w:rPr>
        <w:t>2</w:t>
      </w:r>
    </w:p>
    <w:p w:rsidR="008E6341" w:rsidRDefault="008E6341" w:rsidP="008E6341">
      <w:pPr>
        <w:pStyle w:val="First-OrderHeading"/>
        <w:numPr>
          <w:ilvl w:val="0"/>
          <w:numId w:val="0"/>
        </w:numPr>
        <w:tabs>
          <w:tab w:val="left" w:pos="720"/>
          <w:tab w:val="center" w:pos="4752"/>
          <w:tab w:val="left" w:pos="7725"/>
        </w:tabs>
        <w:spacing w:before="0" w:after="0"/>
        <w:ind w:left="720"/>
        <w:jc w:val="both"/>
        <w:rPr>
          <w:rFonts w:ascii="Arial" w:hAnsi="Arial" w:cs="Arial"/>
          <w:b w:val="0"/>
          <w:caps w:val="0"/>
          <w:sz w:val="20"/>
        </w:rPr>
      </w:pPr>
      <w:r>
        <w:rPr>
          <w:rFonts w:ascii="Arial" w:hAnsi="Arial" w:cs="Arial"/>
          <w:b w:val="0"/>
          <w:caps w:val="0"/>
          <w:sz w:val="20"/>
        </w:rPr>
        <w:t xml:space="preserve">In the presence of peroxidase, the hydrogen peroxide generated reacts with 4-amino-antipyrine and EMSE to form a dye.  The color intensity of this dye is directly proportional to the cholesterol concentration and is measured </w:t>
      </w:r>
      <w:r w:rsidR="00B06D2A">
        <w:rPr>
          <w:rFonts w:ascii="Arial" w:hAnsi="Arial" w:cs="Arial"/>
          <w:b w:val="0"/>
          <w:caps w:val="0"/>
          <w:sz w:val="20"/>
        </w:rPr>
        <w:t>photometrically</w:t>
      </w:r>
      <w:r>
        <w:rPr>
          <w:rFonts w:ascii="Arial" w:hAnsi="Arial" w:cs="Arial"/>
          <w:b w:val="0"/>
          <w:caps w:val="0"/>
          <w:sz w:val="20"/>
        </w:rPr>
        <w:t>.</w:t>
      </w:r>
    </w:p>
    <w:p w:rsidR="008E6341" w:rsidRDefault="008E6341" w:rsidP="008E6341">
      <w:pPr>
        <w:pStyle w:val="First-OrderHeading"/>
        <w:numPr>
          <w:ilvl w:val="0"/>
          <w:numId w:val="0"/>
        </w:numPr>
        <w:tabs>
          <w:tab w:val="left" w:pos="720"/>
          <w:tab w:val="center" w:pos="4752"/>
          <w:tab w:val="left" w:pos="7725"/>
        </w:tabs>
        <w:spacing w:before="0" w:after="0"/>
        <w:ind w:left="720"/>
        <w:jc w:val="both"/>
        <w:rPr>
          <w:rFonts w:ascii="Arial" w:hAnsi="Arial" w:cs="Arial"/>
          <w:b w:val="0"/>
          <w:caps w:val="0"/>
          <w:sz w:val="20"/>
        </w:rPr>
      </w:pPr>
    </w:p>
    <w:p w:rsidR="008E6341" w:rsidRDefault="008E6341"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rPr>
      </w:pPr>
      <w:r>
        <w:rPr>
          <w:rFonts w:ascii="Arial" w:hAnsi="Arial" w:cs="Arial"/>
          <w:b w:val="0"/>
          <w:caps w:val="0"/>
          <w:sz w:val="20"/>
        </w:rPr>
        <w:t>Peroxidase</w:t>
      </w:r>
    </w:p>
    <w:p w:rsidR="008E6341" w:rsidRPr="008E6341" w:rsidRDefault="008E6341" w:rsidP="008E6341">
      <w:pPr>
        <w:pStyle w:val="First-OrderHeading"/>
        <w:numPr>
          <w:ilvl w:val="0"/>
          <w:numId w:val="0"/>
        </w:numPr>
        <w:tabs>
          <w:tab w:val="left" w:pos="720"/>
          <w:tab w:val="center" w:pos="4752"/>
          <w:tab w:val="left" w:pos="7725"/>
        </w:tabs>
        <w:spacing w:before="0" w:after="0"/>
        <w:ind w:left="720"/>
        <w:jc w:val="center"/>
        <w:rPr>
          <w:rFonts w:ascii="Arial" w:hAnsi="Arial" w:cs="Arial"/>
          <w:b w:val="0"/>
          <w:caps w:val="0"/>
          <w:sz w:val="20"/>
        </w:rPr>
      </w:pPr>
      <w:r>
        <w:rPr>
          <w:rFonts w:ascii="Arial" w:hAnsi="Arial" w:cs="Arial"/>
          <w:b w:val="0"/>
          <w:caps w:val="0"/>
          <w:noProof/>
          <w:sz w:val="20"/>
        </w:rPr>
        <mc:AlternateContent>
          <mc:Choice Requires="wps">
            <w:drawing>
              <wp:anchor distT="0" distB="0" distL="114300" distR="114300" simplePos="0" relativeHeight="251663360" behindDoc="0" locked="0" layoutInCell="1" allowOverlap="1" wp14:anchorId="787DFC77" wp14:editId="144B4916">
                <wp:simplePos x="0" y="0"/>
                <wp:positionH relativeFrom="column">
                  <wp:posOffset>3417570</wp:posOffset>
                </wp:positionH>
                <wp:positionV relativeFrom="paragraph">
                  <wp:posOffset>71120</wp:posOffset>
                </wp:positionV>
                <wp:extent cx="5715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69.1pt;margin-top:5.6pt;width: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" strokecolor="black [3040]">
                <v:stroke endarrow="open"/>
              </v:shape>
            </w:pict>
          </mc:Fallback>
        </mc:AlternateContent>
      </w:r>
      <w:r>
        <w:rPr>
          <w:rFonts w:ascii="Arial" w:hAnsi="Arial" w:cs="Arial"/>
          <w:b w:val="0"/>
          <w:caps w:val="0"/>
          <w:sz w:val="20"/>
        </w:rPr>
        <w:t>2 H</w:t>
      </w:r>
      <w:r>
        <w:rPr>
          <w:rFonts w:ascii="Arial" w:hAnsi="Arial" w:cs="Arial"/>
          <w:b w:val="0"/>
          <w:caps w:val="0"/>
          <w:sz w:val="20"/>
          <w:vertAlign w:val="subscript"/>
        </w:rPr>
        <w:t>2</w:t>
      </w:r>
      <w:r>
        <w:rPr>
          <w:rFonts w:ascii="Arial" w:hAnsi="Arial" w:cs="Arial"/>
          <w:b w:val="0"/>
          <w:caps w:val="0"/>
          <w:sz w:val="20"/>
        </w:rPr>
        <w:t>O</w:t>
      </w:r>
      <w:r>
        <w:rPr>
          <w:rFonts w:ascii="Arial" w:hAnsi="Arial" w:cs="Arial"/>
          <w:b w:val="0"/>
          <w:caps w:val="0"/>
          <w:sz w:val="20"/>
          <w:vertAlign w:val="subscript"/>
        </w:rPr>
        <w:t>2</w:t>
      </w:r>
      <w:r>
        <w:rPr>
          <w:rFonts w:ascii="Arial" w:hAnsi="Arial" w:cs="Arial"/>
          <w:b w:val="0"/>
          <w:caps w:val="0"/>
          <w:sz w:val="20"/>
        </w:rPr>
        <w:t xml:space="preserve"> + 4-amino-antipyrine + EMSE + H + H</w:t>
      </w:r>
      <w:r>
        <w:rPr>
          <w:rFonts w:ascii="Arial" w:hAnsi="Arial" w:cs="Arial"/>
          <w:b w:val="0"/>
          <w:caps w:val="0"/>
          <w:sz w:val="20"/>
          <w:vertAlign w:val="subscript"/>
        </w:rPr>
        <w:t>2</w:t>
      </w:r>
      <w:r>
        <w:rPr>
          <w:rFonts w:ascii="Arial" w:hAnsi="Arial" w:cs="Arial"/>
          <w:b w:val="0"/>
          <w:caps w:val="0"/>
          <w:sz w:val="20"/>
        </w:rPr>
        <w:t xml:space="preserve">)               </w:t>
      </w:r>
      <w:r w:rsidR="00B500C7">
        <w:rPr>
          <w:rFonts w:ascii="Arial" w:hAnsi="Arial" w:cs="Arial"/>
          <w:b w:val="0"/>
          <w:caps w:val="0"/>
          <w:sz w:val="20"/>
        </w:rPr>
        <w:t xml:space="preserve"> </w:t>
      </w:r>
      <w:r>
        <w:rPr>
          <w:rFonts w:ascii="Arial" w:hAnsi="Arial" w:cs="Arial"/>
          <w:b w:val="0"/>
          <w:caps w:val="0"/>
          <w:sz w:val="20"/>
        </w:rPr>
        <w:t>color pigment + 5 H</w:t>
      </w:r>
      <w:r>
        <w:rPr>
          <w:rFonts w:ascii="Arial" w:hAnsi="Arial" w:cs="Arial"/>
          <w:b w:val="0"/>
          <w:caps w:val="0"/>
          <w:sz w:val="20"/>
          <w:vertAlign w:val="subscript"/>
        </w:rPr>
        <w:t>2</w:t>
      </w:r>
      <w:r>
        <w:rPr>
          <w:rFonts w:ascii="Arial" w:hAnsi="Arial" w:cs="Arial"/>
          <w:b w:val="0"/>
          <w:caps w:val="0"/>
          <w:sz w:val="20"/>
        </w:rPr>
        <w:t>O</w:t>
      </w:r>
    </w:p>
    <w:p w:rsidR="005853F5" w:rsidRDefault="00C47BB6" w:rsidP="00ED7EC2">
      <w:pPr>
        <w:pStyle w:val="First-OrderHeading"/>
        <w:numPr>
          <w:ilvl w:val="0"/>
          <w:numId w:val="12"/>
        </w:numPr>
        <w:tabs>
          <w:tab w:val="left" w:pos="720"/>
        </w:tabs>
        <w:ind w:hanging="1080"/>
        <w:rPr>
          <w:rFonts w:ascii="Arial" w:hAnsi="Arial" w:cs="Arial"/>
          <w:sz w:val="20"/>
        </w:rPr>
      </w:pPr>
      <w:r w:rsidRPr="007C1D50">
        <w:rPr>
          <w:rFonts w:ascii="Arial" w:hAnsi="Arial" w:cs="Arial"/>
          <w:sz w:val="20"/>
        </w:rPr>
        <w:t>SCOPE</w:t>
      </w:r>
      <w:r w:rsidR="00AC7451" w:rsidRPr="007C1D50">
        <w:rPr>
          <w:rFonts w:ascii="Arial" w:hAnsi="Arial" w:cs="Arial"/>
          <w:sz w:val="20"/>
        </w:rPr>
        <w:t xml:space="preserve"> </w:t>
      </w:r>
    </w:p>
    <w:p w:rsidR="00ED7EC2" w:rsidRPr="007C1D50" w:rsidRDefault="00B500C7" w:rsidP="00ED7EC2">
      <w:pPr>
        <w:pStyle w:val="Heading7"/>
        <w:ind w:left="720" w:firstLine="0"/>
      </w:pPr>
      <w:r>
        <w:t>In Vitro diagnostic test for the quantitative determination of the HDL-cholesterol concentration in the human serum and plasma on Roche/Hitachi cobas c systems.</w:t>
      </w:r>
    </w:p>
    <w:p w:rsidR="00ED7EC2" w:rsidRPr="00862851" w:rsidRDefault="00C47BB6" w:rsidP="00862851">
      <w:pPr>
        <w:pStyle w:val="First-OrderHeading"/>
        <w:numPr>
          <w:ilvl w:val="0"/>
          <w:numId w:val="12"/>
        </w:numPr>
        <w:tabs>
          <w:tab w:val="clear" w:pos="1080"/>
          <w:tab w:val="num" w:pos="720"/>
        </w:tabs>
        <w:ind w:hanging="1080"/>
        <w:rPr>
          <w:rFonts w:ascii="Arial" w:hAnsi="Arial" w:cs="Arial"/>
          <w:sz w:val="20"/>
        </w:rPr>
      </w:pPr>
      <w:r w:rsidRPr="007C1D50">
        <w:rPr>
          <w:rFonts w:ascii="Arial" w:hAnsi="Arial" w:cs="Arial"/>
          <w:sz w:val="20"/>
        </w:rPr>
        <w:t>RESPONSIBILITIES</w:t>
      </w:r>
    </w:p>
    <w:p w:rsidR="00843DA9" w:rsidRDefault="00843DA9" w:rsidP="00843DA9">
      <w:pPr>
        <w:rPr>
          <w:rFonts w:ascii="Arial" w:hAnsi="Arial" w:cs="Arial"/>
          <w:sz w:val="20"/>
          <w:szCs w:val="20"/>
        </w:rPr>
      </w:pPr>
      <w:r>
        <w:tab/>
      </w:r>
      <w:r w:rsidRPr="00843DA9">
        <w:rPr>
          <w:rFonts w:ascii="Arial" w:hAnsi="Arial" w:cs="Arial"/>
          <w:sz w:val="20"/>
          <w:szCs w:val="20"/>
        </w:rPr>
        <w:t>Example:</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63785F" w:rsidRPr="0063785F" w:rsidTr="0078294F">
        <w:tc>
          <w:tcPr>
            <w:tcW w:w="2808" w:type="dxa"/>
          </w:tcPr>
          <w:p w:rsidR="0063785F" w:rsidRPr="0063785F" w:rsidRDefault="0063785F" w:rsidP="0063785F">
            <w:pPr>
              <w:rPr>
                <w:rFonts w:ascii="Arial" w:hAnsi="Arial" w:cs="Arial"/>
                <w:b/>
                <w:sz w:val="20"/>
                <w:szCs w:val="20"/>
              </w:rPr>
            </w:pPr>
            <w:r w:rsidRPr="0063785F">
              <w:rPr>
                <w:rFonts w:ascii="Arial" w:hAnsi="Arial" w:cs="Arial"/>
                <w:b/>
                <w:sz w:val="20"/>
                <w:szCs w:val="20"/>
              </w:rPr>
              <w:t>Roles</w:t>
            </w:r>
          </w:p>
        </w:tc>
        <w:tc>
          <w:tcPr>
            <w:tcW w:w="5310" w:type="dxa"/>
          </w:tcPr>
          <w:p w:rsidR="0063785F" w:rsidRPr="0063785F" w:rsidRDefault="0063785F" w:rsidP="0063785F">
            <w:pPr>
              <w:rPr>
                <w:rFonts w:ascii="Arial" w:hAnsi="Arial" w:cs="Arial"/>
                <w:b/>
                <w:sz w:val="20"/>
                <w:szCs w:val="20"/>
              </w:rPr>
            </w:pPr>
            <w:r w:rsidRPr="0063785F">
              <w:rPr>
                <w:rFonts w:ascii="Arial" w:hAnsi="Arial" w:cs="Arial"/>
                <w:b/>
                <w:sz w:val="20"/>
                <w:szCs w:val="20"/>
              </w:rPr>
              <w:t>Responsibilities</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t>Quality Assurance</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 xml:space="preserve">Supports the process including provide leadership and/or </w:t>
            </w:r>
            <w:r w:rsidRPr="0063785F">
              <w:rPr>
                <w:rFonts w:ascii="Arial" w:hAnsi="Arial" w:cs="Arial"/>
                <w:sz w:val="20"/>
                <w:szCs w:val="20"/>
              </w:rPr>
              <w:lastRenderedPageBreak/>
              <w:t>assistance in support of the process.</w:t>
            </w:r>
          </w:p>
          <w:p w:rsidR="0063785F" w:rsidRPr="0063785F" w:rsidRDefault="0063785F" w:rsidP="0063785F">
            <w:pPr>
              <w:rPr>
                <w:rFonts w:ascii="Arial" w:hAnsi="Arial" w:cs="Arial"/>
                <w:sz w:val="20"/>
                <w:szCs w:val="20"/>
              </w:rPr>
            </w:pPr>
            <w:r w:rsidRPr="0063785F">
              <w:rPr>
                <w:rFonts w:ascii="Arial" w:hAnsi="Arial" w:cs="Arial"/>
                <w:sz w:val="20"/>
                <w:szCs w:val="20"/>
              </w:rPr>
              <w:t>Review and approval of procedure (site dependent).</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lastRenderedPageBreak/>
              <w:t>Medical Director</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Supports the development of the document.</w:t>
            </w:r>
          </w:p>
          <w:p w:rsidR="0063785F" w:rsidRPr="0063785F" w:rsidRDefault="0063785F" w:rsidP="0063785F">
            <w:pPr>
              <w:rPr>
                <w:rFonts w:ascii="Arial" w:hAnsi="Arial" w:cs="Arial"/>
                <w:sz w:val="20"/>
                <w:szCs w:val="20"/>
              </w:rPr>
            </w:pPr>
            <w:r w:rsidRPr="0063785F">
              <w:rPr>
                <w:rFonts w:ascii="Arial" w:hAnsi="Arial" w:cs="Arial"/>
                <w:sz w:val="20"/>
                <w:szCs w:val="20"/>
              </w:rPr>
              <w:t>Review and approval of the document.</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t>Management</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Review and approve the document.</w:t>
            </w:r>
          </w:p>
          <w:p w:rsidR="0063785F" w:rsidRPr="0063785F" w:rsidRDefault="0063785F" w:rsidP="0063785F">
            <w:pPr>
              <w:rPr>
                <w:rFonts w:ascii="Arial" w:hAnsi="Arial" w:cs="Arial"/>
                <w:sz w:val="20"/>
                <w:szCs w:val="20"/>
              </w:rPr>
            </w:pPr>
            <w:r w:rsidRPr="0063785F">
              <w:rPr>
                <w:rFonts w:ascii="Arial" w:hAnsi="Arial" w:cs="Arial"/>
                <w:sz w:val="20"/>
                <w:szCs w:val="20"/>
              </w:rPr>
              <w:t>Ensure that procedure is followed.</w:t>
            </w:r>
          </w:p>
        </w:tc>
      </w:tr>
      <w:tr w:rsidR="0063785F" w:rsidRPr="0063785F" w:rsidTr="0078294F">
        <w:tc>
          <w:tcPr>
            <w:tcW w:w="2808" w:type="dxa"/>
          </w:tcPr>
          <w:p w:rsidR="0063785F" w:rsidRPr="0063785F" w:rsidRDefault="0063785F" w:rsidP="0063785F">
            <w:pPr>
              <w:rPr>
                <w:rFonts w:ascii="Arial" w:hAnsi="Arial" w:cs="Arial"/>
                <w:sz w:val="20"/>
                <w:szCs w:val="20"/>
              </w:rPr>
            </w:pPr>
            <w:r w:rsidRPr="0063785F">
              <w:rPr>
                <w:rFonts w:ascii="Arial" w:hAnsi="Arial" w:cs="Arial"/>
                <w:sz w:val="20"/>
                <w:szCs w:val="20"/>
              </w:rPr>
              <w:t>Laboratory Technical staff</w:t>
            </w:r>
          </w:p>
        </w:tc>
        <w:tc>
          <w:tcPr>
            <w:tcW w:w="5310" w:type="dxa"/>
          </w:tcPr>
          <w:p w:rsidR="0063785F" w:rsidRPr="0063785F" w:rsidRDefault="0063785F" w:rsidP="0063785F">
            <w:pPr>
              <w:rPr>
                <w:rFonts w:ascii="Arial" w:hAnsi="Arial" w:cs="Arial"/>
                <w:sz w:val="20"/>
                <w:szCs w:val="20"/>
              </w:rPr>
            </w:pPr>
            <w:r w:rsidRPr="0063785F">
              <w:rPr>
                <w:rFonts w:ascii="Arial" w:hAnsi="Arial" w:cs="Arial"/>
                <w:sz w:val="20"/>
                <w:szCs w:val="20"/>
              </w:rPr>
              <w:t>Follows procedure.</w:t>
            </w:r>
          </w:p>
        </w:tc>
      </w:tr>
    </w:tbl>
    <w:p w:rsidR="0063785F" w:rsidRPr="00843DA9" w:rsidRDefault="0063785F" w:rsidP="00843DA9">
      <w:pPr>
        <w:rPr>
          <w:rFonts w:ascii="Arial" w:hAnsi="Arial" w:cs="Arial"/>
          <w:sz w:val="20"/>
          <w:szCs w:val="20"/>
        </w:rPr>
      </w:pPr>
    </w:p>
    <w:p w:rsidR="0055124C" w:rsidRPr="00862851" w:rsidRDefault="0055124C" w:rsidP="00862851">
      <w:pPr>
        <w:pStyle w:val="Second-OrderHeading"/>
        <w:numPr>
          <w:ilvl w:val="0"/>
          <w:numId w:val="12"/>
        </w:numPr>
        <w:tabs>
          <w:tab w:val="clear" w:pos="1080"/>
          <w:tab w:val="num" w:pos="720"/>
        </w:tabs>
        <w:spacing w:before="240"/>
        <w:ind w:hanging="1080"/>
        <w:rPr>
          <w:rFonts w:ascii="Arial" w:hAnsi="Arial" w:cs="Arial"/>
          <w:b/>
          <w:sz w:val="20"/>
        </w:rPr>
      </w:pPr>
      <w:r>
        <w:rPr>
          <w:rFonts w:ascii="Arial" w:hAnsi="Arial" w:cs="Arial"/>
          <w:b/>
          <w:sz w:val="20"/>
        </w:rPr>
        <w:t>ACRONYMS</w:t>
      </w:r>
      <w:r w:rsidR="005441AC">
        <w:rPr>
          <w:rFonts w:ascii="Arial" w:hAnsi="Arial" w:cs="Arial"/>
          <w:b/>
          <w:sz w:val="20"/>
        </w:rPr>
        <w:t>/DEFINITIONS</w:t>
      </w:r>
    </w:p>
    <w:p w:rsidR="00F2526E" w:rsidRDefault="00F2526E" w:rsidP="00F2526E">
      <w:pPr>
        <w:pStyle w:val="Second-OrderHeading"/>
        <w:numPr>
          <w:ilvl w:val="0"/>
          <w:numId w:val="0"/>
        </w:numPr>
        <w:spacing w:after="0"/>
        <w:ind w:left="720"/>
        <w:rPr>
          <w:rFonts w:ascii="Arial" w:hAnsi="Arial" w:cs="Arial"/>
          <w:sz w:val="20"/>
        </w:rPr>
      </w:pPr>
      <w:r>
        <w:rPr>
          <w:rFonts w:ascii="Arial" w:hAnsi="Arial" w:cs="Arial"/>
          <w:sz w:val="20"/>
        </w:rPr>
        <w:t>Example</w:t>
      </w:r>
      <w:r w:rsidR="00592923">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URMC</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University of Rochester Medical Center</w:t>
            </w:r>
          </w:p>
        </w:tc>
      </w:tr>
      <w:tr w:rsidR="00B500C7" w:rsidRPr="00CB5ABE" w:rsidTr="0081070F">
        <w:trPr>
          <w:jc w:val="center"/>
        </w:trPr>
        <w:tc>
          <w:tcPr>
            <w:tcW w:w="1548" w:type="dxa"/>
          </w:tcPr>
          <w:p w:rsidR="00B500C7" w:rsidRPr="00CB5ABE" w:rsidRDefault="00B500C7" w:rsidP="00641A12">
            <w:pPr>
              <w:rPr>
                <w:rFonts w:ascii="Arial" w:hAnsi="Arial" w:cs="Arial"/>
                <w:sz w:val="20"/>
                <w:szCs w:val="20"/>
              </w:rPr>
            </w:pPr>
            <w:r>
              <w:rPr>
                <w:rFonts w:ascii="Arial" w:hAnsi="Arial" w:cs="Arial"/>
                <w:sz w:val="20"/>
                <w:szCs w:val="20"/>
              </w:rPr>
              <w:t>SW</w:t>
            </w:r>
          </w:p>
        </w:tc>
        <w:tc>
          <w:tcPr>
            <w:tcW w:w="5580" w:type="dxa"/>
          </w:tcPr>
          <w:p w:rsidR="00B500C7" w:rsidRPr="00CB5ABE" w:rsidRDefault="00B500C7" w:rsidP="00641A12">
            <w:pPr>
              <w:rPr>
                <w:rFonts w:ascii="Arial" w:hAnsi="Arial" w:cs="Arial"/>
                <w:sz w:val="20"/>
                <w:szCs w:val="20"/>
              </w:rPr>
            </w:pPr>
            <w:r>
              <w:rPr>
                <w:rFonts w:ascii="Arial" w:hAnsi="Arial" w:cs="Arial"/>
                <w:sz w:val="20"/>
                <w:szCs w:val="20"/>
              </w:rPr>
              <w:t>Strong West</w:t>
            </w:r>
          </w:p>
        </w:tc>
      </w:tr>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HH</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Highland Hospital</w:t>
            </w:r>
          </w:p>
        </w:tc>
      </w:tr>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RR</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Ridgeland Road Laboratory</w:t>
            </w:r>
          </w:p>
        </w:tc>
      </w:tr>
      <w:tr w:rsidR="0081070F" w:rsidRPr="00CB5ABE" w:rsidTr="0081070F">
        <w:trPr>
          <w:jc w:val="center"/>
        </w:trPr>
        <w:tc>
          <w:tcPr>
            <w:tcW w:w="1548" w:type="dxa"/>
          </w:tcPr>
          <w:p w:rsidR="0081070F" w:rsidRPr="00CB5ABE" w:rsidRDefault="0081070F" w:rsidP="00641A12">
            <w:pPr>
              <w:rPr>
                <w:rFonts w:ascii="Arial" w:hAnsi="Arial" w:cs="Arial"/>
                <w:sz w:val="20"/>
                <w:szCs w:val="20"/>
              </w:rPr>
            </w:pPr>
            <w:r w:rsidRPr="00CB5ABE">
              <w:rPr>
                <w:rFonts w:ascii="Arial" w:hAnsi="Arial" w:cs="Arial"/>
                <w:sz w:val="20"/>
                <w:szCs w:val="20"/>
              </w:rPr>
              <w:t>SMH</w:t>
            </w:r>
          </w:p>
        </w:tc>
        <w:tc>
          <w:tcPr>
            <w:tcW w:w="5580" w:type="dxa"/>
          </w:tcPr>
          <w:p w:rsidR="0081070F" w:rsidRPr="00CB5ABE" w:rsidRDefault="0081070F" w:rsidP="00641A12">
            <w:pPr>
              <w:rPr>
                <w:rFonts w:ascii="Arial" w:hAnsi="Arial" w:cs="Arial"/>
                <w:sz w:val="20"/>
                <w:szCs w:val="20"/>
              </w:rPr>
            </w:pPr>
            <w:r w:rsidRPr="00CB5ABE">
              <w:rPr>
                <w:rFonts w:ascii="Arial" w:hAnsi="Arial" w:cs="Arial"/>
                <w:sz w:val="20"/>
                <w:szCs w:val="20"/>
              </w:rPr>
              <w:t>Strong Memorial Hospital</w:t>
            </w:r>
          </w:p>
        </w:tc>
      </w:tr>
      <w:tr w:rsidR="00B500C7" w:rsidRPr="00CB5ABE" w:rsidTr="0081070F">
        <w:trPr>
          <w:jc w:val="center"/>
        </w:trPr>
        <w:tc>
          <w:tcPr>
            <w:tcW w:w="1548" w:type="dxa"/>
          </w:tcPr>
          <w:p w:rsidR="00B500C7" w:rsidRPr="00CB5ABE" w:rsidRDefault="00B500C7" w:rsidP="00641A12">
            <w:pPr>
              <w:rPr>
                <w:rFonts w:ascii="Arial" w:hAnsi="Arial" w:cs="Arial"/>
                <w:sz w:val="20"/>
                <w:szCs w:val="20"/>
              </w:rPr>
            </w:pPr>
            <w:r>
              <w:rPr>
                <w:rFonts w:ascii="Arial" w:hAnsi="Arial" w:cs="Arial"/>
                <w:sz w:val="20"/>
                <w:szCs w:val="20"/>
              </w:rPr>
              <w:t>HDL</w:t>
            </w:r>
          </w:p>
        </w:tc>
        <w:tc>
          <w:tcPr>
            <w:tcW w:w="5580" w:type="dxa"/>
          </w:tcPr>
          <w:p w:rsidR="00B500C7" w:rsidRPr="00CB5ABE" w:rsidRDefault="00B500C7" w:rsidP="00641A12">
            <w:pPr>
              <w:rPr>
                <w:rFonts w:ascii="Arial" w:hAnsi="Arial" w:cs="Arial"/>
                <w:sz w:val="20"/>
                <w:szCs w:val="20"/>
              </w:rPr>
            </w:pPr>
            <w:r>
              <w:rPr>
                <w:rFonts w:ascii="Arial" w:hAnsi="Arial" w:cs="Arial"/>
                <w:sz w:val="20"/>
                <w:szCs w:val="20"/>
              </w:rPr>
              <w:t>HDL-cholesterol</w:t>
            </w:r>
          </w:p>
        </w:tc>
      </w:tr>
      <w:tr w:rsidR="00B500C7" w:rsidRPr="00CB5ABE" w:rsidTr="0081070F">
        <w:trPr>
          <w:jc w:val="center"/>
        </w:trPr>
        <w:tc>
          <w:tcPr>
            <w:tcW w:w="1548" w:type="dxa"/>
          </w:tcPr>
          <w:p w:rsidR="00B500C7" w:rsidRDefault="00B500C7" w:rsidP="00641A12">
            <w:pPr>
              <w:rPr>
                <w:rFonts w:ascii="Arial" w:hAnsi="Arial" w:cs="Arial"/>
                <w:sz w:val="20"/>
                <w:szCs w:val="20"/>
              </w:rPr>
            </w:pPr>
            <w:r>
              <w:rPr>
                <w:rFonts w:ascii="Arial" w:hAnsi="Arial" w:cs="Arial"/>
                <w:sz w:val="20"/>
                <w:szCs w:val="20"/>
              </w:rPr>
              <w:t>CHOL</w:t>
            </w:r>
          </w:p>
        </w:tc>
        <w:tc>
          <w:tcPr>
            <w:tcW w:w="5580" w:type="dxa"/>
          </w:tcPr>
          <w:p w:rsidR="00B500C7" w:rsidRDefault="00B500C7" w:rsidP="00641A12">
            <w:pPr>
              <w:rPr>
                <w:rFonts w:ascii="Arial" w:hAnsi="Arial" w:cs="Arial"/>
                <w:sz w:val="20"/>
                <w:szCs w:val="20"/>
              </w:rPr>
            </w:pPr>
            <w:r>
              <w:rPr>
                <w:rFonts w:ascii="Arial" w:hAnsi="Arial" w:cs="Arial"/>
                <w:sz w:val="20"/>
                <w:szCs w:val="20"/>
              </w:rPr>
              <w:t>Cholesterol</w:t>
            </w:r>
          </w:p>
        </w:tc>
      </w:tr>
    </w:tbl>
    <w:p w:rsidR="009E5958" w:rsidRDefault="00C47BB6" w:rsidP="00ED7EC2">
      <w:pPr>
        <w:pStyle w:val="Second-OrderHeading"/>
        <w:numPr>
          <w:ilvl w:val="0"/>
          <w:numId w:val="12"/>
        </w:numPr>
        <w:tabs>
          <w:tab w:val="clear" w:pos="1080"/>
          <w:tab w:val="num" w:pos="720"/>
        </w:tabs>
        <w:spacing w:before="240"/>
        <w:ind w:hanging="1080"/>
        <w:rPr>
          <w:rFonts w:ascii="Arial" w:hAnsi="Arial" w:cs="Arial"/>
          <w:b/>
          <w:sz w:val="20"/>
        </w:rPr>
      </w:pPr>
      <w:r w:rsidRPr="007C1D50">
        <w:rPr>
          <w:rFonts w:ascii="Arial" w:hAnsi="Arial" w:cs="Arial"/>
          <w:b/>
          <w:sz w:val="20"/>
        </w:rPr>
        <w:t>SPECIMENS</w:t>
      </w:r>
    </w:p>
    <w:p w:rsidR="00ED7EC2"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 xml:space="preserve">For specimen collection and preparation only use suitable tubes or collection containers.  Only the specimens listed below were tested and found acceptable.  </w:t>
      </w:r>
    </w:p>
    <w:p w:rsidR="00B500C7"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Serum</w:t>
      </w:r>
    </w:p>
    <w:p w:rsidR="00B500C7"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Plasma: Li-heparin, K</w:t>
      </w:r>
      <w:r>
        <w:rPr>
          <w:rFonts w:ascii="Arial" w:hAnsi="Arial" w:cs="Arial"/>
          <w:sz w:val="20"/>
          <w:vertAlign w:val="subscript"/>
        </w:rPr>
        <w:t>2-</w:t>
      </w:r>
      <w:r>
        <w:rPr>
          <w:rFonts w:ascii="Arial" w:hAnsi="Arial" w:cs="Arial"/>
          <w:sz w:val="20"/>
        </w:rPr>
        <w:t xml:space="preserve"> and K</w:t>
      </w:r>
      <w:r>
        <w:rPr>
          <w:rFonts w:ascii="Arial" w:hAnsi="Arial" w:cs="Arial"/>
          <w:sz w:val="20"/>
          <w:vertAlign w:val="subscript"/>
        </w:rPr>
        <w:t>3-</w:t>
      </w:r>
      <w:r>
        <w:rPr>
          <w:rFonts w:ascii="Arial" w:hAnsi="Arial" w:cs="Arial"/>
          <w:sz w:val="20"/>
        </w:rPr>
        <w:t xml:space="preserve"> EDTA plasma</w:t>
      </w:r>
    </w:p>
    <w:p w:rsidR="00B500C7" w:rsidRPr="00B500C7" w:rsidRDefault="00B500C7" w:rsidP="00ED7EC2">
      <w:pPr>
        <w:pStyle w:val="Second-OrderHeading"/>
        <w:numPr>
          <w:ilvl w:val="0"/>
          <w:numId w:val="0"/>
        </w:numPr>
        <w:spacing w:before="240"/>
        <w:ind w:left="720"/>
        <w:rPr>
          <w:rFonts w:ascii="Arial" w:hAnsi="Arial" w:cs="Arial"/>
          <w:sz w:val="20"/>
        </w:rPr>
      </w:pPr>
      <w:r>
        <w:rPr>
          <w:rFonts w:ascii="Arial" w:hAnsi="Arial" w:cs="Arial"/>
          <w:sz w:val="20"/>
        </w:rPr>
        <w:t xml:space="preserve">Refer to SW.CP.GL.jad.0101 for sample stability.  </w:t>
      </w:r>
    </w:p>
    <w:p w:rsidR="009E5958" w:rsidRDefault="00C47BB6" w:rsidP="00ED7EC2">
      <w:pPr>
        <w:pStyle w:val="Second-OrderHeading"/>
        <w:numPr>
          <w:ilvl w:val="0"/>
          <w:numId w:val="12"/>
        </w:numPr>
        <w:tabs>
          <w:tab w:val="clear" w:pos="1080"/>
          <w:tab w:val="num" w:pos="720"/>
        </w:tabs>
        <w:ind w:hanging="1080"/>
        <w:rPr>
          <w:rFonts w:ascii="Arial" w:hAnsi="Arial" w:cs="Arial"/>
          <w:b/>
          <w:sz w:val="20"/>
        </w:rPr>
      </w:pPr>
      <w:r w:rsidRPr="007C1D50">
        <w:rPr>
          <w:rFonts w:ascii="Arial" w:hAnsi="Arial" w:cs="Arial"/>
          <w:b/>
          <w:sz w:val="20"/>
        </w:rPr>
        <w:t>QUALITY CONTROL</w:t>
      </w:r>
    </w:p>
    <w:p w:rsidR="00ED7EC2" w:rsidRPr="006455B2" w:rsidRDefault="006455B2" w:rsidP="00ED7EC2">
      <w:pPr>
        <w:pStyle w:val="Second-OrderHeading"/>
        <w:numPr>
          <w:ilvl w:val="0"/>
          <w:numId w:val="0"/>
        </w:numPr>
        <w:ind w:left="720"/>
        <w:rPr>
          <w:rFonts w:ascii="Arial" w:hAnsi="Arial" w:cs="Arial"/>
          <w:sz w:val="20"/>
        </w:rPr>
      </w:pPr>
      <w:r>
        <w:rPr>
          <w:rFonts w:ascii="Arial" w:hAnsi="Arial" w:cs="Arial"/>
          <w:sz w:val="20"/>
        </w:rPr>
        <w:t>Analyze quality control materials as indicated on the Roche Integra analyzer set up form SW.CP.GL.frm.0101</w:t>
      </w:r>
    </w:p>
    <w:p w:rsidR="00ED7EC2" w:rsidRDefault="00C47BB6" w:rsidP="00ED7EC2">
      <w:pPr>
        <w:pStyle w:val="Second-OrderHeading"/>
        <w:numPr>
          <w:ilvl w:val="0"/>
          <w:numId w:val="12"/>
        </w:numPr>
        <w:tabs>
          <w:tab w:val="clear" w:pos="1080"/>
          <w:tab w:val="num" w:pos="720"/>
        </w:tabs>
        <w:ind w:hanging="1080"/>
        <w:rPr>
          <w:rFonts w:ascii="Arial" w:hAnsi="Arial" w:cs="Arial"/>
          <w:b/>
          <w:sz w:val="20"/>
        </w:rPr>
      </w:pPr>
      <w:r w:rsidRPr="007C1D50">
        <w:rPr>
          <w:rFonts w:ascii="Arial" w:hAnsi="Arial" w:cs="Arial"/>
          <w:b/>
          <w:sz w:val="20"/>
        </w:rPr>
        <w:t>SPECIAL SAFETY PRECAUTIONS</w:t>
      </w:r>
      <w:r w:rsidR="00AC7451" w:rsidRPr="007C1D50">
        <w:rPr>
          <w:rFonts w:ascii="Arial" w:hAnsi="Arial" w:cs="Arial"/>
          <w:b/>
          <w:sz w:val="20"/>
        </w:rPr>
        <w:t xml:space="preserve"> </w:t>
      </w:r>
    </w:p>
    <w:p w:rsidR="00B93A3A" w:rsidRDefault="00B93A3A" w:rsidP="00B93A3A">
      <w:pPr>
        <w:pStyle w:val="NoSpacing"/>
        <w:ind w:left="720"/>
      </w:pPr>
      <w:r w:rsidRPr="00C25AC9">
        <w:t>Exercise the normal precautions required for handling all laboratory re</w:t>
      </w:r>
      <w:r>
        <w:t xml:space="preserve">agents and </w:t>
      </w:r>
      <w:r w:rsidRPr="00C25AC9">
        <w:t>biohazardous patient samples.  Refer to Safety data sheets.</w:t>
      </w:r>
      <w:r>
        <w:t xml:space="preserve"> </w:t>
      </w:r>
      <w:r w:rsidRPr="00C756B5">
        <w:t>Disposal of all waste material should be in accordance with local guidelines.</w:t>
      </w:r>
      <w:r>
        <w:t xml:space="preserve">  Refer to Safety procedure SW.CP.GL.adm.0005</w:t>
      </w:r>
    </w:p>
    <w:p w:rsidR="004532CF" w:rsidRPr="00ED7EC2" w:rsidRDefault="004532CF" w:rsidP="00ED7EC2">
      <w:pPr>
        <w:pStyle w:val="Second-OrderHeading"/>
        <w:numPr>
          <w:ilvl w:val="0"/>
          <w:numId w:val="0"/>
        </w:numPr>
        <w:ind w:left="720"/>
        <w:rPr>
          <w:rFonts w:ascii="Arial" w:hAnsi="Arial" w:cs="Arial"/>
          <w:b/>
          <w:sz w:val="20"/>
        </w:rPr>
      </w:pPr>
    </w:p>
    <w:p w:rsidR="004532CF" w:rsidRPr="00E97BA6" w:rsidRDefault="00C47BB6" w:rsidP="00E97BA6">
      <w:pPr>
        <w:autoSpaceDE w:val="0"/>
        <w:autoSpaceDN w:val="0"/>
        <w:adjustRightInd w:val="0"/>
        <w:spacing w:after="240"/>
        <w:ind w:left="720" w:hanging="720"/>
        <w:jc w:val="both"/>
        <w:rPr>
          <w:rFonts w:ascii="Arial" w:hAnsi="Arial" w:cs="Arial"/>
          <w:bCs/>
          <w:color w:val="000000"/>
          <w:sz w:val="20"/>
          <w:szCs w:val="20"/>
        </w:rPr>
      </w:pPr>
      <w:r w:rsidRPr="007C1D50">
        <w:rPr>
          <w:rFonts w:ascii="Arial" w:hAnsi="Arial" w:cs="Arial"/>
          <w:b/>
          <w:bCs/>
          <w:color w:val="000000"/>
          <w:sz w:val="20"/>
          <w:szCs w:val="20"/>
        </w:rPr>
        <w:t>VII</w:t>
      </w:r>
      <w:r w:rsidR="00843DA9">
        <w:rPr>
          <w:rFonts w:ascii="Arial" w:hAnsi="Arial" w:cs="Arial"/>
          <w:b/>
          <w:bCs/>
          <w:color w:val="000000"/>
          <w:sz w:val="20"/>
          <w:szCs w:val="20"/>
        </w:rPr>
        <w:t>I</w:t>
      </w:r>
      <w:r w:rsidRPr="007C1D50">
        <w:rPr>
          <w:rFonts w:ascii="Arial" w:hAnsi="Arial" w:cs="Arial"/>
          <w:b/>
          <w:bCs/>
          <w:color w:val="000000"/>
          <w:sz w:val="20"/>
          <w:szCs w:val="20"/>
        </w:rPr>
        <w:t>.</w:t>
      </w:r>
      <w:r w:rsidRPr="007C1D50">
        <w:rPr>
          <w:rFonts w:ascii="Arial" w:hAnsi="Arial" w:cs="Arial"/>
          <w:b/>
          <w:bCs/>
          <w:color w:val="000000"/>
          <w:sz w:val="20"/>
          <w:szCs w:val="20"/>
        </w:rPr>
        <w:tab/>
        <w:t>MATERIALS</w:t>
      </w:r>
      <w:r w:rsidR="004532CF" w:rsidRPr="007C1D50">
        <w:rPr>
          <w:rFonts w:ascii="Arial" w:hAnsi="Arial" w:cs="Arial"/>
          <w:b/>
          <w:bCs/>
          <w:color w:val="000000"/>
          <w:sz w:val="20"/>
          <w:szCs w:val="20"/>
        </w:rPr>
        <w:t xml:space="preserve"> </w:t>
      </w:r>
    </w:p>
    <w:p w:rsidR="00CD7298" w:rsidRPr="007C1D50" w:rsidRDefault="00C47BB6" w:rsidP="00E97BA6">
      <w:pPr>
        <w:autoSpaceDE w:val="0"/>
        <w:autoSpaceDN w:val="0"/>
        <w:adjustRightInd w:val="0"/>
        <w:spacing w:after="240"/>
        <w:ind w:left="720"/>
        <w:jc w:val="both"/>
        <w:rPr>
          <w:rFonts w:ascii="Arial" w:hAnsi="Arial" w:cs="Arial"/>
          <w:b/>
          <w:bCs/>
          <w:color w:val="000000"/>
          <w:sz w:val="20"/>
          <w:szCs w:val="20"/>
        </w:rPr>
      </w:pPr>
      <w:r w:rsidRPr="007C1D50">
        <w:rPr>
          <w:rFonts w:ascii="Arial" w:hAnsi="Arial" w:cs="Arial"/>
          <w:b/>
          <w:bCs/>
          <w:color w:val="000000"/>
          <w:sz w:val="20"/>
          <w:szCs w:val="20"/>
        </w:rPr>
        <w:t>A.</w:t>
      </w:r>
      <w:r w:rsidRPr="007C1D50">
        <w:rPr>
          <w:rFonts w:ascii="Arial" w:hAnsi="Arial" w:cs="Arial"/>
          <w:b/>
          <w:bCs/>
          <w:color w:val="000000"/>
          <w:sz w:val="20"/>
          <w:szCs w:val="20"/>
        </w:rPr>
        <w:tab/>
        <w:t>Equipment</w:t>
      </w:r>
      <w:r w:rsidR="004532CF" w:rsidRPr="007C1D50">
        <w:rPr>
          <w:rFonts w:ascii="Arial" w:hAnsi="Arial" w:cs="Arial"/>
          <w:b/>
          <w:bCs/>
          <w:color w:val="000000"/>
          <w:sz w:val="20"/>
          <w:szCs w:val="20"/>
        </w:rPr>
        <w:t xml:space="preserve"> </w:t>
      </w:r>
    </w:p>
    <w:p w:rsidR="00CD7298" w:rsidRDefault="00B93A3A" w:rsidP="00E97BA6">
      <w:pPr>
        <w:autoSpaceDE w:val="0"/>
        <w:autoSpaceDN w:val="0"/>
        <w:adjustRightInd w:val="0"/>
        <w:spacing w:after="120"/>
        <w:ind w:left="720"/>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Cs/>
          <w:color w:val="000000"/>
          <w:sz w:val="20"/>
          <w:szCs w:val="20"/>
        </w:rPr>
        <w:t>Roche Integra 400 Plus analyzer</w:t>
      </w:r>
    </w:p>
    <w:p w:rsidR="00B93A3A" w:rsidRDefault="00B93A3A" w:rsidP="00E97BA6">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Data Innovations Middleware</w:t>
      </w:r>
    </w:p>
    <w:p w:rsidR="00AC7451" w:rsidRPr="00E97BA6" w:rsidRDefault="00B93A3A" w:rsidP="00B93A3A">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r>
      <w:r w:rsidR="00B06D2A">
        <w:rPr>
          <w:rFonts w:ascii="Arial" w:hAnsi="Arial" w:cs="Arial"/>
          <w:bCs/>
          <w:color w:val="000000"/>
          <w:sz w:val="20"/>
          <w:szCs w:val="20"/>
        </w:rPr>
        <w:t>Bio-Rad</w:t>
      </w:r>
      <w:r>
        <w:rPr>
          <w:rFonts w:ascii="Arial" w:hAnsi="Arial" w:cs="Arial"/>
          <w:bCs/>
          <w:color w:val="000000"/>
          <w:sz w:val="20"/>
          <w:szCs w:val="20"/>
        </w:rPr>
        <w:t xml:space="preserve"> Unity Real Time QC Application</w:t>
      </w:r>
    </w:p>
    <w:p w:rsidR="00B93A3A" w:rsidRDefault="00C47BB6" w:rsidP="00E97BA6">
      <w:pPr>
        <w:autoSpaceDE w:val="0"/>
        <w:autoSpaceDN w:val="0"/>
        <w:adjustRightInd w:val="0"/>
        <w:spacing w:after="120"/>
        <w:ind w:left="720"/>
        <w:jc w:val="both"/>
        <w:rPr>
          <w:rFonts w:ascii="Arial" w:hAnsi="Arial" w:cs="Arial"/>
          <w:b/>
          <w:bCs/>
          <w:color w:val="000000"/>
          <w:sz w:val="20"/>
          <w:szCs w:val="20"/>
        </w:rPr>
      </w:pPr>
      <w:r w:rsidRPr="007C1D50">
        <w:rPr>
          <w:rFonts w:ascii="Arial" w:hAnsi="Arial" w:cs="Arial"/>
          <w:b/>
          <w:bCs/>
          <w:color w:val="000000"/>
          <w:sz w:val="20"/>
          <w:szCs w:val="20"/>
        </w:rPr>
        <w:t>B.</w:t>
      </w:r>
      <w:r w:rsidRPr="007C1D50">
        <w:rPr>
          <w:rFonts w:ascii="Arial" w:hAnsi="Arial" w:cs="Arial"/>
          <w:b/>
          <w:bCs/>
          <w:color w:val="000000"/>
          <w:sz w:val="20"/>
          <w:szCs w:val="20"/>
        </w:rPr>
        <w:tab/>
      </w:r>
      <w:r w:rsidR="008F112D" w:rsidRPr="007C1D50">
        <w:rPr>
          <w:rFonts w:ascii="Arial" w:hAnsi="Arial" w:cs="Arial"/>
          <w:b/>
          <w:bCs/>
          <w:color w:val="000000"/>
          <w:sz w:val="20"/>
          <w:szCs w:val="20"/>
        </w:rPr>
        <w:t>Supplies</w:t>
      </w:r>
    </w:p>
    <w:p w:rsidR="00B93A3A" w:rsidRDefault="00B93A3A" w:rsidP="00B93A3A">
      <w:pPr>
        <w:ind w:left="720" w:firstLine="720"/>
      </w:pPr>
      <w:r>
        <w:t>Roche Sample cups</w:t>
      </w:r>
    </w:p>
    <w:p w:rsidR="00B93A3A" w:rsidRDefault="00B93A3A" w:rsidP="00B93A3A">
      <w:pPr>
        <w:ind w:left="720" w:firstLine="720"/>
      </w:pPr>
      <w:r>
        <w:lastRenderedPageBreak/>
        <w:t>Falcon tubes</w:t>
      </w:r>
    </w:p>
    <w:p w:rsidR="00B93A3A" w:rsidRDefault="00B93A3A" w:rsidP="00B93A3A">
      <w:pPr>
        <w:ind w:left="720" w:firstLine="720"/>
      </w:pPr>
      <w:r>
        <w:t>Pipets</w:t>
      </w:r>
    </w:p>
    <w:p w:rsidR="00B93A3A" w:rsidRDefault="00B93A3A" w:rsidP="00B93A3A">
      <w:pPr>
        <w:ind w:left="720" w:firstLine="720"/>
      </w:pPr>
      <w:r>
        <w:t>Pipet tips</w:t>
      </w:r>
    </w:p>
    <w:p w:rsidR="008F112D" w:rsidRPr="007C1D50" w:rsidRDefault="00673380" w:rsidP="00E97BA6">
      <w:pPr>
        <w:autoSpaceDE w:val="0"/>
        <w:autoSpaceDN w:val="0"/>
        <w:adjustRightInd w:val="0"/>
        <w:spacing w:after="120"/>
        <w:ind w:left="720"/>
        <w:jc w:val="both"/>
        <w:rPr>
          <w:rFonts w:ascii="Arial" w:hAnsi="Arial" w:cs="Arial"/>
          <w:bCs/>
          <w:color w:val="000000"/>
          <w:sz w:val="20"/>
          <w:szCs w:val="20"/>
        </w:rPr>
      </w:pPr>
      <w:r w:rsidRPr="007C1D50">
        <w:rPr>
          <w:rFonts w:ascii="Arial" w:hAnsi="Arial" w:cs="Arial"/>
          <w:bCs/>
          <w:color w:val="000000"/>
          <w:sz w:val="20"/>
          <w:szCs w:val="20"/>
        </w:rPr>
        <w:tab/>
      </w:r>
      <w:r w:rsidR="006E681F" w:rsidRPr="007C1D50">
        <w:rPr>
          <w:rFonts w:ascii="Arial" w:hAnsi="Arial" w:cs="Arial"/>
          <w:bCs/>
          <w:color w:val="000000"/>
          <w:sz w:val="20"/>
          <w:szCs w:val="20"/>
        </w:rPr>
        <w:t xml:space="preserve"> </w:t>
      </w:r>
    </w:p>
    <w:p w:rsidR="00B93A3A" w:rsidRDefault="00C47BB6" w:rsidP="00A97B4F">
      <w:pPr>
        <w:autoSpaceDE w:val="0"/>
        <w:autoSpaceDN w:val="0"/>
        <w:adjustRightInd w:val="0"/>
        <w:spacing w:after="240"/>
        <w:ind w:left="720"/>
        <w:jc w:val="both"/>
        <w:rPr>
          <w:rFonts w:ascii="Arial" w:hAnsi="Arial" w:cs="Arial"/>
          <w:bCs/>
          <w:color w:val="000000"/>
          <w:sz w:val="20"/>
          <w:szCs w:val="20"/>
        </w:rPr>
      </w:pPr>
      <w:r w:rsidRPr="007C1D50">
        <w:rPr>
          <w:rFonts w:ascii="Arial" w:hAnsi="Arial" w:cs="Arial"/>
          <w:b/>
          <w:bCs/>
          <w:color w:val="000000"/>
          <w:sz w:val="20"/>
          <w:szCs w:val="20"/>
        </w:rPr>
        <w:t>C.</w:t>
      </w:r>
      <w:r w:rsidRPr="007C1D50">
        <w:rPr>
          <w:rFonts w:ascii="Arial" w:hAnsi="Arial" w:cs="Arial"/>
          <w:b/>
          <w:bCs/>
          <w:color w:val="000000"/>
          <w:sz w:val="20"/>
          <w:szCs w:val="20"/>
        </w:rPr>
        <w:tab/>
      </w:r>
      <w:r w:rsidR="008F112D" w:rsidRPr="007C1D50">
        <w:rPr>
          <w:rFonts w:ascii="Arial" w:hAnsi="Arial" w:cs="Arial"/>
          <w:b/>
          <w:bCs/>
          <w:color w:val="000000"/>
          <w:sz w:val="20"/>
          <w:szCs w:val="20"/>
        </w:rPr>
        <w:t>Reagents</w:t>
      </w:r>
    </w:p>
    <w:p w:rsidR="00B93A3A" w:rsidRDefault="00B93A3A" w:rsidP="00A97B4F">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t>HDL-Cholesterol Gen 4. (Ref # 07528566190) – ready for use</w:t>
      </w:r>
    </w:p>
    <w:p w:rsidR="00B93A3A" w:rsidRDefault="00B93A3A" w:rsidP="00A97B4F">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t>Components:</w:t>
      </w:r>
    </w:p>
    <w:p w:rsidR="00B93A3A" w:rsidRPr="00B93A3A" w:rsidRDefault="00E56500" w:rsidP="00E56500">
      <w:pPr>
        <w:autoSpaceDE w:val="0"/>
        <w:autoSpaceDN w:val="0"/>
        <w:adjustRightInd w:val="0"/>
        <w:spacing w:after="240"/>
        <w:ind w:left="1440"/>
        <w:jc w:val="both"/>
        <w:rPr>
          <w:rFonts w:ascii="Arial" w:hAnsi="Arial" w:cs="Arial"/>
          <w:bCs/>
          <w:color w:val="000000"/>
          <w:sz w:val="20"/>
          <w:szCs w:val="20"/>
        </w:rPr>
      </w:pPr>
      <w:r>
        <w:rPr>
          <w:rFonts w:ascii="Arial" w:hAnsi="Arial" w:cs="Arial"/>
          <w:bCs/>
          <w:color w:val="000000"/>
          <w:sz w:val="20"/>
          <w:szCs w:val="20"/>
        </w:rPr>
        <w:t xml:space="preserve">R1 - </w:t>
      </w:r>
      <w:proofErr w:type="spellStart"/>
      <w:r w:rsidR="00B93A3A">
        <w:rPr>
          <w:rFonts w:ascii="Arial" w:hAnsi="Arial" w:cs="Arial"/>
          <w:bCs/>
          <w:color w:val="000000"/>
          <w:sz w:val="20"/>
          <w:szCs w:val="20"/>
        </w:rPr>
        <w:t>TAPSO</w:t>
      </w:r>
      <w:r w:rsidR="00B93A3A">
        <w:rPr>
          <w:rFonts w:ascii="Arial" w:hAnsi="Arial" w:cs="Arial"/>
          <w:bCs/>
          <w:color w:val="000000"/>
          <w:sz w:val="20"/>
          <w:szCs w:val="20"/>
          <w:vertAlign w:val="superscript"/>
        </w:rPr>
        <w:t>b</w:t>
      </w:r>
      <w:proofErr w:type="spellEnd"/>
      <w:r w:rsidR="00B93A3A">
        <w:rPr>
          <w:rFonts w:ascii="Arial" w:hAnsi="Arial" w:cs="Arial"/>
          <w:bCs/>
          <w:color w:val="000000"/>
          <w:sz w:val="20"/>
          <w:szCs w:val="20"/>
        </w:rPr>
        <w:t xml:space="preserve"> buffer</w:t>
      </w:r>
      <w:r w:rsidR="00B06D2A">
        <w:rPr>
          <w:rFonts w:ascii="Arial" w:hAnsi="Arial" w:cs="Arial"/>
          <w:bCs/>
          <w:color w:val="000000"/>
          <w:sz w:val="20"/>
          <w:szCs w:val="20"/>
        </w:rPr>
        <w:t>: 62.1</w:t>
      </w:r>
      <w:r w:rsidR="00B93A3A">
        <w:rPr>
          <w:rFonts w:ascii="Arial" w:hAnsi="Arial" w:cs="Arial"/>
          <w:bCs/>
          <w:color w:val="000000"/>
          <w:sz w:val="20"/>
          <w:szCs w:val="20"/>
        </w:rPr>
        <w:t xml:space="preserve"> mmol/L, pH7.77; </w:t>
      </w:r>
      <w:proofErr w:type="spellStart"/>
      <w:r w:rsidR="00B93A3A">
        <w:rPr>
          <w:rFonts w:ascii="Arial" w:hAnsi="Arial" w:cs="Arial"/>
          <w:bCs/>
          <w:color w:val="000000"/>
          <w:sz w:val="20"/>
          <w:szCs w:val="20"/>
        </w:rPr>
        <w:t>polyanion</w:t>
      </w:r>
      <w:proofErr w:type="spellEnd"/>
      <w:r w:rsidR="00B06D2A">
        <w:rPr>
          <w:rFonts w:ascii="Arial" w:hAnsi="Arial" w:cs="Arial"/>
          <w:bCs/>
          <w:color w:val="000000"/>
          <w:sz w:val="20"/>
          <w:szCs w:val="20"/>
        </w:rPr>
        <w:t>: 1.25g</w:t>
      </w:r>
      <w:r w:rsidR="00B93A3A">
        <w:rPr>
          <w:rFonts w:ascii="Arial" w:hAnsi="Arial" w:cs="Arial"/>
          <w:bCs/>
          <w:color w:val="000000"/>
          <w:sz w:val="20"/>
          <w:szCs w:val="20"/>
        </w:rPr>
        <w:t>/L; EMSE</w:t>
      </w:r>
      <w:r w:rsidR="00B06D2A">
        <w:rPr>
          <w:rFonts w:ascii="Arial" w:hAnsi="Arial" w:cs="Arial"/>
          <w:bCs/>
          <w:color w:val="000000"/>
          <w:sz w:val="20"/>
          <w:szCs w:val="20"/>
        </w:rPr>
        <w:t>: 1.08</w:t>
      </w:r>
      <w:r w:rsidR="00B93A3A">
        <w:rPr>
          <w:rFonts w:ascii="Arial" w:hAnsi="Arial" w:cs="Arial"/>
          <w:bCs/>
          <w:color w:val="000000"/>
          <w:sz w:val="20"/>
          <w:szCs w:val="20"/>
        </w:rPr>
        <w:t xml:space="preserve"> mmol/L; ascorbate oxidase (cucurbita):</w:t>
      </w:r>
      <w:r>
        <w:rPr>
          <w:rFonts w:ascii="Arial" w:hAnsi="Arial" w:cs="Arial"/>
          <w:bCs/>
          <w:color w:val="000000"/>
          <w:sz w:val="20"/>
          <w:szCs w:val="20"/>
        </w:rPr>
        <w:t>≥50 ukat/L; peroxidase (horseradish): ≥166.7 ukat/L; detergent; BSA: 2.0 g/L; preservative</w:t>
      </w:r>
    </w:p>
    <w:p w:rsidR="00AC7451" w:rsidRDefault="00E56500"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SR – Bis-Tris</w:t>
      </w:r>
      <w:r>
        <w:rPr>
          <w:rFonts w:ascii="Arial" w:hAnsi="Arial" w:cs="Arial"/>
          <w:bCs/>
          <w:color w:val="000000"/>
          <w:sz w:val="20"/>
          <w:szCs w:val="20"/>
          <w:vertAlign w:val="superscript"/>
        </w:rPr>
        <w:t>c</w:t>
      </w:r>
      <w:r>
        <w:rPr>
          <w:rFonts w:ascii="Arial" w:hAnsi="Arial" w:cs="Arial"/>
          <w:bCs/>
          <w:color w:val="000000"/>
          <w:sz w:val="20"/>
          <w:szCs w:val="20"/>
        </w:rPr>
        <w:t xml:space="preserve"> buffer: 20.1 mmol/L, pH6.70; cholesterol esterase (microorganism): ≥7.5 ukat/L; cholesterol oxidase (recombinant E. coli): ≥7.17 ukat/L; cholesterol oxidase (microorganism): ≥76.7 ukat/L; peroxidase (horseradish): ≥333 ukat/L; 4-amino-antipyrine: 1.48 mmol/L; BSA 3.0 g/L; detergents; preservative</w:t>
      </w:r>
    </w:p>
    <w:p w:rsidR="00E56500" w:rsidRDefault="00E56500" w:rsidP="00E56500">
      <w:pPr>
        <w:autoSpaceDE w:val="0"/>
        <w:autoSpaceDN w:val="0"/>
        <w:adjustRightInd w:val="0"/>
        <w:spacing w:after="240"/>
        <w:ind w:left="1500"/>
        <w:jc w:val="both"/>
        <w:rPr>
          <w:rFonts w:ascii="Arial" w:hAnsi="Arial" w:cs="Arial"/>
          <w:bCs/>
          <w:color w:val="000000"/>
          <w:sz w:val="14"/>
          <w:szCs w:val="20"/>
        </w:rPr>
      </w:pPr>
      <w:r>
        <w:rPr>
          <w:rFonts w:ascii="Arial" w:hAnsi="Arial" w:cs="Arial"/>
          <w:bCs/>
          <w:color w:val="000000"/>
          <w:sz w:val="14"/>
          <w:szCs w:val="20"/>
        </w:rPr>
        <w:t>b) 2-Hydroxy-N-tris(hydroxymethyl)methyl-3-aminopropanesulfonic acid</w:t>
      </w:r>
    </w:p>
    <w:p w:rsidR="00E56500" w:rsidRDefault="00E56500"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14"/>
          <w:szCs w:val="20"/>
        </w:rPr>
        <w:t>c) Bis(2-hydroxyethyl)iminotris(hydroxymethyl)methane</w:t>
      </w:r>
    </w:p>
    <w:p w:rsidR="00E56500" w:rsidRDefault="00E56500"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R1 is position B and SR is in position C</w:t>
      </w:r>
    </w:p>
    <w:p w:rsidR="004760F2" w:rsidRDefault="004760F2"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Shelf life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see expiration date on cobas c pack label</w:t>
      </w:r>
    </w:p>
    <w:p w:rsidR="004760F2" w:rsidRDefault="004760F2" w:rsidP="00E56500">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On-board in use at 10-15</w:t>
      </w:r>
      <w:r>
        <w:rPr>
          <w:rFonts w:ascii="Calibri" w:hAnsi="Calibri" w:cs="Arial"/>
          <w:bCs/>
          <w:color w:val="000000"/>
          <w:sz w:val="20"/>
          <w:szCs w:val="20"/>
        </w:rPr>
        <w:t>°</w:t>
      </w:r>
      <w:r>
        <w:rPr>
          <w:rFonts w:ascii="Arial" w:hAnsi="Arial" w:cs="Arial"/>
          <w:bCs/>
          <w:color w:val="000000"/>
          <w:sz w:val="20"/>
          <w:szCs w:val="20"/>
        </w:rPr>
        <w:t>C</w:t>
      </w:r>
      <w:r>
        <w:rPr>
          <w:rFonts w:ascii="Arial" w:hAnsi="Arial" w:cs="Arial"/>
          <w:bCs/>
          <w:color w:val="000000"/>
          <w:sz w:val="20"/>
          <w:szCs w:val="20"/>
        </w:rPr>
        <w:tab/>
        <w:t>12 weeks</w:t>
      </w:r>
    </w:p>
    <w:p w:rsidR="004760F2" w:rsidRDefault="004760F2" w:rsidP="004760F2">
      <w:pPr>
        <w:autoSpaceDE w:val="0"/>
        <w:autoSpaceDN w:val="0"/>
        <w:adjustRightInd w:val="0"/>
        <w:spacing w:after="240"/>
        <w:ind w:firstLine="720"/>
        <w:jc w:val="both"/>
        <w:rPr>
          <w:rFonts w:ascii="Arial" w:hAnsi="Arial" w:cs="Arial"/>
          <w:bCs/>
          <w:color w:val="000000"/>
          <w:sz w:val="20"/>
          <w:szCs w:val="20"/>
        </w:rPr>
      </w:pPr>
      <w:r>
        <w:rPr>
          <w:rFonts w:ascii="Arial" w:hAnsi="Arial" w:cs="Arial"/>
          <w:bCs/>
          <w:color w:val="000000"/>
          <w:sz w:val="20"/>
          <w:szCs w:val="20"/>
        </w:rPr>
        <w:t xml:space="preserve">D. </w:t>
      </w:r>
      <w:r>
        <w:rPr>
          <w:rFonts w:ascii="Arial" w:hAnsi="Arial" w:cs="Arial"/>
          <w:bCs/>
          <w:color w:val="000000"/>
          <w:sz w:val="20"/>
          <w:szCs w:val="20"/>
        </w:rPr>
        <w:tab/>
      </w:r>
      <w:r w:rsidR="009B28ED">
        <w:rPr>
          <w:rFonts w:ascii="Arial" w:hAnsi="Arial" w:cs="Arial"/>
          <w:bCs/>
          <w:color w:val="000000"/>
          <w:sz w:val="20"/>
          <w:szCs w:val="20"/>
        </w:rPr>
        <w:t>Calibrator</w:t>
      </w:r>
    </w:p>
    <w:p w:rsidR="009B28ED" w:rsidRPr="00E46A0F" w:rsidRDefault="009B28ED" w:rsidP="009B28ED">
      <w:pPr>
        <w:pStyle w:val="NcclsPara"/>
        <w:ind w:left="1440"/>
        <w:rPr>
          <w:rFonts w:asciiTheme="minorHAnsi" w:hAnsiTheme="minorHAnsi"/>
        </w:rPr>
      </w:pPr>
      <w:r w:rsidRPr="00E46A0F">
        <w:rPr>
          <w:rFonts w:asciiTheme="minorHAnsi" w:hAnsiTheme="minorHAnsi"/>
        </w:rPr>
        <w:t>Calibrator</w:t>
      </w:r>
      <w:r w:rsidRPr="00E46A0F">
        <w:rPr>
          <w:rFonts w:asciiTheme="minorHAnsi" w:hAnsiTheme="minorHAnsi"/>
        </w:rPr>
        <w:tab/>
      </w:r>
      <w:r>
        <w:rPr>
          <w:rFonts w:asciiTheme="minorHAnsi" w:hAnsiTheme="minorHAnsi"/>
        </w:rPr>
        <w:tab/>
        <w:t>C.</w:t>
      </w:r>
      <w:r w:rsidRPr="00E46A0F">
        <w:rPr>
          <w:rFonts w:asciiTheme="minorHAnsi" w:hAnsiTheme="minorHAnsi"/>
        </w:rPr>
        <w:t>f.a.s.</w:t>
      </w:r>
      <w:r>
        <w:rPr>
          <w:rFonts w:asciiTheme="minorHAnsi" w:hAnsiTheme="minorHAnsi"/>
        </w:rPr>
        <w:t xml:space="preserve"> Lipids</w:t>
      </w:r>
    </w:p>
    <w:p w:rsidR="009B28ED" w:rsidRPr="00E46A0F" w:rsidRDefault="009B28ED" w:rsidP="009B28ED">
      <w:pPr>
        <w:pStyle w:val="NcclsPara"/>
        <w:ind w:left="1440"/>
        <w:rPr>
          <w:rFonts w:asciiTheme="minorHAnsi" w:hAnsiTheme="minorHAnsi"/>
        </w:rPr>
      </w:pPr>
      <w:r w:rsidRPr="00E46A0F">
        <w:rPr>
          <w:rFonts w:asciiTheme="minorHAnsi" w:hAnsiTheme="minorHAnsi"/>
        </w:rPr>
        <w:tab/>
      </w:r>
      <w:r>
        <w:rPr>
          <w:rFonts w:asciiTheme="minorHAnsi" w:hAnsiTheme="minorHAnsi"/>
        </w:rPr>
        <w:tab/>
      </w:r>
      <w:r>
        <w:rPr>
          <w:rFonts w:asciiTheme="minorHAnsi" w:hAnsiTheme="minorHAnsi"/>
        </w:rPr>
        <w:tab/>
      </w:r>
      <w:r w:rsidRPr="00E46A0F">
        <w:rPr>
          <w:rFonts w:asciiTheme="minorHAnsi" w:hAnsiTheme="minorHAnsi"/>
        </w:rPr>
        <w:t>Use deionized water as zero calibrator.</w:t>
      </w:r>
    </w:p>
    <w:p w:rsidR="009B28ED" w:rsidRPr="00E46A0F" w:rsidRDefault="009B28ED" w:rsidP="009B28ED">
      <w:pPr>
        <w:pStyle w:val="NcclsPara"/>
        <w:ind w:left="1440"/>
        <w:rPr>
          <w:rFonts w:asciiTheme="minorHAnsi" w:hAnsiTheme="minorHAnsi"/>
        </w:rPr>
      </w:pPr>
      <w:r w:rsidRPr="00E46A0F">
        <w:rPr>
          <w:rFonts w:asciiTheme="minorHAnsi" w:hAnsiTheme="minorHAnsi"/>
        </w:rPr>
        <w:t>Calibration mode</w:t>
      </w:r>
      <w:r w:rsidRPr="00E46A0F">
        <w:rPr>
          <w:rFonts w:asciiTheme="minorHAnsi" w:hAnsiTheme="minorHAnsi"/>
        </w:rPr>
        <w:tab/>
        <w:t>Linear regression</w:t>
      </w:r>
    </w:p>
    <w:p w:rsidR="009B28ED" w:rsidRPr="00E46A0F" w:rsidRDefault="009B28ED" w:rsidP="009B28ED">
      <w:pPr>
        <w:pStyle w:val="NcclsPara"/>
        <w:ind w:left="1440"/>
        <w:rPr>
          <w:rFonts w:asciiTheme="minorHAnsi" w:hAnsiTheme="minorHAnsi"/>
        </w:rPr>
      </w:pPr>
      <w:r w:rsidRPr="00E46A0F">
        <w:rPr>
          <w:rFonts w:asciiTheme="minorHAnsi" w:hAnsiTheme="minorHAnsi"/>
        </w:rPr>
        <w:t>Calibration replicate</w:t>
      </w:r>
      <w:r w:rsidRPr="00E46A0F">
        <w:rPr>
          <w:rFonts w:asciiTheme="minorHAnsi" w:hAnsiTheme="minorHAnsi"/>
        </w:rPr>
        <w:tab/>
        <w:t>Duplicate recommended</w:t>
      </w:r>
    </w:p>
    <w:p w:rsidR="009B28ED" w:rsidRDefault="009B28ED" w:rsidP="009B28ED">
      <w:pPr>
        <w:pStyle w:val="NcclsPara"/>
        <w:ind w:left="3600" w:hanging="2160"/>
        <w:rPr>
          <w:rFonts w:asciiTheme="minorHAnsi" w:hAnsiTheme="minorHAnsi"/>
        </w:rPr>
      </w:pPr>
      <w:r w:rsidRPr="00E46A0F">
        <w:rPr>
          <w:rFonts w:asciiTheme="minorHAnsi" w:hAnsiTheme="minorHAnsi"/>
        </w:rPr>
        <w:t>Calibration interval</w:t>
      </w:r>
      <w:r w:rsidRPr="00E46A0F">
        <w:rPr>
          <w:rFonts w:asciiTheme="minorHAnsi" w:hAnsiTheme="minorHAnsi"/>
        </w:rPr>
        <w:tab/>
        <w:t>Each lot and as required foll</w:t>
      </w:r>
      <w:r>
        <w:rPr>
          <w:rFonts w:asciiTheme="minorHAnsi" w:hAnsiTheme="minorHAnsi"/>
        </w:rPr>
        <w:t>owing quality control procedures</w:t>
      </w:r>
    </w:p>
    <w:p w:rsidR="009B28ED" w:rsidRDefault="009B28ED" w:rsidP="009B28ED">
      <w:pPr>
        <w:pStyle w:val="NcclsPara"/>
        <w:ind w:left="3600" w:hanging="2160"/>
        <w:rPr>
          <w:rFonts w:asciiTheme="minorHAnsi" w:hAnsiTheme="minorHAnsi"/>
        </w:rPr>
      </w:pPr>
    </w:p>
    <w:p w:rsidR="009B28ED" w:rsidRDefault="009B28ED" w:rsidP="009B28ED">
      <w:pPr>
        <w:pStyle w:val="NcclsPara"/>
        <w:ind w:left="1440"/>
        <w:rPr>
          <w:rFonts w:asciiTheme="minorHAnsi" w:hAnsiTheme="minorHAnsi"/>
        </w:rPr>
      </w:pPr>
      <w:r w:rsidRPr="00E46A0F">
        <w:rPr>
          <w:rFonts w:asciiTheme="minorHAnsi" w:hAnsiTheme="minorHAnsi"/>
        </w:rPr>
        <w:t xml:space="preserve">Traceability: This method has been standardized against the </w:t>
      </w:r>
      <w:r>
        <w:rPr>
          <w:rFonts w:asciiTheme="minorHAnsi" w:hAnsiTheme="minorHAnsi"/>
        </w:rPr>
        <w:t>CDC reference method (ultracentrifugation method)</w:t>
      </w:r>
      <w:r>
        <w:rPr>
          <w:rFonts w:asciiTheme="minorHAnsi" w:hAnsiTheme="minorHAnsi"/>
          <w:vertAlign w:val="superscript"/>
        </w:rPr>
        <w:t>5</w:t>
      </w:r>
      <w:r>
        <w:rPr>
          <w:rFonts w:asciiTheme="minorHAnsi" w:hAnsiTheme="minorHAnsi"/>
        </w:rPr>
        <w:t xml:space="preserve">  The standardization meets the requirements of the “HDL Cholesterol Method Evaluation Protocol for Manufacturers” of the US National Reference System for Cholesterol, CRMLN (Cholesterol Reference Method Laboratory Network), November 1994</w:t>
      </w:r>
      <w:r>
        <w:rPr>
          <w:rFonts w:asciiTheme="minorHAnsi" w:hAnsiTheme="minorHAnsi"/>
          <w:vertAlign w:val="superscript"/>
        </w:rPr>
        <w:t>9</w:t>
      </w:r>
    </w:p>
    <w:p w:rsidR="009B28ED" w:rsidRPr="009B28ED" w:rsidRDefault="009B28ED" w:rsidP="009B28ED">
      <w:pPr>
        <w:pStyle w:val="NcclsPara"/>
        <w:ind w:left="1440"/>
        <w:rPr>
          <w:rFonts w:asciiTheme="minorHAnsi" w:hAnsiTheme="minorHAnsi"/>
        </w:rPr>
      </w:pPr>
      <w:r>
        <w:rPr>
          <w:rFonts w:asciiTheme="minorHAnsi" w:hAnsiTheme="minorHAnsi"/>
        </w:rPr>
        <w:t xml:space="preserve"> </w:t>
      </w:r>
    </w:p>
    <w:p w:rsidR="00E97BA6" w:rsidRPr="00E97BA6" w:rsidRDefault="009E5958" w:rsidP="00E97BA6">
      <w:pPr>
        <w:numPr>
          <w:ilvl w:val="0"/>
          <w:numId w:val="15"/>
        </w:numPr>
        <w:autoSpaceDE w:val="0"/>
        <w:autoSpaceDN w:val="0"/>
        <w:adjustRightInd w:val="0"/>
        <w:spacing w:after="240"/>
        <w:ind w:hanging="1282"/>
        <w:jc w:val="both"/>
        <w:rPr>
          <w:rFonts w:ascii="Arial" w:hAnsi="Arial" w:cs="Arial"/>
          <w:b/>
          <w:bCs/>
          <w:color w:val="000000"/>
          <w:sz w:val="20"/>
          <w:szCs w:val="20"/>
        </w:rPr>
      </w:pPr>
      <w:r w:rsidRPr="007C1D50">
        <w:rPr>
          <w:rFonts w:ascii="Arial" w:hAnsi="Arial" w:cs="Arial"/>
          <w:b/>
          <w:bCs/>
          <w:color w:val="000000"/>
          <w:sz w:val="20"/>
          <w:szCs w:val="20"/>
        </w:rPr>
        <w:t xml:space="preserve">PROCEDURE </w:t>
      </w:r>
    </w:p>
    <w:p w:rsidR="009B28ED" w:rsidRDefault="009B28ED" w:rsidP="009B28ED">
      <w:pPr>
        <w:pStyle w:val="ListParagraph"/>
        <w:ind w:left="1282"/>
      </w:pPr>
      <w:r>
        <w:t>Refer to general Integra 400 PLUS analyzer operating procedure SW.CP.GL.lab.0101</w:t>
      </w:r>
    </w:p>
    <w:p w:rsidR="009B28ED" w:rsidRDefault="009B28ED" w:rsidP="009B28ED">
      <w:pPr>
        <w:pStyle w:val="NoSpacing"/>
        <w:ind w:left="1282"/>
      </w:pPr>
      <w:r>
        <w:t>Test Definition:</w:t>
      </w:r>
    </w:p>
    <w:p w:rsidR="009B28ED" w:rsidRDefault="009B28ED" w:rsidP="009B28ED">
      <w:pPr>
        <w:pStyle w:val="NoSpacing"/>
        <w:ind w:left="1282"/>
      </w:pPr>
    </w:p>
    <w:tbl>
      <w:tblPr>
        <w:tblW w:w="2632" w:type="pct"/>
        <w:jc w:val="center"/>
        <w:tblLook w:val="0000" w:firstRow="0" w:lastRow="0" w:firstColumn="0" w:lastColumn="0" w:noHBand="0" w:noVBand="0"/>
      </w:tblPr>
      <w:tblGrid>
        <w:gridCol w:w="2999"/>
        <w:gridCol w:w="1739"/>
      </w:tblGrid>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Measuring mode</w:t>
            </w:r>
          </w:p>
        </w:tc>
        <w:tc>
          <w:tcPr>
            <w:tcW w:w="1835" w:type="pct"/>
          </w:tcPr>
          <w:p w:rsidR="009B28ED" w:rsidRPr="004F29CE" w:rsidRDefault="009B28ED" w:rsidP="00B0638D">
            <w:pPr>
              <w:contextualSpacing/>
              <w:rPr>
                <w:snapToGrid w:val="0"/>
              </w:rPr>
            </w:pPr>
            <w:r w:rsidRPr="004F29CE">
              <w:rPr>
                <w:snapToGrid w:val="0"/>
              </w:rPr>
              <w:t>Absorbance</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lastRenderedPageBreak/>
              <w:t>Abs. calculation mode</w:t>
            </w:r>
          </w:p>
        </w:tc>
        <w:tc>
          <w:tcPr>
            <w:tcW w:w="1835" w:type="pct"/>
          </w:tcPr>
          <w:p w:rsidR="009B28ED" w:rsidRPr="004F29CE" w:rsidRDefault="009B28ED" w:rsidP="00B0638D">
            <w:pPr>
              <w:contextualSpacing/>
              <w:rPr>
                <w:snapToGrid w:val="0"/>
              </w:rPr>
            </w:pPr>
            <w:r>
              <w:rPr>
                <w:snapToGrid w:val="0"/>
              </w:rPr>
              <w:t>Endpoint</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Reaction mode</w:t>
            </w:r>
          </w:p>
        </w:tc>
        <w:tc>
          <w:tcPr>
            <w:tcW w:w="1835" w:type="pct"/>
          </w:tcPr>
          <w:p w:rsidR="009B28ED" w:rsidRPr="004F29CE" w:rsidRDefault="009B28ED" w:rsidP="009B28ED">
            <w:pPr>
              <w:contextualSpacing/>
              <w:rPr>
                <w:snapToGrid w:val="0"/>
              </w:rPr>
            </w:pPr>
            <w:r w:rsidRPr="004F29CE">
              <w:rPr>
                <w:snapToGrid w:val="0"/>
              </w:rPr>
              <w:t>R1-S-SR</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Reaction direction</w:t>
            </w:r>
          </w:p>
        </w:tc>
        <w:tc>
          <w:tcPr>
            <w:tcW w:w="1835" w:type="pct"/>
          </w:tcPr>
          <w:p w:rsidR="009B28ED" w:rsidRPr="004F29CE" w:rsidRDefault="009B28ED" w:rsidP="00B0638D">
            <w:pPr>
              <w:contextualSpacing/>
              <w:rPr>
                <w:snapToGrid w:val="0"/>
              </w:rPr>
            </w:pPr>
            <w:r>
              <w:rPr>
                <w:snapToGrid w:val="0"/>
              </w:rPr>
              <w:t>Increase</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Wavelength A/B</w:t>
            </w:r>
          </w:p>
        </w:tc>
        <w:tc>
          <w:tcPr>
            <w:tcW w:w="1835" w:type="pct"/>
          </w:tcPr>
          <w:p w:rsidR="009B28ED" w:rsidRPr="004F29CE" w:rsidRDefault="009B28ED" w:rsidP="00B0638D">
            <w:pPr>
              <w:contextualSpacing/>
              <w:rPr>
                <w:snapToGrid w:val="0"/>
              </w:rPr>
            </w:pPr>
            <w:r>
              <w:rPr>
                <w:snapToGrid w:val="0"/>
              </w:rPr>
              <w:t>583/800</w:t>
            </w:r>
            <w:r w:rsidRPr="004F29CE">
              <w:rPr>
                <w:snapToGrid w:val="0"/>
              </w:rPr>
              <w:t xml:space="preserve"> nm</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Calc. first/last</w:t>
            </w:r>
          </w:p>
        </w:tc>
        <w:tc>
          <w:tcPr>
            <w:tcW w:w="1835" w:type="pct"/>
          </w:tcPr>
          <w:p w:rsidR="009B28ED" w:rsidRPr="004F29CE" w:rsidRDefault="009B28ED" w:rsidP="00B0638D">
            <w:pPr>
              <w:contextualSpacing/>
              <w:rPr>
                <w:snapToGrid w:val="0"/>
              </w:rPr>
            </w:pPr>
            <w:r>
              <w:rPr>
                <w:snapToGrid w:val="0"/>
              </w:rPr>
              <w:t>33</w:t>
            </w:r>
            <w:r w:rsidRPr="004F29CE">
              <w:rPr>
                <w:snapToGrid w:val="0"/>
              </w:rPr>
              <w:t>/6</w:t>
            </w:r>
            <w:r>
              <w:rPr>
                <w:snapToGrid w:val="0"/>
              </w:rPr>
              <w:t>9</w:t>
            </w:r>
          </w:p>
        </w:tc>
      </w:tr>
      <w:tr w:rsidR="009B28ED" w:rsidRPr="004F29CE" w:rsidTr="00B0638D">
        <w:trPr>
          <w:cantSplit/>
          <w:jc w:val="center"/>
        </w:trPr>
        <w:tc>
          <w:tcPr>
            <w:tcW w:w="3165" w:type="pct"/>
          </w:tcPr>
          <w:p w:rsidR="009B28ED" w:rsidRPr="004F29CE" w:rsidRDefault="009B28ED" w:rsidP="00B0638D">
            <w:pPr>
              <w:contextualSpacing/>
              <w:rPr>
                <w:snapToGrid w:val="0"/>
              </w:rPr>
            </w:pPr>
            <w:r w:rsidRPr="004F29CE">
              <w:rPr>
                <w:snapToGrid w:val="0"/>
              </w:rPr>
              <w:t>Unit</w:t>
            </w:r>
          </w:p>
        </w:tc>
        <w:tc>
          <w:tcPr>
            <w:tcW w:w="1835" w:type="pct"/>
          </w:tcPr>
          <w:p w:rsidR="009B28ED" w:rsidRPr="004F29CE" w:rsidRDefault="009B28ED" w:rsidP="00B0638D">
            <w:pPr>
              <w:contextualSpacing/>
              <w:rPr>
                <w:snapToGrid w:val="0"/>
              </w:rPr>
            </w:pPr>
            <w:r>
              <w:rPr>
                <w:snapToGrid w:val="0"/>
              </w:rPr>
              <w:t>mmol/L</w:t>
            </w:r>
          </w:p>
        </w:tc>
      </w:tr>
    </w:tbl>
    <w:p w:rsidR="009B28ED" w:rsidRDefault="009B28ED" w:rsidP="009B28ED">
      <w:pPr>
        <w:pStyle w:val="ListParagraph"/>
        <w:ind w:left="1282"/>
      </w:pPr>
    </w:p>
    <w:p w:rsidR="009B28ED" w:rsidRDefault="009B28ED" w:rsidP="009B28ED">
      <w:pPr>
        <w:pStyle w:val="ListParagraph"/>
        <w:ind w:left="1282"/>
      </w:pPr>
      <w:r>
        <w:t>Pipetting Parameters:</w:t>
      </w:r>
    </w:p>
    <w:tbl>
      <w:tblPr>
        <w:tblW w:w="2773" w:type="pct"/>
        <w:jc w:val="center"/>
        <w:tblLook w:val="0000" w:firstRow="0" w:lastRow="0" w:firstColumn="0" w:lastColumn="0" w:noHBand="0" w:noVBand="0"/>
      </w:tblPr>
      <w:tblGrid>
        <w:gridCol w:w="2220"/>
        <w:gridCol w:w="1284"/>
        <w:gridCol w:w="1487"/>
      </w:tblGrid>
      <w:tr w:rsidR="009B28ED" w:rsidRPr="004F29CE" w:rsidTr="009B28ED">
        <w:trPr>
          <w:cantSplit/>
          <w:jc w:val="center"/>
        </w:trPr>
        <w:tc>
          <w:tcPr>
            <w:tcW w:w="2224" w:type="pct"/>
          </w:tcPr>
          <w:p w:rsidR="009B28ED" w:rsidRPr="004F29CE" w:rsidRDefault="009B28ED" w:rsidP="00B0638D">
            <w:pPr>
              <w:rPr>
                <w:szCs w:val="20"/>
              </w:rPr>
            </w:pPr>
          </w:p>
        </w:tc>
        <w:tc>
          <w:tcPr>
            <w:tcW w:w="1286" w:type="pct"/>
          </w:tcPr>
          <w:p w:rsidR="009B28ED" w:rsidRPr="004F29CE" w:rsidRDefault="009B28ED" w:rsidP="00B0638D">
            <w:pPr>
              <w:jc w:val="right"/>
              <w:rPr>
                <w:szCs w:val="20"/>
              </w:rPr>
            </w:pPr>
          </w:p>
        </w:tc>
        <w:tc>
          <w:tcPr>
            <w:tcW w:w="1490" w:type="pct"/>
          </w:tcPr>
          <w:p w:rsidR="009B28ED" w:rsidRPr="004F29CE" w:rsidRDefault="009B28ED" w:rsidP="00B0638D">
            <w:pPr>
              <w:contextualSpacing/>
              <w:jc w:val="center"/>
              <w:rPr>
                <w:snapToGrid w:val="0"/>
              </w:rPr>
            </w:pPr>
            <w:r w:rsidRPr="004F29CE">
              <w:rPr>
                <w:snapToGrid w:val="0"/>
              </w:rPr>
              <w:t>Diluent (H</w:t>
            </w:r>
            <w:r w:rsidRPr="004F29CE">
              <w:rPr>
                <w:snapToGrid w:val="0"/>
                <w:vertAlign w:val="subscript"/>
              </w:rPr>
              <w:t>2</w:t>
            </w:r>
            <w:r w:rsidRPr="004F29CE">
              <w:rPr>
                <w:snapToGrid w:val="0"/>
              </w:rPr>
              <w:t>O)</w:t>
            </w: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R1</w:t>
            </w:r>
          </w:p>
        </w:tc>
        <w:tc>
          <w:tcPr>
            <w:tcW w:w="1286" w:type="pct"/>
          </w:tcPr>
          <w:p w:rsidR="009B28ED" w:rsidRPr="004F29CE" w:rsidRDefault="009B28ED" w:rsidP="00B0638D">
            <w:pPr>
              <w:contextualSpacing/>
              <w:jc w:val="right"/>
              <w:rPr>
                <w:snapToGrid w:val="0"/>
              </w:rPr>
            </w:pPr>
            <w:r>
              <w:rPr>
                <w:snapToGrid w:val="0"/>
              </w:rPr>
              <w:t>120</w:t>
            </w:r>
            <w:r w:rsidRPr="004F29CE">
              <w:rPr>
                <w:snapToGrid w:val="0"/>
              </w:rPr>
              <w:t xml:space="preserve"> µL</w:t>
            </w:r>
          </w:p>
        </w:tc>
        <w:tc>
          <w:tcPr>
            <w:tcW w:w="1490" w:type="pct"/>
          </w:tcPr>
          <w:p w:rsidR="009B28ED" w:rsidRPr="004F29CE" w:rsidRDefault="009B28ED" w:rsidP="00B0638D">
            <w:pPr>
              <w:contextualSpacing/>
              <w:jc w:val="center"/>
              <w:rPr>
                <w:snapToGrid w:val="0"/>
              </w:rPr>
            </w:pP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Sample</w:t>
            </w:r>
          </w:p>
        </w:tc>
        <w:tc>
          <w:tcPr>
            <w:tcW w:w="1286" w:type="pct"/>
          </w:tcPr>
          <w:p w:rsidR="009B28ED" w:rsidRPr="004F29CE" w:rsidRDefault="009B28ED" w:rsidP="00B0638D">
            <w:pPr>
              <w:contextualSpacing/>
              <w:jc w:val="right"/>
              <w:rPr>
                <w:snapToGrid w:val="0"/>
              </w:rPr>
            </w:pPr>
            <w:r>
              <w:rPr>
                <w:snapToGrid w:val="0"/>
              </w:rPr>
              <w:t>2.5</w:t>
            </w:r>
            <w:r w:rsidRPr="004F29CE">
              <w:rPr>
                <w:snapToGrid w:val="0"/>
              </w:rPr>
              <w:t xml:space="preserve"> µL</w:t>
            </w:r>
          </w:p>
        </w:tc>
        <w:tc>
          <w:tcPr>
            <w:tcW w:w="1490" w:type="pct"/>
          </w:tcPr>
          <w:p w:rsidR="009B28ED" w:rsidRPr="004F29CE" w:rsidRDefault="009B28ED" w:rsidP="00B0638D">
            <w:pPr>
              <w:contextualSpacing/>
              <w:jc w:val="center"/>
              <w:rPr>
                <w:snapToGrid w:val="0"/>
              </w:rPr>
            </w:pPr>
            <w:r>
              <w:rPr>
                <w:snapToGrid w:val="0"/>
              </w:rPr>
              <w:t>7</w:t>
            </w:r>
            <w:r w:rsidRPr="004F29CE">
              <w:rPr>
                <w:snapToGrid w:val="0"/>
              </w:rPr>
              <w:t xml:space="preserve"> µL</w:t>
            </w: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SR</w:t>
            </w:r>
          </w:p>
        </w:tc>
        <w:tc>
          <w:tcPr>
            <w:tcW w:w="1286" w:type="pct"/>
          </w:tcPr>
          <w:p w:rsidR="009B28ED" w:rsidRPr="004F29CE" w:rsidRDefault="009B28ED" w:rsidP="00B0638D">
            <w:pPr>
              <w:contextualSpacing/>
              <w:jc w:val="right"/>
              <w:rPr>
                <w:snapToGrid w:val="0"/>
              </w:rPr>
            </w:pPr>
            <w:r>
              <w:rPr>
                <w:snapToGrid w:val="0"/>
              </w:rPr>
              <w:t>40</w:t>
            </w:r>
            <w:r w:rsidRPr="004F29CE">
              <w:rPr>
                <w:snapToGrid w:val="0"/>
              </w:rPr>
              <w:t xml:space="preserve"> µL</w:t>
            </w:r>
          </w:p>
        </w:tc>
        <w:tc>
          <w:tcPr>
            <w:tcW w:w="1490" w:type="pct"/>
          </w:tcPr>
          <w:p w:rsidR="009B28ED" w:rsidRPr="004F29CE" w:rsidRDefault="009B28ED" w:rsidP="00B0638D">
            <w:pPr>
              <w:contextualSpacing/>
              <w:jc w:val="center"/>
              <w:rPr>
                <w:snapToGrid w:val="0"/>
              </w:rPr>
            </w:pPr>
          </w:p>
        </w:tc>
      </w:tr>
      <w:tr w:rsidR="009B28ED" w:rsidRPr="004F29CE" w:rsidTr="009B28ED">
        <w:trPr>
          <w:cantSplit/>
          <w:jc w:val="center"/>
        </w:trPr>
        <w:tc>
          <w:tcPr>
            <w:tcW w:w="2224" w:type="pct"/>
          </w:tcPr>
          <w:p w:rsidR="009B28ED" w:rsidRPr="004F29CE" w:rsidRDefault="009B28ED" w:rsidP="00B0638D">
            <w:pPr>
              <w:contextualSpacing/>
              <w:rPr>
                <w:snapToGrid w:val="0"/>
              </w:rPr>
            </w:pPr>
            <w:r w:rsidRPr="004F29CE">
              <w:rPr>
                <w:snapToGrid w:val="0"/>
              </w:rPr>
              <w:t>Total volume</w:t>
            </w:r>
          </w:p>
        </w:tc>
        <w:tc>
          <w:tcPr>
            <w:tcW w:w="1286" w:type="pct"/>
          </w:tcPr>
          <w:p w:rsidR="009B28ED" w:rsidRPr="004F29CE" w:rsidRDefault="009B28ED" w:rsidP="00B0638D">
            <w:pPr>
              <w:contextualSpacing/>
              <w:jc w:val="right"/>
              <w:rPr>
                <w:snapToGrid w:val="0"/>
              </w:rPr>
            </w:pPr>
            <w:r>
              <w:rPr>
                <w:snapToGrid w:val="0"/>
              </w:rPr>
              <w:t>169.5</w:t>
            </w:r>
            <w:r w:rsidRPr="004F29CE">
              <w:rPr>
                <w:snapToGrid w:val="0"/>
              </w:rPr>
              <w:t xml:space="preserve"> µL</w:t>
            </w:r>
          </w:p>
        </w:tc>
        <w:tc>
          <w:tcPr>
            <w:tcW w:w="1490" w:type="pct"/>
          </w:tcPr>
          <w:p w:rsidR="009B28ED" w:rsidRPr="004F29CE" w:rsidRDefault="009B28ED" w:rsidP="00B0638D">
            <w:pPr>
              <w:jc w:val="center"/>
              <w:rPr>
                <w:szCs w:val="20"/>
              </w:rPr>
            </w:pPr>
          </w:p>
        </w:tc>
      </w:tr>
    </w:tbl>
    <w:p w:rsidR="009E5958" w:rsidRPr="007C1D50" w:rsidRDefault="009E5958" w:rsidP="009B28ED">
      <w:pPr>
        <w:autoSpaceDE w:val="0"/>
        <w:autoSpaceDN w:val="0"/>
        <w:adjustRightInd w:val="0"/>
        <w:spacing w:after="240"/>
        <w:ind w:left="1282"/>
        <w:jc w:val="both"/>
        <w:rPr>
          <w:rFonts w:ascii="Arial" w:hAnsi="Arial" w:cs="Arial"/>
          <w:b/>
          <w:bCs/>
          <w:color w:val="000000"/>
          <w:sz w:val="20"/>
          <w:szCs w:val="20"/>
        </w:rPr>
      </w:pPr>
    </w:p>
    <w:p w:rsidR="009E5958" w:rsidRPr="007C1D50" w:rsidRDefault="00C47BB6" w:rsidP="00E97BA6">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IX.</w:t>
      </w:r>
      <w:r w:rsidRPr="007C1D50">
        <w:rPr>
          <w:rFonts w:ascii="Arial" w:hAnsi="Arial" w:cs="Arial"/>
          <w:b/>
          <w:bCs/>
          <w:color w:val="000000"/>
          <w:sz w:val="20"/>
          <w:szCs w:val="20"/>
        </w:rPr>
        <w:tab/>
        <w:t>LIMITATIONS</w:t>
      </w:r>
    </w:p>
    <w:p w:rsidR="009B28ED" w:rsidRDefault="009B28ED" w:rsidP="009B28ED">
      <w:pPr>
        <w:pStyle w:val="NoSpacing"/>
        <w:ind w:left="2160" w:hanging="990"/>
      </w:pPr>
      <w:r>
        <w:t>Drugs:</w:t>
      </w:r>
      <w:r>
        <w:tab/>
        <w:t xml:space="preserve">No interference was found at therapeutic concentrations using common drug panels. </w:t>
      </w:r>
      <w:r w:rsidRPr="004F29CE">
        <w:rPr>
          <w:vertAlign w:val="superscript"/>
        </w:rPr>
        <w:t>9,10</w:t>
      </w:r>
    </w:p>
    <w:p w:rsidR="009B28ED" w:rsidRDefault="009B28ED" w:rsidP="009B28ED">
      <w:pPr>
        <w:pStyle w:val="NoSpacing"/>
        <w:ind w:left="1170"/>
      </w:pPr>
    </w:p>
    <w:p w:rsidR="009B28ED" w:rsidRDefault="00E35AAC" w:rsidP="009B28ED">
      <w:pPr>
        <w:pStyle w:val="NoSpacing"/>
        <w:ind w:left="1170"/>
      </w:pPr>
      <w:r>
        <w:t>Statins (Simvastatin) and fibrates (Bezafibrate) tested at therapeutic concentration ranges did not interfere.</w:t>
      </w:r>
    </w:p>
    <w:p w:rsidR="00E35AAC" w:rsidRDefault="00E35AAC" w:rsidP="009B28ED">
      <w:pPr>
        <w:pStyle w:val="NoSpacing"/>
        <w:ind w:left="1170"/>
      </w:pPr>
      <w:r>
        <w:t xml:space="preserve">N-acetylcysteine: No </w:t>
      </w:r>
      <w:r w:rsidR="00B06D2A">
        <w:t>significant</w:t>
      </w:r>
      <w:r>
        <w:t xml:space="preserve"> interference up to a N-acetylcysteine concentration of 450 mg/L (2.76 mm/L).</w:t>
      </w:r>
    </w:p>
    <w:p w:rsidR="00E35AAC" w:rsidRDefault="00E35AAC" w:rsidP="009B28ED">
      <w:pPr>
        <w:pStyle w:val="NoSpacing"/>
        <w:ind w:left="1170"/>
      </w:pPr>
      <w:r>
        <w:t>Acetaminophen intoxications are frequently treated with N-acetylcysteine.  N-acetylcysteine at therapeutic concentration when used as an antidote and the acetaminophen metabolite N-acetyl-p-benzoquinone imine (NAPQI) independently may cause falsely low HDL-cholesterol results.</w:t>
      </w:r>
    </w:p>
    <w:p w:rsidR="00E35AAC" w:rsidRDefault="00E35AAC" w:rsidP="009B28ED">
      <w:pPr>
        <w:pStyle w:val="NoSpacing"/>
        <w:ind w:left="1170"/>
      </w:pPr>
      <w:r>
        <w:t>Metamizole: Venipuncture should be performed prior to the administration of metamizole. Venipuncture immediately after or during the administration of metamizole may lead to falsely low results.</w:t>
      </w:r>
    </w:p>
    <w:p w:rsidR="009B28ED" w:rsidRDefault="009B28ED" w:rsidP="009B28ED">
      <w:pPr>
        <w:pStyle w:val="NoSpacing"/>
        <w:ind w:left="1170"/>
      </w:pPr>
    </w:p>
    <w:p w:rsidR="009B28ED" w:rsidRDefault="009B28ED" w:rsidP="009B28ED">
      <w:pPr>
        <w:pStyle w:val="NoSpacing"/>
        <w:ind w:left="1170"/>
      </w:pPr>
      <w:r>
        <w:t>In very rare cases, gammopathy, in particular type IgM (Waldenström's macroglobulinemia), may cause unreliable results.</w:t>
      </w:r>
      <w:r w:rsidRPr="004F29CE">
        <w:rPr>
          <w:vertAlign w:val="superscript"/>
        </w:rPr>
        <w:t>11</w:t>
      </w:r>
    </w:p>
    <w:p w:rsidR="009B28ED" w:rsidRDefault="009B28ED" w:rsidP="009B28ED">
      <w:pPr>
        <w:pStyle w:val="NoSpacing"/>
        <w:ind w:left="1170"/>
      </w:pPr>
    </w:p>
    <w:p w:rsidR="009B28ED" w:rsidRDefault="009B28ED" w:rsidP="009B28ED">
      <w:pPr>
        <w:pStyle w:val="NoSpacing"/>
        <w:ind w:left="1170"/>
      </w:pPr>
      <w:r w:rsidRPr="00B11BCB">
        <w:t>For diagnostic purposes, the results should always be assessed in conjunction with the patient’s medical history, clinical examination and other findings.</w:t>
      </w:r>
    </w:p>
    <w:p w:rsidR="009B28ED" w:rsidRDefault="009B28ED" w:rsidP="009B28ED">
      <w:pPr>
        <w:pStyle w:val="ListParagraph"/>
        <w:ind w:left="1170"/>
      </w:pPr>
    </w:p>
    <w:p w:rsidR="009B28ED" w:rsidRDefault="009B28ED" w:rsidP="009B28ED">
      <w:pPr>
        <w:pStyle w:val="ListParagraph"/>
        <w:ind w:left="1170"/>
      </w:pPr>
      <w:r>
        <w:t>Refer to SW.CP.GL.jad.0102 for the chart indicating at what Roche H, I, L indice level the test is affected if any.</w:t>
      </w:r>
    </w:p>
    <w:p w:rsidR="009E5958" w:rsidRDefault="00C47BB6" w:rsidP="009B3D18">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w:t>
      </w:r>
      <w:r w:rsidRPr="007C1D50">
        <w:rPr>
          <w:rFonts w:ascii="Arial" w:hAnsi="Arial" w:cs="Arial"/>
          <w:b/>
          <w:bCs/>
          <w:color w:val="000000"/>
          <w:sz w:val="20"/>
          <w:szCs w:val="20"/>
        </w:rPr>
        <w:tab/>
      </w:r>
      <w:r w:rsidR="009E5958" w:rsidRPr="007C1D50">
        <w:rPr>
          <w:rFonts w:ascii="Arial" w:hAnsi="Arial" w:cs="Arial"/>
          <w:b/>
          <w:bCs/>
          <w:color w:val="000000"/>
          <w:sz w:val="20"/>
          <w:szCs w:val="20"/>
        </w:rPr>
        <w:t>CAL</w:t>
      </w:r>
      <w:r w:rsidRPr="007C1D50">
        <w:rPr>
          <w:rFonts w:ascii="Arial" w:hAnsi="Arial" w:cs="Arial"/>
          <w:b/>
          <w:bCs/>
          <w:color w:val="000000"/>
          <w:sz w:val="20"/>
          <w:szCs w:val="20"/>
        </w:rPr>
        <w:t>CULATIONS</w:t>
      </w:r>
    </w:p>
    <w:p w:rsidR="00E35AAC" w:rsidRPr="00601380" w:rsidRDefault="00E35AAC" w:rsidP="00E35AAC">
      <w:pPr>
        <w:ind w:left="720"/>
      </w:pPr>
      <w:r>
        <w:t>COBAS INTEGRA analyzers automatically calculate the analyte concentration of each sample.</w:t>
      </w:r>
    </w:p>
    <w:p w:rsidR="00A97B4F" w:rsidRPr="007C1D50" w:rsidRDefault="00A97B4F" w:rsidP="00A97B4F">
      <w:pPr>
        <w:autoSpaceDE w:val="0"/>
        <w:autoSpaceDN w:val="0"/>
        <w:adjustRightInd w:val="0"/>
        <w:spacing w:after="240"/>
        <w:ind w:left="720"/>
        <w:jc w:val="both"/>
        <w:rPr>
          <w:rFonts w:ascii="Arial" w:hAnsi="Arial" w:cs="Arial"/>
          <w:b/>
          <w:bCs/>
          <w:color w:val="000000"/>
          <w:sz w:val="20"/>
          <w:szCs w:val="20"/>
        </w:rPr>
      </w:pPr>
    </w:p>
    <w:p w:rsidR="00E35AAC" w:rsidRDefault="00E35AAC" w:rsidP="00A97B4F">
      <w:pPr>
        <w:autoSpaceDE w:val="0"/>
        <w:autoSpaceDN w:val="0"/>
        <w:adjustRightInd w:val="0"/>
        <w:spacing w:after="240"/>
        <w:jc w:val="both"/>
        <w:rPr>
          <w:rFonts w:ascii="Arial" w:hAnsi="Arial" w:cs="Arial"/>
          <w:bCs/>
          <w:color w:val="000000"/>
          <w:sz w:val="20"/>
          <w:szCs w:val="20"/>
        </w:rPr>
      </w:pPr>
      <w:r>
        <w:rPr>
          <w:rFonts w:ascii="Arial" w:hAnsi="Arial" w:cs="Arial"/>
          <w:b/>
          <w:bCs/>
          <w:color w:val="000000"/>
          <w:sz w:val="20"/>
          <w:szCs w:val="20"/>
        </w:rPr>
        <w:lastRenderedPageBreak/>
        <w:t xml:space="preserve">XI. </w:t>
      </w:r>
      <w:r>
        <w:rPr>
          <w:rFonts w:ascii="Arial" w:hAnsi="Arial" w:cs="Arial"/>
          <w:b/>
          <w:bCs/>
          <w:color w:val="000000"/>
          <w:sz w:val="20"/>
          <w:szCs w:val="20"/>
        </w:rPr>
        <w:tab/>
        <w:t>MEASURING RANGE AND DILUTIONS</w:t>
      </w:r>
    </w:p>
    <w:p w:rsidR="00E35AAC" w:rsidRDefault="00E35AAC" w:rsidP="00E35AAC">
      <w:pPr>
        <w:pStyle w:val="NcclsPara"/>
        <w:ind w:left="720"/>
        <w:rPr>
          <w:rFonts w:asciiTheme="minorHAnsi" w:hAnsiTheme="minorHAnsi"/>
        </w:rPr>
      </w:pPr>
      <w:r>
        <w:rPr>
          <w:rFonts w:asciiTheme="minorHAnsi" w:hAnsiTheme="minorHAnsi"/>
        </w:rPr>
        <w:t>Refer to the Roche Range Chart for the measuring range and manual dilution guidelines (SW.CP.GL.jad.0104).</w:t>
      </w:r>
    </w:p>
    <w:p w:rsidR="009E5958" w:rsidRDefault="00C47BB6" w:rsidP="00A97B4F">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w:t>
      </w:r>
      <w:r w:rsidR="00E35AAC">
        <w:rPr>
          <w:rFonts w:ascii="Arial" w:hAnsi="Arial" w:cs="Arial"/>
          <w:b/>
          <w:bCs/>
          <w:color w:val="000000"/>
          <w:sz w:val="20"/>
          <w:szCs w:val="20"/>
        </w:rPr>
        <w:t>I.</w:t>
      </w:r>
      <w:r w:rsidRPr="007C1D50">
        <w:rPr>
          <w:rFonts w:ascii="Arial" w:hAnsi="Arial" w:cs="Arial"/>
          <w:b/>
          <w:bCs/>
          <w:color w:val="000000"/>
          <w:sz w:val="20"/>
          <w:szCs w:val="20"/>
        </w:rPr>
        <w:tab/>
        <w:t>INTERPRETATION</w:t>
      </w:r>
    </w:p>
    <w:p w:rsidR="00E35AAC" w:rsidRPr="00E35AAC" w:rsidRDefault="00E35AAC" w:rsidP="00E35AAC">
      <w:pPr>
        <w:ind w:left="720"/>
        <w:rPr>
          <w:b/>
        </w:rPr>
      </w:pPr>
      <w:r w:rsidRPr="002B7602">
        <w:t>Refer to Reference Range guide for age appropriate referen</w:t>
      </w:r>
      <w:r>
        <w:t>ce ranges and critical value levels (SW.CP.GL.jad.0103).</w:t>
      </w:r>
    </w:p>
    <w:p w:rsidR="00A97B4F" w:rsidRPr="007C1D50" w:rsidRDefault="00A97B4F" w:rsidP="00A97B4F">
      <w:pPr>
        <w:autoSpaceDE w:val="0"/>
        <w:autoSpaceDN w:val="0"/>
        <w:adjustRightInd w:val="0"/>
        <w:spacing w:after="240"/>
        <w:ind w:left="720"/>
        <w:jc w:val="both"/>
        <w:rPr>
          <w:rFonts w:ascii="Arial" w:hAnsi="Arial" w:cs="Arial"/>
          <w:b/>
          <w:bCs/>
          <w:color w:val="000000"/>
          <w:sz w:val="20"/>
          <w:szCs w:val="20"/>
        </w:rPr>
      </w:pPr>
    </w:p>
    <w:p w:rsidR="00FC65E2" w:rsidRDefault="00FC65E2" w:rsidP="00A97B4F">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w:t>
      </w:r>
      <w:r w:rsidR="00E35AAC">
        <w:rPr>
          <w:rFonts w:ascii="Arial" w:hAnsi="Arial" w:cs="Arial"/>
          <w:b/>
          <w:bCs/>
          <w:color w:val="000000"/>
          <w:sz w:val="20"/>
          <w:szCs w:val="20"/>
        </w:rPr>
        <w:t>II</w:t>
      </w:r>
      <w:r w:rsidRPr="007C1D50">
        <w:rPr>
          <w:rFonts w:ascii="Arial" w:hAnsi="Arial" w:cs="Arial"/>
          <w:b/>
          <w:bCs/>
          <w:color w:val="000000"/>
          <w:sz w:val="20"/>
          <w:szCs w:val="20"/>
        </w:rPr>
        <w:t>.</w:t>
      </w:r>
      <w:r w:rsidRPr="007C1D50">
        <w:rPr>
          <w:rFonts w:ascii="Arial" w:hAnsi="Arial" w:cs="Arial"/>
          <w:b/>
          <w:bCs/>
          <w:color w:val="000000"/>
          <w:sz w:val="20"/>
          <w:szCs w:val="20"/>
        </w:rPr>
        <w:tab/>
      </w:r>
      <w:r w:rsidR="00C47BB6" w:rsidRPr="007C1D50">
        <w:rPr>
          <w:rFonts w:ascii="Arial" w:hAnsi="Arial" w:cs="Arial"/>
          <w:b/>
          <w:bCs/>
          <w:color w:val="000000"/>
          <w:sz w:val="20"/>
          <w:szCs w:val="20"/>
        </w:rPr>
        <w:t>RESULT REPORTING</w:t>
      </w:r>
    </w:p>
    <w:p w:rsidR="00E35AAC" w:rsidRDefault="00E35AAC" w:rsidP="00E35AAC">
      <w:pPr>
        <w:ind w:left="720"/>
      </w:pPr>
      <w:r>
        <w:t>Results are generally reported via the DI Middleware-refer to procedure SW.CP.GL.lab.0103.</w:t>
      </w:r>
    </w:p>
    <w:p w:rsidR="00A97B4F" w:rsidRPr="00A97B4F" w:rsidRDefault="00A97B4F" w:rsidP="00A97B4F">
      <w:pPr>
        <w:autoSpaceDE w:val="0"/>
        <w:autoSpaceDN w:val="0"/>
        <w:adjustRightInd w:val="0"/>
        <w:spacing w:after="240"/>
        <w:ind w:left="720"/>
        <w:jc w:val="both"/>
        <w:rPr>
          <w:rFonts w:ascii="Arial" w:hAnsi="Arial" w:cs="Arial"/>
          <w:sz w:val="20"/>
        </w:rPr>
      </w:pPr>
    </w:p>
    <w:p w:rsidR="006E681F" w:rsidRPr="007C1D50" w:rsidRDefault="00E35AAC" w:rsidP="0067285E">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XIV</w:t>
      </w:r>
      <w:r w:rsidR="00FC65E2" w:rsidRPr="007C1D50">
        <w:rPr>
          <w:rFonts w:ascii="Arial" w:hAnsi="Arial" w:cs="Arial"/>
          <w:b/>
          <w:bCs/>
          <w:color w:val="000000"/>
          <w:sz w:val="20"/>
          <w:szCs w:val="20"/>
        </w:rPr>
        <w:t>.</w:t>
      </w:r>
      <w:r w:rsidR="00FC65E2" w:rsidRPr="007C1D50">
        <w:rPr>
          <w:rFonts w:ascii="Arial" w:hAnsi="Arial" w:cs="Arial"/>
          <w:b/>
          <w:bCs/>
          <w:color w:val="000000"/>
          <w:sz w:val="20"/>
          <w:szCs w:val="20"/>
        </w:rPr>
        <w:tab/>
        <w:t>TRAINING</w:t>
      </w:r>
    </w:p>
    <w:tbl>
      <w:tblPr>
        <w:tblW w:w="0" w:type="auto"/>
        <w:jc w:val="center"/>
        <w:tblLook w:val="01E0" w:firstRow="1" w:lastRow="1" w:firstColumn="1" w:lastColumn="1" w:noHBand="0" w:noVBand="0"/>
      </w:tblPr>
      <w:tblGrid>
        <w:gridCol w:w="1638"/>
        <w:gridCol w:w="2183"/>
      </w:tblGrid>
      <w:tr w:rsidR="00E35AAC" w:rsidRPr="007C57E2" w:rsidTr="00E35AAC">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b/>
                <w:sz w:val="20"/>
                <w:szCs w:val="20"/>
              </w:rPr>
            </w:pPr>
            <w:r w:rsidRPr="00E35AAC">
              <w:rPr>
                <w:rFonts w:ascii="Arial" w:hAnsi="Arial" w:cs="Arial"/>
                <w:b/>
                <w:sz w:val="20"/>
                <w:szCs w:val="20"/>
              </w:rPr>
              <w:t>Role</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b/>
                <w:sz w:val="20"/>
                <w:szCs w:val="20"/>
              </w:rPr>
            </w:pPr>
            <w:r w:rsidRPr="00E35AAC">
              <w:rPr>
                <w:rFonts w:ascii="Arial" w:hAnsi="Arial" w:cs="Arial"/>
                <w:b/>
                <w:sz w:val="20"/>
                <w:szCs w:val="20"/>
              </w:rPr>
              <w:t>Training Needed</w:t>
            </w:r>
          </w:p>
        </w:tc>
      </w:tr>
      <w:tr w:rsidR="00E35AAC" w:rsidRPr="00E35AAC" w:rsidTr="00E35AAC">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Management</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Read procedure</w:t>
            </w:r>
          </w:p>
        </w:tc>
      </w:tr>
      <w:tr w:rsidR="00E35AAC" w:rsidRPr="00E35AAC" w:rsidTr="00E35AAC">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Employees</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35AAC" w:rsidRPr="00E35AAC" w:rsidRDefault="00E35AAC" w:rsidP="00B0638D">
            <w:pPr>
              <w:rPr>
                <w:rFonts w:ascii="Arial" w:hAnsi="Arial" w:cs="Arial"/>
                <w:sz w:val="20"/>
                <w:szCs w:val="20"/>
              </w:rPr>
            </w:pPr>
            <w:r w:rsidRPr="00E35AAC">
              <w:rPr>
                <w:rFonts w:ascii="Arial" w:hAnsi="Arial" w:cs="Arial"/>
                <w:sz w:val="20"/>
                <w:szCs w:val="20"/>
              </w:rPr>
              <w:t>Read procedure</w:t>
            </w:r>
          </w:p>
        </w:tc>
      </w:tr>
    </w:tbl>
    <w:p w:rsidR="00890D7C" w:rsidRDefault="00890D7C" w:rsidP="00C33986">
      <w:pPr>
        <w:autoSpaceDE w:val="0"/>
        <w:autoSpaceDN w:val="0"/>
        <w:adjustRightInd w:val="0"/>
        <w:spacing w:after="240"/>
        <w:jc w:val="both"/>
        <w:rPr>
          <w:rFonts w:ascii="Arial" w:hAnsi="Arial" w:cs="Arial"/>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35AAC" w:rsidRDefault="00E35AAC" w:rsidP="00C47BB6">
      <w:pPr>
        <w:pStyle w:val="Second-OrderHeading"/>
        <w:numPr>
          <w:ilvl w:val="0"/>
          <w:numId w:val="0"/>
        </w:numPr>
        <w:tabs>
          <w:tab w:val="left" w:pos="6630"/>
        </w:tabs>
        <w:ind w:left="720" w:hanging="720"/>
        <w:rPr>
          <w:rFonts w:ascii="Arial" w:hAnsi="Arial" w:cs="Arial"/>
          <w:b/>
          <w:sz w:val="20"/>
        </w:rPr>
      </w:pPr>
    </w:p>
    <w:p w:rsidR="00EC38F2" w:rsidRDefault="00EC38F2" w:rsidP="00C47BB6">
      <w:pPr>
        <w:pStyle w:val="Second-OrderHeading"/>
        <w:numPr>
          <w:ilvl w:val="0"/>
          <w:numId w:val="0"/>
        </w:numPr>
        <w:tabs>
          <w:tab w:val="left" w:pos="6630"/>
        </w:tabs>
        <w:ind w:left="720" w:hanging="720"/>
        <w:rPr>
          <w:rFonts w:ascii="Arial" w:hAnsi="Arial" w:cs="Arial"/>
          <w:b/>
          <w:sz w:val="20"/>
        </w:rPr>
      </w:pPr>
    </w:p>
    <w:p w:rsidR="00EC38F2" w:rsidRDefault="00EC38F2" w:rsidP="00C47BB6">
      <w:pPr>
        <w:pStyle w:val="Second-OrderHeading"/>
        <w:numPr>
          <w:ilvl w:val="0"/>
          <w:numId w:val="0"/>
        </w:numPr>
        <w:tabs>
          <w:tab w:val="left" w:pos="6630"/>
        </w:tabs>
        <w:ind w:left="720" w:hanging="720"/>
        <w:rPr>
          <w:rFonts w:ascii="Arial" w:hAnsi="Arial" w:cs="Arial"/>
          <w:b/>
          <w:sz w:val="20"/>
        </w:rPr>
      </w:pPr>
    </w:p>
    <w:p w:rsidR="00EC38F2" w:rsidRDefault="00EC38F2" w:rsidP="00C47BB6">
      <w:pPr>
        <w:pStyle w:val="Second-OrderHeading"/>
        <w:numPr>
          <w:ilvl w:val="0"/>
          <w:numId w:val="0"/>
        </w:numPr>
        <w:tabs>
          <w:tab w:val="left" w:pos="6630"/>
        </w:tabs>
        <w:ind w:left="720" w:hanging="720"/>
        <w:rPr>
          <w:rFonts w:ascii="Arial" w:hAnsi="Arial" w:cs="Arial"/>
          <w:b/>
          <w:sz w:val="20"/>
        </w:rPr>
      </w:pPr>
    </w:p>
    <w:p w:rsidR="00EC38F2" w:rsidRDefault="00EC38F2" w:rsidP="00C47BB6">
      <w:pPr>
        <w:pStyle w:val="Second-OrderHeading"/>
        <w:numPr>
          <w:ilvl w:val="0"/>
          <w:numId w:val="0"/>
        </w:numPr>
        <w:tabs>
          <w:tab w:val="left" w:pos="6630"/>
        </w:tabs>
        <w:ind w:left="720" w:hanging="720"/>
        <w:rPr>
          <w:rFonts w:ascii="Arial" w:hAnsi="Arial" w:cs="Arial"/>
          <w:b/>
          <w:sz w:val="20"/>
        </w:rPr>
      </w:pPr>
    </w:p>
    <w:p w:rsidR="0030336B" w:rsidRDefault="00E35AAC" w:rsidP="00C47BB6">
      <w:pPr>
        <w:pStyle w:val="Second-OrderHeading"/>
        <w:numPr>
          <w:ilvl w:val="0"/>
          <w:numId w:val="0"/>
        </w:numPr>
        <w:tabs>
          <w:tab w:val="left" w:pos="6630"/>
        </w:tabs>
        <w:ind w:left="720" w:hanging="720"/>
        <w:rPr>
          <w:rFonts w:ascii="Arial" w:hAnsi="Arial" w:cs="Arial"/>
          <w:b/>
          <w:sz w:val="20"/>
        </w:rPr>
      </w:pPr>
      <w:r>
        <w:rPr>
          <w:rFonts w:ascii="Arial" w:hAnsi="Arial" w:cs="Arial"/>
          <w:b/>
          <w:sz w:val="20"/>
        </w:rPr>
        <w:lastRenderedPageBreak/>
        <w:t>XV</w:t>
      </w:r>
      <w:r w:rsidR="00C47BB6" w:rsidRPr="007C1D50">
        <w:rPr>
          <w:rFonts w:ascii="Arial" w:hAnsi="Arial" w:cs="Arial"/>
          <w:b/>
          <w:sz w:val="20"/>
        </w:rPr>
        <w:t xml:space="preserve">. </w:t>
      </w:r>
      <w:r w:rsidR="00C47BB6" w:rsidRPr="007C1D50">
        <w:rPr>
          <w:rFonts w:ascii="Arial" w:hAnsi="Arial" w:cs="Arial"/>
          <w:b/>
          <w:sz w:val="20"/>
        </w:rPr>
        <w:tab/>
        <w:t>REFERENCES</w:t>
      </w:r>
    </w:p>
    <w:p w:rsidR="00E35AAC" w:rsidRPr="00E35AAC" w:rsidRDefault="00E35AAC" w:rsidP="00C47BB6">
      <w:pPr>
        <w:pStyle w:val="Second-OrderHeading"/>
        <w:numPr>
          <w:ilvl w:val="0"/>
          <w:numId w:val="0"/>
        </w:numPr>
        <w:tabs>
          <w:tab w:val="left" w:pos="6630"/>
        </w:tabs>
        <w:ind w:left="720" w:hanging="720"/>
        <w:rPr>
          <w:rFonts w:ascii="Arial" w:hAnsi="Arial" w:cs="Arial"/>
          <w:sz w:val="20"/>
        </w:rPr>
      </w:pPr>
      <w:r>
        <w:rPr>
          <w:noProof/>
        </w:rPr>
        <w:drawing>
          <wp:inline distT="0" distB="0" distL="0" distR="0" wp14:anchorId="1BB347BE" wp14:editId="2A0158B7">
            <wp:extent cx="5905499" cy="75533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7676" cy="7556109"/>
                    </a:xfrm>
                    <a:prstGeom prst="rect">
                      <a:avLst/>
                    </a:prstGeom>
                  </pic:spPr>
                </pic:pic>
              </a:graphicData>
            </a:graphic>
          </wp:inline>
        </w:drawing>
      </w:r>
    </w:p>
    <w:p w:rsidR="005D3F0A" w:rsidRDefault="005D3F0A" w:rsidP="00C47BB6">
      <w:pPr>
        <w:pStyle w:val="Second-OrderHeading"/>
        <w:numPr>
          <w:ilvl w:val="0"/>
          <w:numId w:val="0"/>
        </w:numPr>
        <w:tabs>
          <w:tab w:val="left" w:pos="6630"/>
        </w:tabs>
        <w:ind w:left="720" w:hanging="720"/>
        <w:rPr>
          <w:rFonts w:ascii="Arial" w:hAnsi="Arial" w:cs="Arial"/>
          <w:b/>
          <w:sz w:val="20"/>
        </w:rPr>
      </w:pPr>
    </w:p>
    <w:p w:rsidR="005D3F0A" w:rsidRDefault="005D3F0A" w:rsidP="00C47BB6">
      <w:pPr>
        <w:pStyle w:val="Second-OrderHeading"/>
        <w:numPr>
          <w:ilvl w:val="0"/>
          <w:numId w:val="0"/>
        </w:numPr>
        <w:tabs>
          <w:tab w:val="left" w:pos="6630"/>
        </w:tabs>
        <w:ind w:left="720" w:hanging="720"/>
        <w:rPr>
          <w:rFonts w:ascii="Arial" w:hAnsi="Arial" w:cs="Arial"/>
          <w:b/>
          <w:sz w:val="20"/>
        </w:rPr>
      </w:pPr>
    </w:p>
    <w:p w:rsidR="005D3F0A" w:rsidRDefault="00E35AAC" w:rsidP="00C47BB6">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4C4F2660" wp14:editId="138000C0">
            <wp:extent cx="5724525" cy="4234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24525" cy="4234980"/>
                    </a:xfrm>
                    <a:prstGeom prst="rect">
                      <a:avLst/>
                    </a:prstGeom>
                  </pic:spPr>
                </pic:pic>
              </a:graphicData>
            </a:graphic>
          </wp:inline>
        </w:drawing>
      </w:r>
    </w:p>
    <w:p w:rsidR="005D3F0A" w:rsidRDefault="005D3F0A" w:rsidP="00C47BB6">
      <w:pPr>
        <w:pStyle w:val="Second-OrderHeading"/>
        <w:numPr>
          <w:ilvl w:val="0"/>
          <w:numId w:val="0"/>
        </w:numPr>
        <w:tabs>
          <w:tab w:val="left" w:pos="6630"/>
        </w:tabs>
        <w:ind w:left="720" w:hanging="720"/>
        <w:rPr>
          <w:rFonts w:ascii="Arial" w:hAnsi="Arial" w:cs="Arial"/>
          <w:b/>
          <w:sz w:val="20"/>
        </w:rPr>
      </w:pPr>
    </w:p>
    <w:p w:rsidR="005D3F0A" w:rsidRPr="007C1D50" w:rsidRDefault="005D3F0A" w:rsidP="00C47BB6">
      <w:pPr>
        <w:pStyle w:val="Second-OrderHeading"/>
        <w:numPr>
          <w:ilvl w:val="0"/>
          <w:numId w:val="0"/>
        </w:numPr>
        <w:tabs>
          <w:tab w:val="left" w:pos="6630"/>
        </w:tabs>
        <w:ind w:left="720" w:hanging="720"/>
        <w:rPr>
          <w:rFonts w:ascii="Arial" w:hAnsi="Arial" w:cs="Arial"/>
          <w:b/>
          <w:sz w:val="20"/>
        </w:rPr>
      </w:pPr>
    </w:p>
    <w:sectPr w:rsidR="005D3F0A" w:rsidRPr="007C1D50" w:rsidSect="00446D09">
      <w:headerReference w:type="default" r:id="rId13"/>
      <w:footerReference w:type="default" r:id="rId14"/>
      <w:pgSz w:w="12240" w:h="15840"/>
      <w:pgMar w:top="1230" w:right="1728" w:bottom="1440" w:left="1728" w:header="360" w:footer="2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72" w:rsidRDefault="00606C72">
      <w:r>
        <w:separator/>
      </w:r>
    </w:p>
  </w:endnote>
  <w:endnote w:type="continuationSeparator" w:id="0">
    <w:p w:rsidR="00606C72" w:rsidRDefault="0060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4F" w:rsidRDefault="0078294F">
    <w:pPr>
      <w:pStyle w:val="Footer"/>
      <w:jc w:val="right"/>
    </w:pPr>
    <w:r w:rsidRPr="00446D09">
      <w:rPr>
        <w:rFonts w:ascii="Arial" w:hAnsi="Arial" w:cs="Arial"/>
        <w:sz w:val="20"/>
        <w:szCs w:val="20"/>
      </w:rPr>
      <w:t xml:space="preserve">Page </w:t>
    </w:r>
    <w:r w:rsidRPr="00446D09">
      <w:rPr>
        <w:rFonts w:ascii="Arial" w:hAnsi="Arial" w:cs="Arial"/>
        <w:b/>
        <w:bCs/>
        <w:sz w:val="20"/>
        <w:szCs w:val="20"/>
      </w:rPr>
      <w:fldChar w:fldCharType="begin"/>
    </w:r>
    <w:r w:rsidRPr="00446D09">
      <w:rPr>
        <w:rFonts w:ascii="Arial" w:hAnsi="Arial" w:cs="Arial"/>
        <w:b/>
        <w:bCs/>
        <w:sz w:val="20"/>
        <w:szCs w:val="20"/>
      </w:rPr>
      <w:instrText xml:space="preserve"> PAGE </w:instrText>
    </w:r>
    <w:r w:rsidRPr="00446D09">
      <w:rPr>
        <w:rFonts w:ascii="Arial" w:hAnsi="Arial" w:cs="Arial"/>
        <w:b/>
        <w:bCs/>
        <w:sz w:val="20"/>
        <w:szCs w:val="20"/>
      </w:rPr>
      <w:fldChar w:fldCharType="separate"/>
    </w:r>
    <w:r w:rsidR="00F93B22">
      <w:rPr>
        <w:rFonts w:ascii="Arial" w:hAnsi="Arial" w:cs="Arial"/>
        <w:b/>
        <w:bCs/>
        <w:noProof/>
        <w:sz w:val="20"/>
        <w:szCs w:val="20"/>
      </w:rPr>
      <w:t>1</w:t>
    </w:r>
    <w:r w:rsidRPr="00446D09">
      <w:rPr>
        <w:rFonts w:ascii="Arial" w:hAnsi="Arial" w:cs="Arial"/>
        <w:b/>
        <w:bCs/>
        <w:sz w:val="20"/>
        <w:szCs w:val="20"/>
      </w:rPr>
      <w:fldChar w:fldCharType="end"/>
    </w:r>
    <w:r w:rsidRPr="00446D09">
      <w:rPr>
        <w:rFonts w:ascii="Arial" w:hAnsi="Arial" w:cs="Arial"/>
        <w:sz w:val="20"/>
        <w:szCs w:val="20"/>
      </w:rPr>
      <w:t xml:space="preserve"> of </w:t>
    </w:r>
    <w:r>
      <w:rPr>
        <w:rFonts w:ascii="Arial" w:hAnsi="Arial" w:cs="Arial"/>
        <w:b/>
        <w:bCs/>
        <w:sz w:val="20"/>
        <w:szCs w:val="20"/>
      </w:rPr>
      <w:t>1</w:t>
    </w:r>
  </w:p>
  <w:p w:rsidR="0078294F" w:rsidRDefault="0078294F">
    <w:pPr>
      <w:pStyle w:val="Footer"/>
      <w:jc w:val="right"/>
    </w:pPr>
  </w:p>
  <w:p w:rsidR="0078294F" w:rsidRPr="00446D09" w:rsidRDefault="0078294F" w:rsidP="00446D09">
    <w:pPr>
      <w:pStyle w:val="Footer"/>
      <w:rPr>
        <w:rFonts w:ascii="Arial" w:hAnsi="Arial" w:cs="Arial"/>
        <w:sz w:val="20"/>
        <w:szCs w:val="20"/>
      </w:rPr>
    </w:pPr>
    <w:r>
      <w:rPr>
        <w:rFonts w:ascii="Arial" w:hAnsi="Arial" w:cs="Arial"/>
        <w:sz w:val="20"/>
        <w:szCs w:val="20"/>
      </w:rPr>
      <w:t xml:space="preserve">Department of Pathology &amp; Laboratory Medicine                                       </w:t>
    </w:r>
    <w:r w:rsidR="00C5654B">
      <w:rPr>
        <w:rFonts w:ascii="Arial" w:hAnsi="Arial" w:cs="Arial"/>
        <w:color w:val="A6A6A6"/>
        <w:sz w:val="20"/>
        <w:szCs w:val="20"/>
      </w:rPr>
      <w:t>SW.CP.GL.lab.0137.0001</w:t>
    </w:r>
  </w:p>
  <w:p w:rsidR="0078294F" w:rsidRPr="005738B0" w:rsidRDefault="0078294F" w:rsidP="00446D09">
    <w:pPr>
      <w:pStyle w:val="Head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72" w:rsidRDefault="00606C72">
      <w:r>
        <w:separator/>
      </w:r>
    </w:p>
  </w:footnote>
  <w:footnote w:type="continuationSeparator" w:id="0">
    <w:p w:rsidR="00606C72" w:rsidRDefault="00606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1" w:type="dxa"/>
      <w:jc w:val="center"/>
      <w:tblLayout w:type="fixed"/>
      <w:tblCellMar>
        <w:left w:w="115" w:type="dxa"/>
        <w:right w:w="115" w:type="dxa"/>
      </w:tblCellMar>
      <w:tblLook w:val="0000" w:firstRow="0" w:lastRow="0" w:firstColumn="0" w:lastColumn="0" w:noHBand="0" w:noVBand="0"/>
    </w:tblPr>
    <w:tblGrid>
      <w:gridCol w:w="2444"/>
      <w:gridCol w:w="7807"/>
    </w:tblGrid>
    <w:tr w:rsidR="0078294F" w:rsidTr="00D234FD">
      <w:trPr>
        <w:cantSplit/>
        <w:trHeight w:val="540"/>
        <w:jc w:val="center"/>
      </w:trPr>
      <w:tc>
        <w:tcPr>
          <w:tcW w:w="2444" w:type="dxa"/>
        </w:tcPr>
        <w:p w:rsidR="0078294F" w:rsidRPr="00143708" w:rsidRDefault="0078294F" w:rsidP="00641A12">
          <w:pPr>
            <w:pStyle w:val="Header"/>
            <w:tabs>
              <w:tab w:val="left" w:pos="2997"/>
            </w:tabs>
            <w:rPr>
              <w:rFonts w:ascii="Arial" w:hAnsi="Arial" w:cs="Arial"/>
              <w:sz w:val="20"/>
              <w:szCs w:val="20"/>
            </w:rPr>
          </w:pPr>
          <w:r>
            <w:rPr>
              <w:rFonts w:ascii="Arial" w:hAnsi="Arial" w:cs="Arial"/>
              <w:sz w:val="20"/>
              <w:szCs w:val="20"/>
            </w:rPr>
            <w:t>URMC LABS &amp; Affiliates</w:t>
          </w:r>
        </w:p>
      </w:tc>
      <w:tc>
        <w:tcPr>
          <w:tcW w:w="7807" w:type="dxa"/>
        </w:tcPr>
        <w:p w:rsidR="0078294F" w:rsidRDefault="00C5654B" w:rsidP="00641A12">
          <w:pPr>
            <w:pStyle w:val="Header"/>
            <w:tabs>
              <w:tab w:val="left" w:pos="2997"/>
            </w:tabs>
            <w:jc w:val="right"/>
            <w:rPr>
              <w:rFonts w:ascii="Arial" w:hAnsi="Arial" w:cs="Arial"/>
              <w:sz w:val="20"/>
              <w:szCs w:val="20"/>
            </w:rPr>
          </w:pPr>
          <w:r>
            <w:rPr>
              <w:rFonts w:ascii="Arial" w:hAnsi="Arial" w:cs="Arial"/>
              <w:sz w:val="20"/>
              <w:szCs w:val="20"/>
            </w:rPr>
            <w:t>SW.CP.GL.lab.0137.001</w:t>
          </w:r>
        </w:p>
        <w:p w:rsidR="0078294F" w:rsidRPr="00143708" w:rsidRDefault="00C5654B" w:rsidP="00836B4B">
          <w:pPr>
            <w:pStyle w:val="Header"/>
            <w:tabs>
              <w:tab w:val="left" w:pos="2997"/>
            </w:tabs>
            <w:jc w:val="right"/>
            <w:rPr>
              <w:rFonts w:ascii="Arial" w:hAnsi="Arial" w:cs="Arial"/>
              <w:sz w:val="20"/>
              <w:szCs w:val="20"/>
            </w:rPr>
          </w:pPr>
          <w:r>
            <w:rPr>
              <w:rFonts w:ascii="Arial" w:hAnsi="Arial" w:cs="Arial"/>
              <w:sz w:val="20"/>
              <w:szCs w:val="20"/>
            </w:rPr>
            <w:t>HDL-Cholesterol</w:t>
          </w:r>
        </w:p>
      </w:tc>
    </w:tr>
  </w:tbl>
  <w:p w:rsidR="0078294F" w:rsidRDefault="0078294F" w:rsidP="00526945">
    <w:pPr>
      <w:tabs>
        <w:tab w:val="center" w:pos="4320"/>
        <w:tab w:val="right" w:pos="8640"/>
      </w:tabs>
      <w:autoSpaceDE w:val="0"/>
      <w:autoSpaceDN w:val="0"/>
      <w:adjustRightInd w:val="0"/>
      <w:spacing w:line="287"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B91"/>
    <w:multiLevelType w:val="hybridMultilevel"/>
    <w:tmpl w:val="981279A6"/>
    <w:lvl w:ilvl="0" w:tplc="4B602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FA1103"/>
    <w:multiLevelType w:val="hybridMultilevel"/>
    <w:tmpl w:val="598A661C"/>
    <w:lvl w:ilvl="0" w:tplc="74AC8DC6">
      <w:start w:val="1"/>
      <w:numFmt w:val="decimal"/>
      <w:lvlText w:val="%1."/>
      <w:lvlJc w:val="left"/>
      <w:pPr>
        <w:tabs>
          <w:tab w:val="num" w:pos="1080"/>
        </w:tabs>
        <w:ind w:left="1080" w:hanging="360"/>
      </w:pPr>
      <w:rPr>
        <w:rFonts w:hint="default"/>
      </w:rPr>
    </w:lvl>
    <w:lvl w:ilvl="1" w:tplc="88D8403C">
      <w:start w:val="1"/>
      <w:numFmt w:val="lowerLetter"/>
      <w:lvlText w:val="%2."/>
      <w:lvlJc w:val="left"/>
      <w:pPr>
        <w:tabs>
          <w:tab w:val="num" w:pos="1800"/>
        </w:tabs>
        <w:ind w:left="1800" w:hanging="360"/>
      </w:pPr>
      <w:rPr>
        <w:rFonts w:hint="default"/>
      </w:rPr>
    </w:lvl>
    <w:lvl w:ilvl="2" w:tplc="90B4D55C" w:tentative="1">
      <w:start w:val="1"/>
      <w:numFmt w:val="lowerRoman"/>
      <w:lvlText w:val="%3."/>
      <w:lvlJc w:val="right"/>
      <w:pPr>
        <w:tabs>
          <w:tab w:val="num" w:pos="2520"/>
        </w:tabs>
        <w:ind w:left="2520" w:hanging="180"/>
      </w:pPr>
    </w:lvl>
    <w:lvl w:ilvl="3" w:tplc="D84EBE9E" w:tentative="1">
      <w:start w:val="1"/>
      <w:numFmt w:val="decimal"/>
      <w:lvlText w:val="%4."/>
      <w:lvlJc w:val="left"/>
      <w:pPr>
        <w:tabs>
          <w:tab w:val="num" w:pos="3240"/>
        </w:tabs>
        <w:ind w:left="3240" w:hanging="360"/>
      </w:pPr>
    </w:lvl>
    <w:lvl w:ilvl="4" w:tplc="2BC81252" w:tentative="1">
      <w:start w:val="1"/>
      <w:numFmt w:val="lowerLetter"/>
      <w:lvlText w:val="%5."/>
      <w:lvlJc w:val="left"/>
      <w:pPr>
        <w:tabs>
          <w:tab w:val="num" w:pos="3960"/>
        </w:tabs>
        <w:ind w:left="3960" w:hanging="360"/>
      </w:pPr>
    </w:lvl>
    <w:lvl w:ilvl="5" w:tplc="419A18E4" w:tentative="1">
      <w:start w:val="1"/>
      <w:numFmt w:val="lowerRoman"/>
      <w:lvlText w:val="%6."/>
      <w:lvlJc w:val="right"/>
      <w:pPr>
        <w:tabs>
          <w:tab w:val="num" w:pos="4680"/>
        </w:tabs>
        <w:ind w:left="4680" w:hanging="180"/>
      </w:pPr>
    </w:lvl>
    <w:lvl w:ilvl="6" w:tplc="25E412D8" w:tentative="1">
      <w:start w:val="1"/>
      <w:numFmt w:val="decimal"/>
      <w:lvlText w:val="%7."/>
      <w:lvlJc w:val="left"/>
      <w:pPr>
        <w:tabs>
          <w:tab w:val="num" w:pos="5400"/>
        </w:tabs>
        <w:ind w:left="5400" w:hanging="360"/>
      </w:pPr>
    </w:lvl>
    <w:lvl w:ilvl="7" w:tplc="2FEE4448" w:tentative="1">
      <w:start w:val="1"/>
      <w:numFmt w:val="lowerLetter"/>
      <w:lvlText w:val="%8."/>
      <w:lvlJc w:val="left"/>
      <w:pPr>
        <w:tabs>
          <w:tab w:val="num" w:pos="6120"/>
        </w:tabs>
        <w:ind w:left="6120" w:hanging="360"/>
      </w:pPr>
    </w:lvl>
    <w:lvl w:ilvl="8" w:tplc="F82E7DB4" w:tentative="1">
      <w:start w:val="1"/>
      <w:numFmt w:val="lowerRoman"/>
      <w:lvlText w:val="%9."/>
      <w:lvlJc w:val="right"/>
      <w:pPr>
        <w:tabs>
          <w:tab w:val="num" w:pos="6840"/>
        </w:tabs>
        <w:ind w:left="6840" w:hanging="180"/>
      </w:pPr>
    </w:lvl>
  </w:abstractNum>
  <w:abstractNum w:abstractNumId="2">
    <w:nsid w:val="390362D1"/>
    <w:multiLevelType w:val="hybridMultilevel"/>
    <w:tmpl w:val="5BE83A58"/>
    <w:lvl w:ilvl="0" w:tplc="FCEECA9A">
      <w:start w:val="1"/>
      <w:numFmt w:val="bullet"/>
      <w:lvlText w:val=""/>
      <w:lvlJc w:val="left"/>
      <w:pPr>
        <w:tabs>
          <w:tab w:val="num" w:pos="2880"/>
        </w:tabs>
        <w:ind w:left="2880" w:hanging="360"/>
      </w:pPr>
      <w:rPr>
        <w:rFonts w:ascii="Symbol" w:hAnsi="Symbol" w:hint="default"/>
      </w:rPr>
    </w:lvl>
    <w:lvl w:ilvl="1" w:tplc="28D25CCC" w:tentative="1">
      <w:start w:val="1"/>
      <w:numFmt w:val="bullet"/>
      <w:lvlText w:val="o"/>
      <w:lvlJc w:val="left"/>
      <w:pPr>
        <w:tabs>
          <w:tab w:val="num" w:pos="3600"/>
        </w:tabs>
        <w:ind w:left="3600" w:hanging="360"/>
      </w:pPr>
      <w:rPr>
        <w:rFonts w:ascii="Courier New" w:hAnsi="Courier New" w:cs="Courier New" w:hint="default"/>
      </w:rPr>
    </w:lvl>
    <w:lvl w:ilvl="2" w:tplc="778A5742" w:tentative="1">
      <w:start w:val="1"/>
      <w:numFmt w:val="bullet"/>
      <w:lvlText w:val=""/>
      <w:lvlJc w:val="left"/>
      <w:pPr>
        <w:tabs>
          <w:tab w:val="num" w:pos="4320"/>
        </w:tabs>
        <w:ind w:left="4320" w:hanging="360"/>
      </w:pPr>
      <w:rPr>
        <w:rFonts w:ascii="Wingdings" w:hAnsi="Wingdings" w:hint="default"/>
      </w:rPr>
    </w:lvl>
    <w:lvl w:ilvl="3" w:tplc="D982D754" w:tentative="1">
      <w:start w:val="1"/>
      <w:numFmt w:val="bullet"/>
      <w:lvlText w:val=""/>
      <w:lvlJc w:val="left"/>
      <w:pPr>
        <w:tabs>
          <w:tab w:val="num" w:pos="5040"/>
        </w:tabs>
        <w:ind w:left="5040" w:hanging="360"/>
      </w:pPr>
      <w:rPr>
        <w:rFonts w:ascii="Symbol" w:hAnsi="Symbol" w:hint="default"/>
      </w:rPr>
    </w:lvl>
    <w:lvl w:ilvl="4" w:tplc="32600AE0" w:tentative="1">
      <w:start w:val="1"/>
      <w:numFmt w:val="bullet"/>
      <w:lvlText w:val="o"/>
      <w:lvlJc w:val="left"/>
      <w:pPr>
        <w:tabs>
          <w:tab w:val="num" w:pos="5760"/>
        </w:tabs>
        <w:ind w:left="5760" w:hanging="360"/>
      </w:pPr>
      <w:rPr>
        <w:rFonts w:ascii="Courier New" w:hAnsi="Courier New" w:cs="Courier New" w:hint="default"/>
      </w:rPr>
    </w:lvl>
    <w:lvl w:ilvl="5" w:tplc="B21683E4" w:tentative="1">
      <w:start w:val="1"/>
      <w:numFmt w:val="bullet"/>
      <w:lvlText w:val=""/>
      <w:lvlJc w:val="left"/>
      <w:pPr>
        <w:tabs>
          <w:tab w:val="num" w:pos="6480"/>
        </w:tabs>
        <w:ind w:left="6480" w:hanging="360"/>
      </w:pPr>
      <w:rPr>
        <w:rFonts w:ascii="Wingdings" w:hAnsi="Wingdings" w:hint="default"/>
      </w:rPr>
    </w:lvl>
    <w:lvl w:ilvl="6" w:tplc="60701A5C" w:tentative="1">
      <w:start w:val="1"/>
      <w:numFmt w:val="bullet"/>
      <w:lvlText w:val=""/>
      <w:lvlJc w:val="left"/>
      <w:pPr>
        <w:tabs>
          <w:tab w:val="num" w:pos="7200"/>
        </w:tabs>
        <w:ind w:left="7200" w:hanging="360"/>
      </w:pPr>
      <w:rPr>
        <w:rFonts w:ascii="Symbol" w:hAnsi="Symbol" w:hint="default"/>
      </w:rPr>
    </w:lvl>
    <w:lvl w:ilvl="7" w:tplc="9886D11E" w:tentative="1">
      <w:start w:val="1"/>
      <w:numFmt w:val="bullet"/>
      <w:lvlText w:val="o"/>
      <w:lvlJc w:val="left"/>
      <w:pPr>
        <w:tabs>
          <w:tab w:val="num" w:pos="7920"/>
        </w:tabs>
        <w:ind w:left="7920" w:hanging="360"/>
      </w:pPr>
      <w:rPr>
        <w:rFonts w:ascii="Courier New" w:hAnsi="Courier New" w:cs="Courier New" w:hint="default"/>
      </w:rPr>
    </w:lvl>
    <w:lvl w:ilvl="8" w:tplc="0644BF2A" w:tentative="1">
      <w:start w:val="1"/>
      <w:numFmt w:val="bullet"/>
      <w:lvlText w:val=""/>
      <w:lvlJc w:val="left"/>
      <w:pPr>
        <w:tabs>
          <w:tab w:val="num" w:pos="8640"/>
        </w:tabs>
        <w:ind w:left="8640" w:hanging="360"/>
      </w:pPr>
      <w:rPr>
        <w:rFonts w:ascii="Wingdings" w:hAnsi="Wingdings" w:hint="default"/>
      </w:rPr>
    </w:lvl>
  </w:abstractNum>
  <w:abstractNum w:abstractNumId="3">
    <w:nsid w:val="39FD6D38"/>
    <w:multiLevelType w:val="hybridMultilevel"/>
    <w:tmpl w:val="6710349E"/>
    <w:lvl w:ilvl="0" w:tplc="F258A304">
      <w:start w:val="2"/>
      <w:numFmt w:val="upperRoman"/>
      <w:lvlText w:val="%1."/>
      <w:lvlJc w:val="left"/>
      <w:pPr>
        <w:tabs>
          <w:tab w:val="num" w:pos="1080"/>
        </w:tabs>
        <w:ind w:left="1080" w:hanging="720"/>
      </w:pPr>
      <w:rPr>
        <w:rFonts w:hint="default"/>
      </w:rPr>
    </w:lvl>
    <w:lvl w:ilvl="1" w:tplc="CC4E4A3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BB2CF6"/>
    <w:multiLevelType w:val="hybridMultilevel"/>
    <w:tmpl w:val="33E40E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BEC508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505E7B21"/>
    <w:multiLevelType w:val="hybridMultilevel"/>
    <w:tmpl w:val="0046E3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
    <w:nsid w:val="559E5B9D"/>
    <w:multiLevelType w:val="hybridMultilevel"/>
    <w:tmpl w:val="FD682784"/>
    <w:lvl w:ilvl="0" w:tplc="04090001">
      <w:start w:val="1"/>
      <w:numFmt w:val="upperLetter"/>
      <w:lvlText w:val="%1."/>
      <w:lvlJc w:val="left"/>
      <w:pPr>
        <w:tabs>
          <w:tab w:val="num" w:pos="1185"/>
        </w:tabs>
        <w:ind w:left="1185" w:hanging="465"/>
      </w:pPr>
      <w:rPr>
        <w:rFonts w:ascii="Times New Roman" w:eastAsia="Times New Roman" w:hAnsi="Times New Roman" w:cs="Times New Roman"/>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63A216B2"/>
    <w:multiLevelType w:val="hybridMultilevel"/>
    <w:tmpl w:val="F9AE133C"/>
    <w:lvl w:ilvl="0" w:tplc="A95A50DE">
      <w:start w:val="12"/>
      <w:numFmt w:val="upperRoman"/>
      <w:lvlText w:val="%1."/>
      <w:lvlJc w:val="left"/>
      <w:pPr>
        <w:tabs>
          <w:tab w:val="num" w:pos="1080"/>
        </w:tabs>
        <w:ind w:left="1080" w:hanging="720"/>
      </w:pPr>
      <w:rPr>
        <w:rFonts w:hint="default"/>
      </w:rPr>
    </w:lvl>
    <w:lvl w:ilvl="1" w:tplc="CD4EC69A" w:tentative="1">
      <w:start w:val="1"/>
      <w:numFmt w:val="lowerLetter"/>
      <w:lvlText w:val="%2."/>
      <w:lvlJc w:val="left"/>
      <w:pPr>
        <w:tabs>
          <w:tab w:val="num" w:pos="1440"/>
        </w:tabs>
        <w:ind w:left="1440" w:hanging="360"/>
      </w:pPr>
    </w:lvl>
    <w:lvl w:ilvl="2" w:tplc="9ADA1FC8" w:tentative="1">
      <w:start w:val="1"/>
      <w:numFmt w:val="lowerRoman"/>
      <w:lvlText w:val="%3."/>
      <w:lvlJc w:val="right"/>
      <w:pPr>
        <w:tabs>
          <w:tab w:val="num" w:pos="2160"/>
        </w:tabs>
        <w:ind w:left="2160" w:hanging="180"/>
      </w:pPr>
    </w:lvl>
    <w:lvl w:ilvl="3" w:tplc="A9B8797E" w:tentative="1">
      <w:start w:val="1"/>
      <w:numFmt w:val="decimal"/>
      <w:lvlText w:val="%4."/>
      <w:lvlJc w:val="left"/>
      <w:pPr>
        <w:tabs>
          <w:tab w:val="num" w:pos="2880"/>
        </w:tabs>
        <w:ind w:left="2880" w:hanging="360"/>
      </w:pPr>
    </w:lvl>
    <w:lvl w:ilvl="4" w:tplc="4EC41BB4" w:tentative="1">
      <w:start w:val="1"/>
      <w:numFmt w:val="lowerLetter"/>
      <w:lvlText w:val="%5."/>
      <w:lvlJc w:val="left"/>
      <w:pPr>
        <w:tabs>
          <w:tab w:val="num" w:pos="3600"/>
        </w:tabs>
        <w:ind w:left="3600" w:hanging="360"/>
      </w:pPr>
    </w:lvl>
    <w:lvl w:ilvl="5" w:tplc="2348F9F0" w:tentative="1">
      <w:start w:val="1"/>
      <w:numFmt w:val="lowerRoman"/>
      <w:lvlText w:val="%6."/>
      <w:lvlJc w:val="right"/>
      <w:pPr>
        <w:tabs>
          <w:tab w:val="num" w:pos="4320"/>
        </w:tabs>
        <w:ind w:left="4320" w:hanging="180"/>
      </w:pPr>
    </w:lvl>
    <w:lvl w:ilvl="6" w:tplc="FA926654" w:tentative="1">
      <w:start w:val="1"/>
      <w:numFmt w:val="decimal"/>
      <w:lvlText w:val="%7."/>
      <w:lvlJc w:val="left"/>
      <w:pPr>
        <w:tabs>
          <w:tab w:val="num" w:pos="5040"/>
        </w:tabs>
        <w:ind w:left="5040" w:hanging="360"/>
      </w:pPr>
    </w:lvl>
    <w:lvl w:ilvl="7" w:tplc="04CEA11C" w:tentative="1">
      <w:start w:val="1"/>
      <w:numFmt w:val="lowerLetter"/>
      <w:lvlText w:val="%8."/>
      <w:lvlJc w:val="left"/>
      <w:pPr>
        <w:tabs>
          <w:tab w:val="num" w:pos="5760"/>
        </w:tabs>
        <w:ind w:left="5760" w:hanging="360"/>
      </w:pPr>
    </w:lvl>
    <w:lvl w:ilvl="8" w:tplc="40E60FF6" w:tentative="1">
      <w:start w:val="1"/>
      <w:numFmt w:val="lowerRoman"/>
      <w:lvlText w:val="%9."/>
      <w:lvlJc w:val="right"/>
      <w:pPr>
        <w:tabs>
          <w:tab w:val="num" w:pos="6480"/>
        </w:tabs>
        <w:ind w:left="6480" w:hanging="180"/>
      </w:pPr>
    </w:lvl>
  </w:abstractNum>
  <w:abstractNum w:abstractNumId="11">
    <w:nsid w:val="6B486B80"/>
    <w:multiLevelType w:val="hybridMultilevel"/>
    <w:tmpl w:val="A574F132"/>
    <w:lvl w:ilvl="0" w:tplc="61E2856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700"/>
        </w:tabs>
        <w:ind w:left="2700" w:hanging="360"/>
      </w:pPr>
      <w:rPr>
        <w:rFonts w:hint="default"/>
      </w:rPr>
    </w:lvl>
    <w:lvl w:ilvl="3" w:tplc="0409000F">
      <w:start w:val="1"/>
      <w:numFmt w:val="lowerLetter"/>
      <w:lvlText w:val="%4."/>
      <w:lvlJc w:val="left"/>
      <w:pPr>
        <w:tabs>
          <w:tab w:val="num" w:pos="3285"/>
        </w:tabs>
        <w:ind w:left="3285" w:hanging="405"/>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7"/>
    </w:lvlOverride>
  </w:num>
  <w:num w:numId="6">
    <w:abstractNumId w:val="4"/>
  </w:num>
  <w:num w:numId="7">
    <w:abstractNumId w:val="9"/>
  </w:num>
  <w:num w:numId="8">
    <w:abstractNumId w:val="1"/>
  </w:num>
  <w:num w:numId="9">
    <w:abstractNumId w:val="11"/>
  </w:num>
  <w:num w:numId="10">
    <w:abstractNumId w:val="8"/>
  </w:num>
  <w:num w:numId="11">
    <w:abstractNumId w:val="3"/>
  </w:num>
  <w:num w:numId="12">
    <w:abstractNumId w:val="12"/>
  </w:num>
  <w:num w:numId="13">
    <w:abstractNumId w:val="8"/>
  </w:num>
  <w:num w:numId="14">
    <w:abstractNumId w:val="10"/>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72"/>
    <w:rsid w:val="00001E38"/>
    <w:rsid w:val="00033409"/>
    <w:rsid w:val="0003421B"/>
    <w:rsid w:val="00060904"/>
    <w:rsid w:val="0006583C"/>
    <w:rsid w:val="000A1A27"/>
    <w:rsid w:val="000A2A6E"/>
    <w:rsid w:val="000A4111"/>
    <w:rsid w:val="000B52BB"/>
    <w:rsid w:val="000B58F8"/>
    <w:rsid w:val="000C37CF"/>
    <w:rsid w:val="000C7BD0"/>
    <w:rsid w:val="000D1D37"/>
    <w:rsid w:val="000E6C38"/>
    <w:rsid w:val="000F1B41"/>
    <w:rsid w:val="00102097"/>
    <w:rsid w:val="00132685"/>
    <w:rsid w:val="001364CE"/>
    <w:rsid w:val="00152035"/>
    <w:rsid w:val="001732C0"/>
    <w:rsid w:val="0017537E"/>
    <w:rsid w:val="001A106A"/>
    <w:rsid w:val="00204E39"/>
    <w:rsid w:val="0023286B"/>
    <w:rsid w:val="00240D5B"/>
    <w:rsid w:val="00242456"/>
    <w:rsid w:val="00265860"/>
    <w:rsid w:val="002B04BD"/>
    <w:rsid w:val="002B1D4D"/>
    <w:rsid w:val="002B4B14"/>
    <w:rsid w:val="002E2783"/>
    <w:rsid w:val="002F0B97"/>
    <w:rsid w:val="002F1E70"/>
    <w:rsid w:val="002F6853"/>
    <w:rsid w:val="002F689F"/>
    <w:rsid w:val="0030336B"/>
    <w:rsid w:val="00336B2B"/>
    <w:rsid w:val="00343666"/>
    <w:rsid w:val="00367A4D"/>
    <w:rsid w:val="00377A63"/>
    <w:rsid w:val="0039571B"/>
    <w:rsid w:val="003A0BAD"/>
    <w:rsid w:val="003A78FB"/>
    <w:rsid w:val="004041A7"/>
    <w:rsid w:val="004222CB"/>
    <w:rsid w:val="00425DBF"/>
    <w:rsid w:val="004267FC"/>
    <w:rsid w:val="004321E6"/>
    <w:rsid w:val="004359F9"/>
    <w:rsid w:val="00441E8A"/>
    <w:rsid w:val="00446D09"/>
    <w:rsid w:val="00447552"/>
    <w:rsid w:val="004532CF"/>
    <w:rsid w:val="0046279F"/>
    <w:rsid w:val="004657C4"/>
    <w:rsid w:val="004760F2"/>
    <w:rsid w:val="004836C2"/>
    <w:rsid w:val="00490094"/>
    <w:rsid w:val="0049319F"/>
    <w:rsid w:val="004C299F"/>
    <w:rsid w:val="004C4A6B"/>
    <w:rsid w:val="00500F24"/>
    <w:rsid w:val="00510DBF"/>
    <w:rsid w:val="00526945"/>
    <w:rsid w:val="00530E8C"/>
    <w:rsid w:val="00537B21"/>
    <w:rsid w:val="005441AC"/>
    <w:rsid w:val="0055124C"/>
    <w:rsid w:val="0055328C"/>
    <w:rsid w:val="005707A4"/>
    <w:rsid w:val="00570A4F"/>
    <w:rsid w:val="005738B0"/>
    <w:rsid w:val="005838D5"/>
    <w:rsid w:val="005853F5"/>
    <w:rsid w:val="00592923"/>
    <w:rsid w:val="0059602D"/>
    <w:rsid w:val="005A3B59"/>
    <w:rsid w:val="005B3185"/>
    <w:rsid w:val="005C1AE7"/>
    <w:rsid w:val="005C206C"/>
    <w:rsid w:val="005C2B23"/>
    <w:rsid w:val="005D3F0A"/>
    <w:rsid w:val="005D4FE3"/>
    <w:rsid w:val="005E59CD"/>
    <w:rsid w:val="005E7497"/>
    <w:rsid w:val="005F68B7"/>
    <w:rsid w:val="00606C72"/>
    <w:rsid w:val="00622BF0"/>
    <w:rsid w:val="00632AC4"/>
    <w:rsid w:val="0063785F"/>
    <w:rsid w:val="00641A12"/>
    <w:rsid w:val="006455B2"/>
    <w:rsid w:val="00650D04"/>
    <w:rsid w:val="006603C4"/>
    <w:rsid w:val="00667B71"/>
    <w:rsid w:val="0067285E"/>
    <w:rsid w:val="00673380"/>
    <w:rsid w:val="00686F23"/>
    <w:rsid w:val="006938A0"/>
    <w:rsid w:val="006A0940"/>
    <w:rsid w:val="006B64E8"/>
    <w:rsid w:val="006D1449"/>
    <w:rsid w:val="006D3D17"/>
    <w:rsid w:val="006D53C4"/>
    <w:rsid w:val="006D71EF"/>
    <w:rsid w:val="006E07A2"/>
    <w:rsid w:val="006E3B07"/>
    <w:rsid w:val="006E681F"/>
    <w:rsid w:val="0070086F"/>
    <w:rsid w:val="00701A2C"/>
    <w:rsid w:val="00711F2D"/>
    <w:rsid w:val="0072269C"/>
    <w:rsid w:val="007522ED"/>
    <w:rsid w:val="00752E7A"/>
    <w:rsid w:val="00757023"/>
    <w:rsid w:val="0077323D"/>
    <w:rsid w:val="007740C7"/>
    <w:rsid w:val="0077543B"/>
    <w:rsid w:val="0078294F"/>
    <w:rsid w:val="007C1D50"/>
    <w:rsid w:val="007D067F"/>
    <w:rsid w:val="008058FD"/>
    <w:rsid w:val="0081070F"/>
    <w:rsid w:val="00830C18"/>
    <w:rsid w:val="00836B4B"/>
    <w:rsid w:val="00842FA9"/>
    <w:rsid w:val="00843DA9"/>
    <w:rsid w:val="008570DA"/>
    <w:rsid w:val="00862851"/>
    <w:rsid w:val="008739F9"/>
    <w:rsid w:val="00890D7C"/>
    <w:rsid w:val="00894237"/>
    <w:rsid w:val="00894380"/>
    <w:rsid w:val="008C14C4"/>
    <w:rsid w:val="008E6341"/>
    <w:rsid w:val="008F112D"/>
    <w:rsid w:val="008F306C"/>
    <w:rsid w:val="0091463A"/>
    <w:rsid w:val="00925613"/>
    <w:rsid w:val="0093433F"/>
    <w:rsid w:val="009421AD"/>
    <w:rsid w:val="00944081"/>
    <w:rsid w:val="009453CF"/>
    <w:rsid w:val="00947647"/>
    <w:rsid w:val="00952612"/>
    <w:rsid w:val="00967BA0"/>
    <w:rsid w:val="009700D3"/>
    <w:rsid w:val="00982C54"/>
    <w:rsid w:val="00983285"/>
    <w:rsid w:val="00984236"/>
    <w:rsid w:val="009852A9"/>
    <w:rsid w:val="009A4732"/>
    <w:rsid w:val="009B28ED"/>
    <w:rsid w:val="009B2962"/>
    <w:rsid w:val="009B3D18"/>
    <w:rsid w:val="009E13F7"/>
    <w:rsid w:val="009E5958"/>
    <w:rsid w:val="009F3A9C"/>
    <w:rsid w:val="00A0644A"/>
    <w:rsid w:val="00A07235"/>
    <w:rsid w:val="00A37EB5"/>
    <w:rsid w:val="00A44E4C"/>
    <w:rsid w:val="00A6001C"/>
    <w:rsid w:val="00A6119C"/>
    <w:rsid w:val="00A70D38"/>
    <w:rsid w:val="00A75DDC"/>
    <w:rsid w:val="00A97B4F"/>
    <w:rsid w:val="00AC7451"/>
    <w:rsid w:val="00AD347B"/>
    <w:rsid w:val="00AD47F2"/>
    <w:rsid w:val="00AF18B3"/>
    <w:rsid w:val="00AF58EC"/>
    <w:rsid w:val="00B043B0"/>
    <w:rsid w:val="00B06D2A"/>
    <w:rsid w:val="00B23BF3"/>
    <w:rsid w:val="00B24963"/>
    <w:rsid w:val="00B31109"/>
    <w:rsid w:val="00B324BF"/>
    <w:rsid w:val="00B348D9"/>
    <w:rsid w:val="00B46DA9"/>
    <w:rsid w:val="00B500C7"/>
    <w:rsid w:val="00B55166"/>
    <w:rsid w:val="00B63151"/>
    <w:rsid w:val="00B636D9"/>
    <w:rsid w:val="00B6781C"/>
    <w:rsid w:val="00B75ED8"/>
    <w:rsid w:val="00B76B59"/>
    <w:rsid w:val="00B8442A"/>
    <w:rsid w:val="00B93A3A"/>
    <w:rsid w:val="00B95610"/>
    <w:rsid w:val="00BA1315"/>
    <w:rsid w:val="00BA1E2B"/>
    <w:rsid w:val="00BC7278"/>
    <w:rsid w:val="00BF1D25"/>
    <w:rsid w:val="00C17776"/>
    <w:rsid w:val="00C23351"/>
    <w:rsid w:val="00C27FBD"/>
    <w:rsid w:val="00C33986"/>
    <w:rsid w:val="00C47BB6"/>
    <w:rsid w:val="00C52192"/>
    <w:rsid w:val="00C5654B"/>
    <w:rsid w:val="00C72705"/>
    <w:rsid w:val="00C82C17"/>
    <w:rsid w:val="00CA3063"/>
    <w:rsid w:val="00CA5785"/>
    <w:rsid w:val="00CD38BE"/>
    <w:rsid w:val="00CD4EE0"/>
    <w:rsid w:val="00CD7298"/>
    <w:rsid w:val="00CF36FA"/>
    <w:rsid w:val="00CF5D66"/>
    <w:rsid w:val="00CF5DC3"/>
    <w:rsid w:val="00D234FD"/>
    <w:rsid w:val="00D42DFB"/>
    <w:rsid w:val="00D44635"/>
    <w:rsid w:val="00D61073"/>
    <w:rsid w:val="00D6352E"/>
    <w:rsid w:val="00D87A40"/>
    <w:rsid w:val="00DA4C41"/>
    <w:rsid w:val="00DB7018"/>
    <w:rsid w:val="00DC795D"/>
    <w:rsid w:val="00DF004E"/>
    <w:rsid w:val="00DF0CA3"/>
    <w:rsid w:val="00E0388B"/>
    <w:rsid w:val="00E040B6"/>
    <w:rsid w:val="00E23551"/>
    <w:rsid w:val="00E31F8C"/>
    <w:rsid w:val="00E34AFA"/>
    <w:rsid w:val="00E35AAC"/>
    <w:rsid w:val="00E43A56"/>
    <w:rsid w:val="00E56500"/>
    <w:rsid w:val="00E846C1"/>
    <w:rsid w:val="00E847BD"/>
    <w:rsid w:val="00E928B6"/>
    <w:rsid w:val="00E96814"/>
    <w:rsid w:val="00E97BA6"/>
    <w:rsid w:val="00EA25E9"/>
    <w:rsid w:val="00EB0872"/>
    <w:rsid w:val="00EC38F2"/>
    <w:rsid w:val="00EC7C34"/>
    <w:rsid w:val="00ED0986"/>
    <w:rsid w:val="00ED7EC2"/>
    <w:rsid w:val="00EE5911"/>
    <w:rsid w:val="00EE69E1"/>
    <w:rsid w:val="00EF0476"/>
    <w:rsid w:val="00EF2C76"/>
    <w:rsid w:val="00F00875"/>
    <w:rsid w:val="00F107F5"/>
    <w:rsid w:val="00F10A79"/>
    <w:rsid w:val="00F20691"/>
    <w:rsid w:val="00F20D9B"/>
    <w:rsid w:val="00F21815"/>
    <w:rsid w:val="00F21E81"/>
    <w:rsid w:val="00F2526E"/>
    <w:rsid w:val="00F30A7A"/>
    <w:rsid w:val="00F40CFD"/>
    <w:rsid w:val="00F42F71"/>
    <w:rsid w:val="00F45664"/>
    <w:rsid w:val="00F52D16"/>
    <w:rsid w:val="00F70869"/>
    <w:rsid w:val="00F767E1"/>
    <w:rsid w:val="00F93B22"/>
    <w:rsid w:val="00F97FED"/>
    <w:rsid w:val="00FA622C"/>
    <w:rsid w:val="00FB3039"/>
    <w:rsid w:val="00FC65E2"/>
    <w:rsid w:val="00FE304A"/>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paragraph" w:styleId="NoSpacing">
    <w:name w:val="No Spacing"/>
    <w:uiPriority w:val="1"/>
    <w:qFormat/>
    <w:rsid w:val="00B93A3A"/>
    <w:rPr>
      <w:rFonts w:asciiTheme="minorHAnsi" w:eastAsiaTheme="minorHAnsi" w:hAnsiTheme="minorHAnsi" w:cstheme="minorBidi"/>
      <w:sz w:val="22"/>
      <w:szCs w:val="22"/>
    </w:rPr>
  </w:style>
  <w:style w:type="paragraph" w:styleId="ListParagraph">
    <w:name w:val="List Paragraph"/>
    <w:basedOn w:val="Normal"/>
    <w:uiPriority w:val="34"/>
    <w:qFormat/>
    <w:rsid w:val="00B93A3A"/>
    <w:pPr>
      <w:spacing w:after="200" w:line="276" w:lineRule="auto"/>
      <w:ind w:left="720"/>
      <w:contextualSpacing/>
    </w:pPr>
    <w:rPr>
      <w:rFonts w:asciiTheme="minorHAnsi" w:eastAsiaTheme="minorHAnsi" w:hAnsiTheme="minorHAnsi" w:cstheme="minorBidi"/>
      <w:sz w:val="22"/>
      <w:szCs w:val="22"/>
    </w:rPr>
  </w:style>
  <w:style w:type="paragraph" w:customStyle="1" w:styleId="NcclsPara">
    <w:name w:val="NcclsPara"/>
    <w:basedOn w:val="Normal"/>
    <w:rsid w:val="009B28ED"/>
    <w:pPr>
      <w:snapToGrid w:val="0"/>
      <w:spacing w:before="100" w:beforeAutospacing="1" w:after="100" w:afterAutospacing="1"/>
      <w:contextualSpacing/>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rsid w:val="004532CF"/>
    <w:pPr>
      <w:numPr>
        <w:numId w:val="2"/>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sz w:val="24"/>
      <w:lang w:val="en-US" w:eastAsia="en-US" w:bidi="ar-SA"/>
    </w:rPr>
  </w:style>
  <w:style w:type="table" w:styleId="TableGrid">
    <w:name w:val="Table Grid"/>
    <w:basedOn w:val="TableNormal"/>
    <w:rsid w:val="0089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A0BAD"/>
    <w:rPr>
      <w:sz w:val="24"/>
      <w:szCs w:val="24"/>
    </w:rPr>
  </w:style>
  <w:style w:type="character" w:customStyle="1" w:styleId="HeaderChar">
    <w:name w:val="Header Char"/>
    <w:link w:val="Header"/>
    <w:uiPriority w:val="99"/>
    <w:rsid w:val="00D234FD"/>
    <w:rPr>
      <w:sz w:val="24"/>
      <w:szCs w:val="24"/>
    </w:rPr>
  </w:style>
  <w:style w:type="paragraph" w:styleId="BalloonText">
    <w:name w:val="Balloon Text"/>
    <w:basedOn w:val="Normal"/>
    <w:link w:val="BalloonTextChar"/>
    <w:rsid w:val="00F00875"/>
    <w:rPr>
      <w:rFonts w:ascii="Tahoma" w:hAnsi="Tahoma" w:cs="Tahoma"/>
      <w:sz w:val="16"/>
      <w:szCs w:val="16"/>
    </w:rPr>
  </w:style>
  <w:style w:type="character" w:customStyle="1" w:styleId="BalloonTextChar">
    <w:name w:val="Balloon Text Char"/>
    <w:link w:val="BalloonText"/>
    <w:rsid w:val="00F00875"/>
    <w:rPr>
      <w:rFonts w:ascii="Tahoma" w:hAnsi="Tahoma" w:cs="Tahoma"/>
      <w:sz w:val="16"/>
      <w:szCs w:val="16"/>
    </w:rPr>
  </w:style>
  <w:style w:type="paragraph" w:styleId="NoSpacing">
    <w:name w:val="No Spacing"/>
    <w:uiPriority w:val="1"/>
    <w:qFormat/>
    <w:rsid w:val="00B93A3A"/>
    <w:rPr>
      <w:rFonts w:asciiTheme="minorHAnsi" w:eastAsiaTheme="minorHAnsi" w:hAnsiTheme="minorHAnsi" w:cstheme="minorBidi"/>
      <w:sz w:val="22"/>
      <w:szCs w:val="22"/>
    </w:rPr>
  </w:style>
  <w:style w:type="paragraph" w:styleId="ListParagraph">
    <w:name w:val="List Paragraph"/>
    <w:basedOn w:val="Normal"/>
    <w:uiPriority w:val="34"/>
    <w:qFormat/>
    <w:rsid w:val="00B93A3A"/>
    <w:pPr>
      <w:spacing w:after="200" w:line="276" w:lineRule="auto"/>
      <w:ind w:left="720"/>
      <w:contextualSpacing/>
    </w:pPr>
    <w:rPr>
      <w:rFonts w:asciiTheme="minorHAnsi" w:eastAsiaTheme="minorHAnsi" w:hAnsiTheme="minorHAnsi" w:cstheme="minorBidi"/>
      <w:sz w:val="22"/>
      <w:szCs w:val="22"/>
    </w:rPr>
  </w:style>
  <w:style w:type="paragraph" w:customStyle="1" w:styleId="NcclsPara">
    <w:name w:val="NcclsPara"/>
    <w:basedOn w:val="Normal"/>
    <w:rsid w:val="009B28ED"/>
    <w:pPr>
      <w:snapToGrid w:val="0"/>
      <w:spacing w:before="100" w:beforeAutospacing="1" w:after="100" w:afterAutospacing="1"/>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5B8020F721E40AD00B1658DD51E19" ma:contentTypeVersion="0" ma:contentTypeDescription="Create a new document." ma:contentTypeScope="" ma:versionID="b8464d039785b50707b6152f55f754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2C08B-87F7-4092-A7FD-1CACF95929C6}">
  <ds:schemaRefs>
    <ds:schemaRef ds:uri="http://schemas.microsoft.com/sharepoint/v3/contenttype/forms"/>
  </ds:schemaRefs>
</ds:datastoreItem>
</file>

<file path=customXml/itemProps2.xml><?xml version="1.0" encoding="utf-8"?>
<ds:datastoreItem xmlns:ds="http://schemas.openxmlformats.org/officeDocument/2006/customXml" ds:itemID="{D9EC8D71-8A8C-4AB9-9EDD-9CFCEE887767}">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EC1629F4-7BA0-416F-B441-378E81FE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1102</Words>
  <Characters>7362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Lois</dc:creator>
  <cp:lastModifiedBy>Baker, Susan L</cp:lastModifiedBy>
  <cp:revision>7</cp:revision>
  <cp:lastPrinted>2013-08-05T17:30:00Z</cp:lastPrinted>
  <dcterms:created xsi:type="dcterms:W3CDTF">2019-02-21T21:45:00Z</dcterms:created>
  <dcterms:modified xsi:type="dcterms:W3CDTF">2019-03-05T16:07:00Z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0x010100F9F5B8020F721E40AD00B1658DD51E19</vt:lpwstr>
  </property>
</Properties>
</file>