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3D" w:rsidRPr="007C1D50" w:rsidRDefault="00ED303D" w:rsidP="00ED303D">
      <w:pPr>
        <w:pStyle w:val="Header"/>
        <w:pBdr>
          <w:top w:val="single" w:sz="6" w:space="0" w:color="auto"/>
          <w:left w:val="single" w:sz="6" w:space="24" w:color="auto"/>
          <w:bottom w:val="single" w:sz="36" w:space="1" w:color="auto"/>
          <w:right w:val="single" w:sz="36" w:space="18" w:color="auto"/>
        </w:pBdr>
        <w:rPr>
          <w:rFonts w:ascii="Arial" w:hAnsi="Arial" w:cs="Arial"/>
          <w:sz w:val="20"/>
          <w:szCs w:val="20"/>
        </w:rPr>
      </w:pPr>
      <w:r w:rsidRPr="007C1D50">
        <w:rPr>
          <w:rFonts w:ascii="Arial" w:hAnsi="Arial" w:cs="Arial"/>
          <w:b/>
          <w:bCs/>
          <w:sz w:val="20"/>
          <w:szCs w:val="20"/>
        </w:rPr>
        <w:t>Title:</w:t>
      </w:r>
      <w:r w:rsidRPr="007C1D50">
        <w:rPr>
          <w:rFonts w:ascii="Arial" w:hAnsi="Arial" w:cs="Arial"/>
          <w:sz w:val="20"/>
          <w:szCs w:val="20"/>
        </w:rPr>
        <w:tab/>
      </w:r>
      <w:r w:rsidR="00B22825">
        <w:rPr>
          <w:rFonts w:ascii="Arial" w:hAnsi="Arial" w:cs="Arial"/>
          <w:sz w:val="20"/>
          <w:szCs w:val="20"/>
        </w:rPr>
        <w:t>T3</w:t>
      </w:r>
      <w:r w:rsidRPr="007C1D50">
        <w:rPr>
          <w:rFonts w:ascii="Arial" w:hAnsi="Arial" w:cs="Arial"/>
          <w:sz w:val="20"/>
          <w:szCs w:val="20"/>
        </w:rPr>
        <w:tab/>
      </w:r>
    </w:p>
    <w:p w:rsidR="00ED303D" w:rsidRPr="007C1D50" w:rsidRDefault="00ED303D" w:rsidP="00ED303D">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ED303D" w:rsidRPr="007C1D50" w:rsidTr="00DE6319">
        <w:trPr>
          <w:trHeight w:val="641"/>
        </w:trPr>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lang w:val="nl-NL"/>
              </w:rPr>
              <w:t>Author:</w:t>
            </w:r>
          </w:p>
        </w:tc>
        <w:tc>
          <w:tcPr>
            <w:tcW w:w="3240" w:type="dxa"/>
            <w:tcBorders>
              <w:top w:val="single" w:sz="4" w:space="0" w:color="auto"/>
              <w:left w:val="single" w:sz="4" w:space="0" w:color="auto"/>
              <w:bottom w:val="single" w:sz="4" w:space="0" w:color="auto"/>
              <w:right w:val="single" w:sz="4" w:space="0" w:color="auto"/>
            </w:tcBorders>
          </w:tcPr>
          <w:p w:rsidR="00ED303D" w:rsidRDefault="00ED303D" w:rsidP="00DE6319">
            <w:pPr>
              <w:jc w:val="center"/>
              <w:rPr>
                <w:rFonts w:ascii="Arial" w:hAnsi="Arial" w:cs="Arial"/>
                <w:b/>
                <w:sz w:val="20"/>
                <w:szCs w:val="20"/>
              </w:rPr>
            </w:pPr>
            <w:r w:rsidRPr="007C1D50">
              <w:rPr>
                <w:rFonts w:ascii="Arial" w:hAnsi="Arial" w:cs="Arial"/>
                <w:b/>
                <w:sz w:val="20"/>
                <w:szCs w:val="20"/>
              </w:rPr>
              <w:t>Effective  Date:</w:t>
            </w:r>
          </w:p>
          <w:p w:rsidR="00ED303D" w:rsidRPr="007C1D50" w:rsidRDefault="00ED303D" w:rsidP="00DE6319">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Supersedes Procedure #</w:t>
            </w:r>
          </w:p>
        </w:tc>
      </w:tr>
      <w:tr w:rsidR="00ED303D" w:rsidRPr="007C1D50" w:rsidTr="00DE6319">
        <w:trPr>
          <w:trHeight w:val="497"/>
        </w:trPr>
        <w:tc>
          <w:tcPr>
            <w:tcW w:w="3240" w:type="dxa"/>
            <w:tcBorders>
              <w:top w:val="single" w:sz="4" w:space="0" w:color="auto"/>
              <w:left w:val="single" w:sz="6" w:space="0" w:color="auto"/>
              <w:bottom w:val="single" w:sz="36" w:space="0" w:color="auto"/>
              <w:right w:val="single" w:sz="6" w:space="0" w:color="auto"/>
            </w:tcBorders>
          </w:tcPr>
          <w:p w:rsidR="00ED303D" w:rsidRPr="009E7E76" w:rsidRDefault="009717B7" w:rsidP="00DE6319">
            <w:pPr>
              <w:pStyle w:val="Header"/>
              <w:rPr>
                <w:rFonts w:ascii="Arial" w:hAnsi="Arial" w:cs="Arial"/>
                <w:sz w:val="20"/>
                <w:szCs w:val="20"/>
              </w:rPr>
            </w:pPr>
            <w:r>
              <w:rPr>
                <w:rFonts w:ascii="Arial" w:hAnsi="Arial" w:cs="Arial"/>
                <w:sz w:val="20"/>
                <w:szCs w:val="20"/>
              </w:rPr>
              <w:t>Sue Baker</w:t>
            </w:r>
          </w:p>
        </w:tc>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ED303D" w:rsidRPr="007C1D50" w:rsidRDefault="009717B7" w:rsidP="00DE6319">
            <w:pPr>
              <w:jc w:val="center"/>
              <w:rPr>
                <w:rFonts w:ascii="Arial" w:hAnsi="Arial" w:cs="Arial"/>
                <w:sz w:val="20"/>
                <w:szCs w:val="20"/>
              </w:rPr>
            </w:pPr>
            <w:r>
              <w:rPr>
                <w:rFonts w:ascii="Arial" w:hAnsi="Arial" w:cs="Arial"/>
                <w:sz w:val="20"/>
                <w:szCs w:val="20"/>
              </w:rPr>
              <w:t>NEW</w:t>
            </w:r>
          </w:p>
        </w:tc>
      </w:tr>
    </w:tbl>
    <w:p w:rsidR="00ED303D" w:rsidRPr="007C1D50" w:rsidRDefault="00ED303D" w:rsidP="00ED303D">
      <w:pPr>
        <w:jc w:val="both"/>
        <w:rPr>
          <w:rFonts w:ascii="Arial" w:hAnsi="Arial" w:cs="Arial"/>
          <w:sz w:val="20"/>
          <w:szCs w:val="20"/>
        </w:rPr>
      </w:pPr>
    </w:p>
    <w:p w:rsidR="00ED303D" w:rsidRPr="007C1D50" w:rsidRDefault="00ED303D" w:rsidP="00ED303D">
      <w:pPr>
        <w:pStyle w:val="Header"/>
        <w:rPr>
          <w:rFonts w:ascii="Arial" w:hAnsi="Arial" w:cs="Arial"/>
          <w:sz w:val="20"/>
          <w:szCs w:val="20"/>
        </w:rPr>
      </w:pPr>
    </w:p>
    <w:tbl>
      <w:tblPr>
        <w:tblW w:w="9720" w:type="dxa"/>
        <w:tblInd w:w="-432" w:type="dxa"/>
        <w:tblLayout w:type="fixed"/>
        <w:tblLook w:val="0000" w:firstRow="0" w:lastRow="0" w:firstColumn="0" w:lastColumn="0" w:noHBand="0" w:noVBand="0"/>
      </w:tblPr>
      <w:tblGrid>
        <w:gridCol w:w="3240"/>
        <w:gridCol w:w="3240"/>
        <w:gridCol w:w="3240"/>
      </w:tblGrid>
      <w:tr w:rsidR="00ED303D" w:rsidRPr="007C1D50" w:rsidTr="00DE6319">
        <w:trPr>
          <w:trHeight w:val="782"/>
        </w:trPr>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lang w:val="nl-NL"/>
              </w:rPr>
              <w:t>Revised By:</w:t>
            </w:r>
          </w:p>
        </w:tc>
        <w:tc>
          <w:tcPr>
            <w:tcW w:w="324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Date Revised</w:t>
            </w:r>
          </w:p>
        </w:tc>
        <w:tc>
          <w:tcPr>
            <w:tcW w:w="3240" w:type="dxa"/>
            <w:tcBorders>
              <w:top w:val="single" w:sz="4" w:space="0" w:color="auto"/>
              <w:left w:val="single" w:sz="4" w:space="0" w:color="auto"/>
              <w:bottom w:val="single" w:sz="4" w:space="0" w:color="auto"/>
              <w:right w:val="single" w:sz="4" w:space="0" w:color="auto"/>
            </w:tcBorders>
          </w:tcPr>
          <w:p w:rsidR="00ED303D" w:rsidRDefault="00ED303D" w:rsidP="00DE6319">
            <w:pPr>
              <w:jc w:val="center"/>
              <w:rPr>
                <w:rFonts w:ascii="Arial" w:hAnsi="Arial" w:cs="Arial"/>
                <w:b/>
                <w:sz w:val="20"/>
                <w:szCs w:val="20"/>
              </w:rPr>
            </w:pPr>
            <w:r w:rsidRPr="007C1D50">
              <w:rPr>
                <w:rFonts w:ascii="Arial" w:hAnsi="Arial" w:cs="Arial"/>
                <w:b/>
                <w:sz w:val="20"/>
                <w:szCs w:val="20"/>
              </w:rPr>
              <w:t>Effective (adopted) Date:</w:t>
            </w:r>
          </w:p>
          <w:p w:rsidR="00ED303D" w:rsidRPr="007C1D50" w:rsidRDefault="00ED303D" w:rsidP="00DE6319">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r>
      <w:tr w:rsidR="00ED303D" w:rsidRPr="007C1D50" w:rsidTr="00DE6319">
        <w:trPr>
          <w:trHeight w:val="497"/>
        </w:trPr>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rPr>
                <w:rFonts w:ascii="Arial" w:hAnsi="Arial" w:cs="Arial"/>
                <w:sz w:val="20"/>
                <w:szCs w:val="20"/>
              </w:rPr>
            </w:pPr>
          </w:p>
        </w:tc>
        <w:tc>
          <w:tcPr>
            <w:tcW w:w="3240" w:type="dxa"/>
            <w:tcBorders>
              <w:top w:val="single" w:sz="4" w:space="0" w:color="auto"/>
              <w:left w:val="single" w:sz="6" w:space="0" w:color="auto"/>
              <w:bottom w:val="single" w:sz="36" w:space="0" w:color="auto"/>
              <w:right w:val="single" w:sz="6" w:space="0" w:color="auto"/>
            </w:tcBorders>
          </w:tcPr>
          <w:p w:rsidR="00ED303D" w:rsidRPr="007C1D50" w:rsidRDefault="00ED303D" w:rsidP="00DE6319">
            <w:pPr>
              <w:jc w:val="center"/>
              <w:rPr>
                <w:rFonts w:ascii="Arial" w:hAnsi="Arial" w:cs="Arial"/>
                <w:sz w:val="20"/>
                <w:szCs w:val="20"/>
              </w:rPr>
            </w:pPr>
          </w:p>
        </w:tc>
        <w:tc>
          <w:tcPr>
            <w:tcW w:w="3240" w:type="dxa"/>
            <w:tcBorders>
              <w:top w:val="single" w:sz="4" w:space="0" w:color="auto"/>
              <w:left w:val="single" w:sz="6" w:space="0" w:color="auto"/>
              <w:bottom w:val="single" w:sz="36" w:space="0" w:color="auto"/>
              <w:right w:val="single" w:sz="36" w:space="0" w:color="auto"/>
            </w:tcBorders>
          </w:tcPr>
          <w:p w:rsidR="00ED303D" w:rsidRPr="007C1D50" w:rsidRDefault="00ED303D" w:rsidP="00DE6319">
            <w:pPr>
              <w:jc w:val="center"/>
              <w:rPr>
                <w:rFonts w:ascii="Arial" w:hAnsi="Arial" w:cs="Arial"/>
                <w:sz w:val="20"/>
                <w:szCs w:val="20"/>
              </w:rPr>
            </w:pPr>
          </w:p>
        </w:tc>
      </w:tr>
    </w:tbl>
    <w:p w:rsidR="00ED303D" w:rsidRPr="007C1D50" w:rsidRDefault="00ED303D" w:rsidP="00ED303D">
      <w:pPr>
        <w:jc w:val="both"/>
        <w:rPr>
          <w:rFonts w:ascii="Arial" w:hAnsi="Arial" w:cs="Arial"/>
          <w:sz w:val="20"/>
          <w:szCs w:val="20"/>
        </w:rPr>
      </w:pPr>
    </w:p>
    <w:p w:rsidR="00ED303D" w:rsidRPr="007C1D50" w:rsidRDefault="00ED303D" w:rsidP="00ED303D">
      <w:pPr>
        <w:jc w:val="both"/>
        <w:rPr>
          <w:rFonts w:ascii="Arial" w:hAnsi="Arial" w:cs="Arial"/>
          <w:sz w:val="20"/>
          <w:szCs w:val="20"/>
        </w:rPr>
      </w:pPr>
    </w:p>
    <w:tbl>
      <w:tblPr>
        <w:tblW w:w="9630" w:type="dxa"/>
        <w:jc w:val="center"/>
        <w:tblLayout w:type="fixed"/>
        <w:tblLook w:val="0000" w:firstRow="0" w:lastRow="0" w:firstColumn="0" w:lastColumn="0" w:noHBand="0" w:noVBand="0"/>
      </w:tblPr>
      <w:tblGrid>
        <w:gridCol w:w="5760"/>
        <w:gridCol w:w="3870"/>
      </w:tblGrid>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4" w:space="0" w:color="auto"/>
            </w:tcBorders>
            <w:vAlign w:val="center"/>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Approval Signature</w:t>
            </w:r>
          </w:p>
        </w:tc>
        <w:tc>
          <w:tcPr>
            <w:tcW w:w="3870" w:type="dxa"/>
            <w:tcBorders>
              <w:top w:val="single" w:sz="6" w:space="0" w:color="auto"/>
              <w:left w:val="single" w:sz="4"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Approval Date</w:t>
            </w: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04A72" w:rsidRDefault="009717B7" w:rsidP="00DE6319">
            <w:pPr>
              <w:jc w:val="center"/>
              <w:rPr>
                <w:rFonts w:ascii="Arial" w:hAnsi="Arial" w:cs="Arial"/>
                <w:sz w:val="20"/>
                <w:szCs w:val="20"/>
              </w:rPr>
            </w:pPr>
            <w:r>
              <w:rPr>
                <w:rFonts w:ascii="Arial" w:hAnsi="Arial" w:cs="Arial"/>
                <w:sz w:val="20"/>
                <w:szCs w:val="20"/>
              </w:rPr>
              <w:t>Dr. Xiaolan Ou, Medical Director</w:t>
            </w: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EF2C76"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222CB"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EF2C76" w:rsidRDefault="009717B7" w:rsidP="00DE6319">
            <w:pPr>
              <w:jc w:val="center"/>
              <w:rPr>
                <w:rFonts w:ascii="Arial" w:hAnsi="Arial" w:cs="Arial"/>
                <w:sz w:val="20"/>
                <w:szCs w:val="20"/>
              </w:rPr>
            </w:pPr>
            <w:r>
              <w:rPr>
                <w:rFonts w:ascii="Arial" w:hAnsi="Arial" w:cs="Arial"/>
                <w:sz w:val="20"/>
                <w:szCs w:val="20"/>
              </w:rPr>
              <w:t>Mary Johnson, Chief Supervisor</w:t>
            </w: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nil"/>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ED303D" w:rsidP="00DE6319">
            <w:pPr>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6" w:space="0" w:color="auto"/>
              <w:right w:val="single" w:sz="6" w:space="0" w:color="auto"/>
            </w:tcBorders>
            <w:vAlign w:val="center"/>
          </w:tcPr>
          <w:p w:rsidR="00ED303D" w:rsidRPr="00404A72" w:rsidRDefault="009717B7" w:rsidP="00DE6319">
            <w:pPr>
              <w:jc w:val="center"/>
              <w:rPr>
                <w:rFonts w:ascii="Arial" w:hAnsi="Arial" w:cs="Arial"/>
                <w:sz w:val="20"/>
                <w:szCs w:val="20"/>
              </w:rPr>
            </w:pPr>
            <w:r>
              <w:rPr>
                <w:rFonts w:ascii="Arial" w:hAnsi="Arial" w:cs="Arial"/>
                <w:sz w:val="20"/>
                <w:szCs w:val="20"/>
              </w:rPr>
              <w:t>Susan Baker, Assistant Supervisor</w:t>
            </w:r>
          </w:p>
        </w:tc>
        <w:tc>
          <w:tcPr>
            <w:tcW w:w="3870" w:type="dxa"/>
            <w:tcBorders>
              <w:top w:val="single" w:sz="6" w:space="0" w:color="auto"/>
              <w:left w:val="nil"/>
              <w:bottom w:val="single" w:sz="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r w:rsidR="00ED303D" w:rsidRPr="007C1D50" w:rsidTr="00DE6319">
        <w:trPr>
          <w:trHeight w:val="270"/>
          <w:jc w:val="center"/>
        </w:trPr>
        <w:tc>
          <w:tcPr>
            <w:tcW w:w="5760" w:type="dxa"/>
            <w:tcBorders>
              <w:top w:val="single" w:sz="6" w:space="0" w:color="auto"/>
              <w:left w:val="single" w:sz="6" w:space="0" w:color="auto"/>
              <w:bottom w:val="single" w:sz="36" w:space="0" w:color="auto"/>
              <w:right w:val="single" w:sz="6" w:space="0" w:color="auto"/>
            </w:tcBorders>
            <w:vAlign w:val="center"/>
          </w:tcPr>
          <w:p w:rsidR="00ED303D" w:rsidRPr="006877B5" w:rsidRDefault="00ED303D" w:rsidP="00DE6319">
            <w:pPr>
              <w:jc w:val="center"/>
              <w:rPr>
                <w:rFonts w:ascii="Arial" w:hAnsi="Arial" w:cs="Arial"/>
                <w:sz w:val="20"/>
                <w:szCs w:val="20"/>
              </w:rPr>
            </w:pPr>
          </w:p>
        </w:tc>
        <w:tc>
          <w:tcPr>
            <w:tcW w:w="3870" w:type="dxa"/>
            <w:tcBorders>
              <w:top w:val="single" w:sz="6" w:space="0" w:color="auto"/>
              <w:left w:val="nil"/>
              <w:bottom w:val="single" w:sz="36" w:space="0" w:color="auto"/>
              <w:right w:val="single" w:sz="36" w:space="0" w:color="auto"/>
            </w:tcBorders>
            <w:vAlign w:val="center"/>
          </w:tcPr>
          <w:p w:rsidR="00ED303D" w:rsidRPr="007C1D50" w:rsidRDefault="00ED303D" w:rsidP="00DE6319">
            <w:pPr>
              <w:jc w:val="center"/>
              <w:rPr>
                <w:rFonts w:ascii="Arial" w:hAnsi="Arial" w:cs="Arial"/>
                <w:sz w:val="20"/>
                <w:szCs w:val="20"/>
              </w:rPr>
            </w:pPr>
          </w:p>
        </w:tc>
      </w:tr>
    </w:tbl>
    <w:p w:rsidR="00ED303D" w:rsidRPr="007C1D50" w:rsidRDefault="00ED303D" w:rsidP="00ED303D">
      <w:pPr>
        <w:rPr>
          <w:rFonts w:ascii="Arial" w:hAnsi="Arial" w:cs="Arial"/>
          <w:sz w:val="20"/>
          <w:szCs w:val="20"/>
        </w:rPr>
      </w:pPr>
    </w:p>
    <w:p w:rsidR="00ED303D" w:rsidRPr="007C1D50" w:rsidRDefault="00ED303D" w:rsidP="00ED303D">
      <w:pPr>
        <w:jc w:val="both"/>
        <w:rPr>
          <w:rFonts w:ascii="Arial" w:hAnsi="Arial" w:cs="Arial"/>
          <w:sz w:val="20"/>
          <w:szCs w:val="20"/>
        </w:rPr>
      </w:pPr>
    </w:p>
    <w:p w:rsidR="00ED303D" w:rsidRPr="007C1D50" w:rsidRDefault="00ED303D" w:rsidP="00ED303D">
      <w:pPr>
        <w:rPr>
          <w:rFonts w:ascii="Arial" w:hAnsi="Arial" w:cs="Arial"/>
          <w:sz w:val="20"/>
          <w:szCs w:val="20"/>
        </w:rPr>
      </w:pPr>
    </w:p>
    <w:tbl>
      <w:tblPr>
        <w:tblW w:w="9837" w:type="dxa"/>
        <w:tblInd w:w="-432" w:type="dxa"/>
        <w:tblLayout w:type="fixed"/>
        <w:tblLook w:val="0000" w:firstRow="0" w:lastRow="0" w:firstColumn="0" w:lastColumn="0" w:noHBand="0" w:noVBand="0"/>
      </w:tblPr>
      <w:tblGrid>
        <w:gridCol w:w="4002"/>
        <w:gridCol w:w="1260"/>
        <w:gridCol w:w="3360"/>
        <w:gridCol w:w="1215"/>
      </w:tblGrid>
      <w:tr w:rsidR="00ED303D" w:rsidRPr="007C1D50" w:rsidTr="00DE6319">
        <w:tc>
          <w:tcPr>
            <w:tcW w:w="4002"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p>
          <w:p w:rsidR="00ED303D" w:rsidRPr="007C1D50" w:rsidRDefault="00ED303D" w:rsidP="00DE6319">
            <w:pPr>
              <w:jc w:val="center"/>
              <w:rPr>
                <w:rFonts w:ascii="Arial" w:hAnsi="Arial" w:cs="Arial"/>
                <w:b/>
                <w:sz w:val="20"/>
                <w:szCs w:val="20"/>
              </w:rPr>
            </w:pPr>
            <w:r w:rsidRPr="007C1D50">
              <w:rPr>
                <w:rFonts w:ascii="Arial" w:hAnsi="Arial" w:cs="Arial"/>
                <w:b/>
                <w:sz w:val="20"/>
                <w:szCs w:val="20"/>
              </w:rPr>
              <w:t>Distributed to</w:t>
            </w:r>
          </w:p>
        </w:tc>
        <w:tc>
          <w:tcPr>
            <w:tcW w:w="126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 of Copies</w:t>
            </w:r>
          </w:p>
        </w:tc>
        <w:tc>
          <w:tcPr>
            <w:tcW w:w="3360"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p>
          <w:p w:rsidR="00ED303D" w:rsidRPr="007C1D50" w:rsidRDefault="00ED303D" w:rsidP="00DE6319">
            <w:pPr>
              <w:jc w:val="center"/>
              <w:rPr>
                <w:rFonts w:ascii="Arial" w:hAnsi="Arial" w:cs="Arial"/>
                <w:b/>
                <w:sz w:val="20"/>
                <w:szCs w:val="20"/>
              </w:rPr>
            </w:pPr>
            <w:r w:rsidRPr="007C1D50">
              <w:rPr>
                <w:rFonts w:ascii="Arial" w:hAnsi="Arial" w:cs="Arial"/>
                <w:b/>
                <w:sz w:val="20"/>
                <w:szCs w:val="20"/>
              </w:rPr>
              <w:t>Distributed to</w:t>
            </w:r>
          </w:p>
        </w:tc>
        <w:tc>
          <w:tcPr>
            <w:tcW w:w="1215" w:type="dxa"/>
            <w:tcBorders>
              <w:top w:val="single" w:sz="4" w:space="0" w:color="auto"/>
              <w:left w:val="single" w:sz="4" w:space="0" w:color="auto"/>
              <w:bottom w:val="single" w:sz="4" w:space="0" w:color="auto"/>
              <w:right w:val="single" w:sz="4" w:space="0" w:color="auto"/>
            </w:tcBorders>
          </w:tcPr>
          <w:p w:rsidR="00ED303D" w:rsidRPr="007C1D50" w:rsidRDefault="00ED303D" w:rsidP="00DE6319">
            <w:pPr>
              <w:jc w:val="center"/>
              <w:rPr>
                <w:rFonts w:ascii="Arial" w:hAnsi="Arial" w:cs="Arial"/>
                <w:b/>
                <w:sz w:val="20"/>
                <w:szCs w:val="20"/>
              </w:rPr>
            </w:pPr>
            <w:r w:rsidRPr="007C1D50">
              <w:rPr>
                <w:rFonts w:ascii="Arial" w:hAnsi="Arial" w:cs="Arial"/>
                <w:b/>
                <w:sz w:val="20"/>
                <w:szCs w:val="20"/>
              </w:rPr>
              <w:t># of Copies</w:t>
            </w:r>
          </w:p>
        </w:tc>
      </w:tr>
      <w:tr w:rsidR="00ED303D" w:rsidRPr="007C1D50" w:rsidTr="00DE6319">
        <w:tc>
          <w:tcPr>
            <w:tcW w:w="4002" w:type="dxa"/>
            <w:tcBorders>
              <w:top w:val="single" w:sz="4" w:space="0" w:color="auto"/>
              <w:left w:val="single" w:sz="6" w:space="0" w:color="auto"/>
              <w:bottom w:val="single" w:sz="6" w:space="0" w:color="auto"/>
              <w:right w:val="single" w:sz="6" w:space="0" w:color="auto"/>
            </w:tcBorders>
          </w:tcPr>
          <w:p w:rsidR="00ED303D" w:rsidRPr="00C0498C" w:rsidRDefault="009717B7" w:rsidP="00DE6319">
            <w:pPr>
              <w:jc w:val="center"/>
              <w:rPr>
                <w:rFonts w:ascii="Arial" w:hAnsi="Arial" w:cs="Arial"/>
                <w:sz w:val="20"/>
                <w:szCs w:val="20"/>
              </w:rPr>
            </w:pPr>
            <w:r>
              <w:rPr>
                <w:rFonts w:ascii="Arial" w:hAnsi="Arial" w:cs="Arial"/>
                <w:sz w:val="20"/>
                <w:szCs w:val="20"/>
              </w:rPr>
              <w:t>Lab</w:t>
            </w:r>
          </w:p>
        </w:tc>
        <w:tc>
          <w:tcPr>
            <w:tcW w:w="1260" w:type="dxa"/>
            <w:tcBorders>
              <w:top w:val="single" w:sz="4" w:space="0" w:color="auto"/>
              <w:left w:val="single" w:sz="6" w:space="0" w:color="auto"/>
              <w:bottom w:val="single" w:sz="6" w:space="0" w:color="auto"/>
              <w:right w:val="single" w:sz="6" w:space="0" w:color="auto"/>
            </w:tcBorders>
          </w:tcPr>
          <w:p w:rsidR="00ED303D" w:rsidRPr="007C1D50" w:rsidRDefault="009717B7" w:rsidP="00DE6319">
            <w:pPr>
              <w:jc w:val="center"/>
              <w:rPr>
                <w:rFonts w:ascii="Arial" w:hAnsi="Arial" w:cs="Arial"/>
                <w:b/>
                <w:sz w:val="20"/>
                <w:szCs w:val="20"/>
              </w:rPr>
            </w:pPr>
            <w:r>
              <w:rPr>
                <w:rFonts w:ascii="Arial" w:hAnsi="Arial" w:cs="Arial"/>
                <w:b/>
                <w:sz w:val="20"/>
                <w:szCs w:val="20"/>
              </w:rPr>
              <w:t>1</w:t>
            </w:r>
          </w:p>
        </w:tc>
        <w:tc>
          <w:tcPr>
            <w:tcW w:w="3360" w:type="dxa"/>
            <w:tcBorders>
              <w:top w:val="single" w:sz="4"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4"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9717B7" w:rsidP="00DE6319">
            <w:pPr>
              <w:jc w:val="center"/>
              <w:rPr>
                <w:rFonts w:ascii="Arial" w:hAnsi="Arial" w:cs="Arial"/>
                <w:sz w:val="20"/>
                <w:szCs w:val="20"/>
              </w:rPr>
            </w:pPr>
            <w:r>
              <w:rPr>
                <w:rFonts w:ascii="Arial" w:hAnsi="Arial" w:cs="Arial"/>
                <w:sz w:val="20"/>
                <w:szCs w:val="20"/>
              </w:rPr>
              <w:t>Office</w:t>
            </w: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9717B7" w:rsidP="00DE6319">
            <w:pPr>
              <w:jc w:val="center"/>
              <w:rPr>
                <w:rFonts w:ascii="Arial" w:hAnsi="Arial" w:cs="Arial"/>
                <w:b/>
                <w:sz w:val="20"/>
                <w:szCs w:val="20"/>
              </w:rPr>
            </w:pPr>
            <w:r>
              <w:rPr>
                <w:rFonts w:ascii="Arial" w:hAnsi="Arial" w:cs="Arial"/>
                <w:b/>
                <w:sz w:val="20"/>
                <w:szCs w:val="20"/>
              </w:rPr>
              <w:t>1</w:t>
            </w: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ED303D" w:rsidP="00DE6319">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C0498C" w:rsidRDefault="00ED303D" w:rsidP="00DE6319">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r w:rsidR="00ED303D" w:rsidRPr="007C1D50" w:rsidTr="00DE6319">
        <w:tc>
          <w:tcPr>
            <w:tcW w:w="4002"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center"/>
              <w:rPr>
                <w:rFonts w:ascii="Arial" w:hAnsi="Arial" w:cs="Arial"/>
                <w:b/>
                <w:sz w:val="20"/>
                <w:szCs w:val="20"/>
              </w:rPr>
            </w:pPr>
          </w:p>
        </w:tc>
        <w:tc>
          <w:tcPr>
            <w:tcW w:w="3360" w:type="dxa"/>
            <w:tcBorders>
              <w:top w:val="single" w:sz="6" w:space="0" w:color="auto"/>
              <w:left w:val="single" w:sz="6" w:space="0" w:color="auto"/>
              <w:bottom w:val="single" w:sz="6" w:space="0" w:color="auto"/>
              <w:right w:val="single" w:sz="6" w:space="0" w:color="auto"/>
            </w:tcBorders>
          </w:tcPr>
          <w:p w:rsidR="00ED303D" w:rsidRPr="007C1D50" w:rsidRDefault="00ED303D" w:rsidP="00DE6319">
            <w:pPr>
              <w:jc w:val="both"/>
              <w:rPr>
                <w:rFonts w:ascii="Arial" w:hAnsi="Arial" w:cs="Arial"/>
                <w:b/>
                <w:sz w:val="20"/>
                <w:szCs w:val="20"/>
              </w:rPr>
            </w:pPr>
          </w:p>
        </w:tc>
        <w:tc>
          <w:tcPr>
            <w:tcW w:w="1215" w:type="dxa"/>
            <w:tcBorders>
              <w:top w:val="single" w:sz="6" w:space="0" w:color="auto"/>
              <w:left w:val="single" w:sz="6" w:space="0" w:color="auto"/>
              <w:bottom w:val="single" w:sz="6" w:space="0" w:color="auto"/>
              <w:right w:val="single" w:sz="36" w:space="0" w:color="auto"/>
            </w:tcBorders>
          </w:tcPr>
          <w:p w:rsidR="00ED303D" w:rsidRPr="007C1D50" w:rsidRDefault="00ED303D" w:rsidP="00DE6319">
            <w:pPr>
              <w:jc w:val="both"/>
              <w:rPr>
                <w:rFonts w:ascii="Arial" w:hAnsi="Arial" w:cs="Arial"/>
                <w:b/>
                <w:sz w:val="20"/>
                <w:szCs w:val="20"/>
              </w:rPr>
            </w:pPr>
          </w:p>
        </w:tc>
      </w:tr>
    </w:tbl>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Pr="007C1D50" w:rsidRDefault="00ED303D" w:rsidP="00ED303D">
      <w:pPr>
        <w:pStyle w:val="Heading1"/>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sz w:val="20"/>
          <w:szCs w:val="20"/>
        </w:rPr>
      </w:pPr>
    </w:p>
    <w:p w:rsidR="00ED303D" w:rsidRDefault="00ED303D" w:rsidP="00ED303D">
      <w:pPr>
        <w:rPr>
          <w:rFonts w:ascii="Arial" w:hAnsi="Arial" w:cs="Arial"/>
          <w:b/>
          <w:sz w:val="20"/>
          <w:szCs w:val="20"/>
        </w:rPr>
      </w:pPr>
      <w:r>
        <w:rPr>
          <w:rFonts w:ascii="Arial" w:hAnsi="Arial" w:cs="Arial"/>
          <w:sz w:val="20"/>
          <w:szCs w:val="20"/>
        </w:rPr>
        <w:br w:type="page"/>
      </w:r>
      <w:r w:rsidRPr="00D234FD">
        <w:rPr>
          <w:rFonts w:ascii="Arial" w:hAnsi="Arial" w:cs="Arial"/>
          <w:b/>
          <w:sz w:val="20"/>
          <w:szCs w:val="20"/>
        </w:rPr>
        <w:lastRenderedPageBreak/>
        <w:t>REVISION HISTORY</w:t>
      </w:r>
    </w:p>
    <w:p w:rsidR="00ED303D" w:rsidRDefault="00ED303D" w:rsidP="00ED303D">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265"/>
        <w:gridCol w:w="4557"/>
      </w:tblGrid>
      <w:tr w:rsidR="00ED303D" w:rsidRPr="00520F5D" w:rsidTr="00DE6319">
        <w:trPr>
          <w:trHeight w:val="263"/>
          <w:jc w:val="center"/>
        </w:trPr>
        <w:tc>
          <w:tcPr>
            <w:tcW w:w="1738" w:type="dxa"/>
            <w:tcBorders>
              <w:top w:val="single" w:sz="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Procedure #</w:t>
            </w:r>
          </w:p>
        </w:tc>
        <w:tc>
          <w:tcPr>
            <w:tcW w:w="1265" w:type="dxa"/>
            <w:tcBorders>
              <w:top w:val="single" w:sz="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Revision Date</w:t>
            </w:r>
          </w:p>
        </w:tc>
        <w:tc>
          <w:tcPr>
            <w:tcW w:w="4557" w:type="dxa"/>
            <w:tcBorders>
              <w:top w:val="single" w:sz="4" w:space="0" w:color="auto"/>
              <w:right w:val="single" w:sz="24" w:space="0" w:color="auto"/>
            </w:tcBorders>
            <w:shd w:val="clear" w:color="auto" w:fill="auto"/>
          </w:tcPr>
          <w:p w:rsidR="00ED303D" w:rsidRPr="00520F5D" w:rsidRDefault="00ED303D" w:rsidP="00DE6319">
            <w:pPr>
              <w:pStyle w:val="Header"/>
              <w:jc w:val="center"/>
              <w:rPr>
                <w:rFonts w:ascii="Arial" w:hAnsi="Arial" w:cs="Arial"/>
                <w:b/>
                <w:sz w:val="20"/>
                <w:szCs w:val="20"/>
              </w:rPr>
            </w:pPr>
            <w:r w:rsidRPr="00520F5D">
              <w:rPr>
                <w:rFonts w:ascii="Arial" w:hAnsi="Arial" w:cs="Arial"/>
                <w:b/>
                <w:sz w:val="20"/>
                <w:szCs w:val="20"/>
              </w:rPr>
              <w:t>Reason for Revision</w:t>
            </w:r>
          </w:p>
        </w:tc>
      </w:tr>
      <w:tr w:rsidR="00ED303D" w:rsidRPr="00520F5D" w:rsidTr="00DE6319">
        <w:trPr>
          <w:trHeight w:val="263"/>
          <w:jc w:val="center"/>
        </w:trPr>
        <w:tc>
          <w:tcPr>
            <w:tcW w:w="1738" w:type="dxa"/>
            <w:tcBorders>
              <w:top w:val="single" w:sz="4" w:space="0" w:color="auto"/>
            </w:tcBorders>
            <w:shd w:val="clear" w:color="auto" w:fill="auto"/>
          </w:tcPr>
          <w:p w:rsidR="00ED303D" w:rsidRPr="007A2997" w:rsidRDefault="00ED303D" w:rsidP="00DE6319">
            <w:pPr>
              <w:pStyle w:val="Header"/>
              <w:tabs>
                <w:tab w:val="left" w:pos="2997"/>
              </w:tabs>
              <w:jc w:val="right"/>
              <w:rPr>
                <w:rFonts w:ascii="Arial" w:hAnsi="Arial" w:cs="Arial"/>
                <w:b/>
                <w:sz w:val="20"/>
                <w:szCs w:val="20"/>
              </w:rPr>
            </w:pPr>
          </w:p>
        </w:tc>
        <w:tc>
          <w:tcPr>
            <w:tcW w:w="1265" w:type="dxa"/>
            <w:tcBorders>
              <w:top w:val="single" w:sz="4" w:space="0" w:color="auto"/>
            </w:tcBorders>
            <w:shd w:val="clear" w:color="auto" w:fill="auto"/>
          </w:tcPr>
          <w:p w:rsidR="00ED303D" w:rsidRPr="007A2997" w:rsidRDefault="00ED303D" w:rsidP="00DE6319">
            <w:pPr>
              <w:pStyle w:val="Header"/>
              <w:jc w:val="center"/>
              <w:rPr>
                <w:rFonts w:ascii="Arial" w:hAnsi="Arial" w:cs="Arial"/>
                <w:sz w:val="20"/>
                <w:szCs w:val="20"/>
              </w:rPr>
            </w:pPr>
          </w:p>
        </w:tc>
        <w:tc>
          <w:tcPr>
            <w:tcW w:w="4557" w:type="dxa"/>
            <w:tcBorders>
              <w:top w:val="single" w:sz="4" w:space="0" w:color="auto"/>
              <w:right w:val="single" w:sz="24" w:space="0" w:color="auto"/>
            </w:tcBorders>
            <w:shd w:val="clear" w:color="auto" w:fill="auto"/>
          </w:tcPr>
          <w:p w:rsidR="00ED303D" w:rsidRPr="007A2997" w:rsidRDefault="00ED303D" w:rsidP="00DE6319">
            <w:pPr>
              <w:pStyle w:val="Header"/>
              <w:rPr>
                <w:rFonts w:ascii="Arial" w:hAnsi="Arial" w:cs="Arial"/>
                <w:b/>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r w:rsidR="00ED303D" w:rsidRPr="00520F5D" w:rsidTr="00DE6319">
        <w:trPr>
          <w:trHeight w:val="263"/>
          <w:jc w:val="center"/>
        </w:trPr>
        <w:tc>
          <w:tcPr>
            <w:tcW w:w="1738" w:type="dxa"/>
            <w:shd w:val="clear" w:color="auto" w:fill="auto"/>
          </w:tcPr>
          <w:p w:rsidR="00ED303D" w:rsidRPr="00520F5D" w:rsidRDefault="00ED303D" w:rsidP="00DE6319">
            <w:pPr>
              <w:pStyle w:val="Header"/>
              <w:rPr>
                <w:rFonts w:ascii="Arial" w:hAnsi="Arial" w:cs="Arial"/>
                <w:sz w:val="20"/>
                <w:szCs w:val="20"/>
              </w:rPr>
            </w:pPr>
          </w:p>
        </w:tc>
        <w:tc>
          <w:tcPr>
            <w:tcW w:w="1265" w:type="dxa"/>
            <w:shd w:val="clear" w:color="auto" w:fill="auto"/>
          </w:tcPr>
          <w:p w:rsidR="00ED303D" w:rsidRPr="00520F5D" w:rsidRDefault="00ED303D" w:rsidP="00DE6319">
            <w:pPr>
              <w:pStyle w:val="Header"/>
              <w:rPr>
                <w:rFonts w:ascii="Arial" w:hAnsi="Arial" w:cs="Arial"/>
                <w:sz w:val="20"/>
                <w:szCs w:val="20"/>
              </w:rPr>
            </w:pPr>
          </w:p>
        </w:tc>
        <w:tc>
          <w:tcPr>
            <w:tcW w:w="4557" w:type="dxa"/>
            <w:tcBorders>
              <w:right w:val="single" w:sz="24" w:space="0" w:color="auto"/>
            </w:tcBorders>
            <w:shd w:val="clear" w:color="auto" w:fill="auto"/>
          </w:tcPr>
          <w:p w:rsidR="00ED303D" w:rsidRPr="00520F5D" w:rsidRDefault="00ED303D" w:rsidP="00DE6319">
            <w:pPr>
              <w:pStyle w:val="Header"/>
              <w:rPr>
                <w:rFonts w:ascii="Arial" w:hAnsi="Arial" w:cs="Arial"/>
                <w:sz w:val="20"/>
                <w:szCs w:val="20"/>
              </w:rPr>
            </w:pPr>
          </w:p>
        </w:tc>
      </w:tr>
    </w:tbl>
    <w:p w:rsidR="00ED303D" w:rsidRDefault="00ED303D" w:rsidP="00ED303D">
      <w:pPr>
        <w:jc w:val="center"/>
        <w:rPr>
          <w:rFonts w:ascii="Arial" w:hAnsi="Arial" w:cs="Arial"/>
          <w:b/>
          <w:sz w:val="20"/>
          <w:szCs w:val="20"/>
        </w:rPr>
      </w:pPr>
    </w:p>
    <w:p w:rsidR="00ED303D" w:rsidRDefault="00ED303D" w:rsidP="00ED303D">
      <w:pPr>
        <w:jc w:val="center"/>
        <w:rPr>
          <w:rFonts w:ascii="Arial" w:hAnsi="Arial" w:cs="Arial"/>
          <w:b/>
          <w:sz w:val="20"/>
          <w:szCs w:val="20"/>
        </w:rPr>
      </w:pPr>
    </w:p>
    <w:p w:rsidR="00ED303D" w:rsidRPr="007C1D50" w:rsidRDefault="00ED303D" w:rsidP="00ED303D">
      <w:pPr>
        <w:rPr>
          <w:rFonts w:ascii="Arial" w:hAnsi="Arial" w:cs="Arial"/>
          <w:sz w:val="20"/>
          <w:szCs w:val="20"/>
        </w:rPr>
      </w:pPr>
      <w:r>
        <w:rPr>
          <w:rFonts w:ascii="Arial" w:hAnsi="Arial" w:cs="Arial"/>
          <w:b/>
          <w:sz w:val="20"/>
          <w:szCs w:val="20"/>
        </w:rPr>
        <w:br w:type="page"/>
      </w:r>
    </w:p>
    <w:p w:rsidR="00ED303D" w:rsidRPr="007C1D50" w:rsidRDefault="00ED303D" w:rsidP="00ED303D">
      <w:pPr>
        <w:pStyle w:val="Heading1"/>
        <w:rPr>
          <w:rFonts w:ascii="Arial" w:hAnsi="Arial" w:cs="Arial"/>
          <w:sz w:val="20"/>
          <w:szCs w:val="20"/>
        </w:rPr>
      </w:pPr>
      <w:r w:rsidRPr="007C1D50">
        <w:rPr>
          <w:rFonts w:ascii="Arial" w:hAnsi="Arial" w:cs="Arial"/>
          <w:sz w:val="20"/>
          <w:szCs w:val="20"/>
        </w:rPr>
        <w:lastRenderedPageBreak/>
        <w:t xml:space="preserve">TITLE: </w:t>
      </w:r>
    </w:p>
    <w:p w:rsidR="00ED303D" w:rsidRPr="007C1D50" w:rsidRDefault="00ED303D" w:rsidP="00ED303D">
      <w:pPr>
        <w:rPr>
          <w:rFonts w:ascii="Arial" w:hAnsi="Arial" w:cs="Arial"/>
          <w:sz w:val="20"/>
          <w:szCs w:val="20"/>
        </w:rPr>
      </w:pPr>
    </w:p>
    <w:p w:rsidR="00ED303D" w:rsidRDefault="00ED303D" w:rsidP="00ED303D">
      <w:pPr>
        <w:pStyle w:val="First-OrderHeading"/>
        <w:numPr>
          <w:ilvl w:val="0"/>
          <w:numId w:val="21"/>
        </w:numPr>
        <w:tabs>
          <w:tab w:val="clear" w:pos="1080"/>
          <w:tab w:val="num" w:pos="0"/>
        </w:tabs>
        <w:ind w:left="0" w:firstLine="0"/>
        <w:rPr>
          <w:rFonts w:ascii="Arial" w:hAnsi="Arial" w:cs="Arial"/>
          <w:sz w:val="20"/>
        </w:rPr>
      </w:pPr>
      <w:r w:rsidRPr="007C1D50">
        <w:rPr>
          <w:rFonts w:ascii="Arial" w:hAnsi="Arial" w:cs="Arial"/>
          <w:sz w:val="20"/>
        </w:rPr>
        <w:t>Purpose</w:t>
      </w:r>
    </w:p>
    <w:p w:rsidR="00B22825" w:rsidRDefault="00B22825" w:rsidP="00B22825">
      <w:pPr>
        <w:pStyle w:val="First-OrderHeading"/>
        <w:numPr>
          <w:ilvl w:val="0"/>
          <w:numId w:val="0"/>
        </w:numPr>
        <w:ind w:left="720"/>
        <w:rPr>
          <w:rFonts w:ascii="Arial" w:hAnsi="Arial" w:cs="Arial"/>
          <w:b w:val="0"/>
          <w:caps w:val="0"/>
          <w:sz w:val="20"/>
        </w:rPr>
      </w:pPr>
      <w:r>
        <w:rPr>
          <w:rFonts w:ascii="Arial" w:hAnsi="Arial" w:cs="Arial"/>
          <w:b w:val="0"/>
          <w:caps w:val="0"/>
          <w:sz w:val="20"/>
        </w:rPr>
        <w:t>Triiodothyronine (T3) is the hormone principally responsible for the development of the effects of the thyroid hormones on the various target organs.</w:t>
      </w:r>
    </w:p>
    <w:p w:rsidR="00B22825" w:rsidRDefault="00B22825" w:rsidP="00B22825">
      <w:pPr>
        <w:pStyle w:val="First-OrderHeading"/>
        <w:numPr>
          <w:ilvl w:val="0"/>
          <w:numId w:val="0"/>
        </w:numPr>
        <w:ind w:left="720"/>
        <w:rPr>
          <w:rFonts w:ascii="Arial" w:hAnsi="Arial" w:cs="Arial"/>
          <w:b w:val="0"/>
          <w:caps w:val="0"/>
          <w:sz w:val="20"/>
        </w:rPr>
      </w:pPr>
      <w:r>
        <w:rPr>
          <w:rFonts w:ascii="Arial" w:hAnsi="Arial" w:cs="Arial"/>
          <w:b w:val="0"/>
          <w:caps w:val="0"/>
          <w:sz w:val="20"/>
        </w:rPr>
        <w:t>T3 (3,5,3’-triiodothyronine) is mainly formed extrrathyroidally, particularly in the liver, by enzymatic 5’-deiodination of T4.  Accordingly, the T3 concentration in serum is more a reflection of the functional state of the peripheral tissue than the secretory performance of the thyroid gland.</w:t>
      </w:r>
    </w:p>
    <w:p w:rsidR="00B22825" w:rsidRPr="000627F6" w:rsidRDefault="00B22825" w:rsidP="00B22825">
      <w:pPr>
        <w:pStyle w:val="First-OrderHeading"/>
        <w:numPr>
          <w:ilvl w:val="0"/>
          <w:numId w:val="0"/>
        </w:numPr>
        <w:ind w:left="720"/>
        <w:rPr>
          <w:rFonts w:ascii="Arial" w:hAnsi="Arial" w:cs="Arial"/>
          <w:b w:val="0"/>
          <w:caps w:val="0"/>
          <w:sz w:val="20"/>
          <w:vertAlign w:val="superscript"/>
        </w:rPr>
      </w:pPr>
      <w:r>
        <w:rPr>
          <w:rFonts w:ascii="Arial" w:hAnsi="Arial" w:cs="Arial"/>
          <w:b w:val="0"/>
          <w:caps w:val="0"/>
          <w:sz w:val="20"/>
        </w:rPr>
        <w:t xml:space="preserve">A reduction in the conversion of T4 to T3 results in a decrease in the T3 </w:t>
      </w:r>
      <w:r w:rsidR="00BB54F3">
        <w:rPr>
          <w:rFonts w:ascii="Arial" w:hAnsi="Arial" w:cs="Arial"/>
          <w:b w:val="0"/>
          <w:caps w:val="0"/>
          <w:sz w:val="20"/>
        </w:rPr>
        <w:t>concentration</w:t>
      </w:r>
      <w:r>
        <w:rPr>
          <w:rFonts w:ascii="Arial" w:hAnsi="Arial" w:cs="Arial"/>
          <w:b w:val="0"/>
          <w:caps w:val="0"/>
          <w:sz w:val="20"/>
        </w:rPr>
        <w:t xml:space="preserve">.  It occurs under the influence of medicaments such as propranolol, glucocorticoids or amiodarone and in severe non-thyroidal illness (NTI), and is referred to as “low T3 </w:t>
      </w:r>
      <w:r w:rsidR="00BB54F3">
        <w:rPr>
          <w:rFonts w:ascii="Arial" w:hAnsi="Arial" w:cs="Arial"/>
          <w:b w:val="0"/>
          <w:caps w:val="0"/>
          <w:sz w:val="20"/>
        </w:rPr>
        <w:t>syndrome</w:t>
      </w:r>
      <w:r>
        <w:rPr>
          <w:rFonts w:ascii="Arial" w:hAnsi="Arial" w:cs="Arial"/>
          <w:b w:val="0"/>
          <w:caps w:val="0"/>
          <w:sz w:val="20"/>
        </w:rPr>
        <w:t>”.  As with T4, over 99% of T3 is bound to transport proteins.  However, the affinity of T3 to them is around 10-fold lower.</w:t>
      </w:r>
      <w:r>
        <w:rPr>
          <w:rFonts w:ascii="Arial" w:hAnsi="Arial" w:cs="Arial"/>
          <w:b w:val="0"/>
          <w:caps w:val="0"/>
          <w:sz w:val="20"/>
          <w:vertAlign w:val="superscript"/>
        </w:rPr>
        <w:t>1,2,3,4</w:t>
      </w:r>
    </w:p>
    <w:p w:rsidR="00B22825" w:rsidRPr="000627F6" w:rsidRDefault="00B22825" w:rsidP="00B22825">
      <w:pPr>
        <w:pStyle w:val="First-OrderHeading"/>
        <w:numPr>
          <w:ilvl w:val="0"/>
          <w:numId w:val="0"/>
        </w:numPr>
        <w:ind w:left="720"/>
        <w:rPr>
          <w:rFonts w:ascii="Arial" w:hAnsi="Arial" w:cs="Arial"/>
          <w:b w:val="0"/>
          <w:caps w:val="0"/>
          <w:sz w:val="20"/>
          <w:vertAlign w:val="superscript"/>
        </w:rPr>
      </w:pPr>
      <w:r>
        <w:rPr>
          <w:rFonts w:ascii="Arial" w:hAnsi="Arial" w:cs="Arial"/>
          <w:b w:val="0"/>
          <w:caps w:val="0"/>
          <w:sz w:val="20"/>
        </w:rPr>
        <w:t>The determination of T3 is utilized in the diagnosis of T3-hyperthyroidis, the detection of early stages of hyperthyroidism and for indicating a diagnosis of thyrotoxicosis factitia.</w:t>
      </w:r>
      <w:r>
        <w:rPr>
          <w:rFonts w:ascii="Arial" w:hAnsi="Arial" w:cs="Arial"/>
          <w:b w:val="0"/>
          <w:caps w:val="0"/>
          <w:sz w:val="20"/>
          <w:vertAlign w:val="superscript"/>
        </w:rPr>
        <w:t>5,6,7</w:t>
      </w:r>
    </w:p>
    <w:p w:rsidR="00B22825" w:rsidRDefault="00B22825" w:rsidP="00B22825">
      <w:pPr>
        <w:pStyle w:val="First-OrderHeading"/>
        <w:numPr>
          <w:ilvl w:val="0"/>
          <w:numId w:val="0"/>
        </w:numPr>
        <w:ind w:left="720"/>
        <w:rPr>
          <w:rFonts w:ascii="Arial" w:hAnsi="Arial" w:cs="Arial"/>
          <w:b w:val="0"/>
          <w:caps w:val="0"/>
          <w:sz w:val="20"/>
        </w:rPr>
      </w:pPr>
      <w:r>
        <w:rPr>
          <w:rFonts w:ascii="Arial" w:hAnsi="Arial" w:cs="Arial"/>
          <w:b w:val="0"/>
          <w:caps w:val="0"/>
          <w:sz w:val="20"/>
        </w:rPr>
        <w:t xml:space="preserve">The Elecsys T3 assay employs a competitive test principle with polyclonal antibodies specifically directed against T3.  Endogenous T3, released by the action of 8-anilino-1-napththalene sulfonic acid (ANS), competes with the added biotinylated T3-derivative for the binding sites on the antibodies labeled with the </w:t>
      </w:r>
      <w:r w:rsidR="00BB54F3">
        <w:rPr>
          <w:rFonts w:ascii="Arial" w:hAnsi="Arial" w:cs="Arial"/>
          <w:b w:val="0"/>
          <w:caps w:val="0"/>
          <w:sz w:val="20"/>
        </w:rPr>
        <w:t>ruthenium</w:t>
      </w:r>
      <w:r>
        <w:rPr>
          <w:rFonts w:ascii="Arial" w:hAnsi="Arial" w:cs="Arial"/>
          <w:b w:val="0"/>
          <w:caps w:val="0"/>
          <w:sz w:val="20"/>
        </w:rPr>
        <w:t xml:space="preserve"> complex</w:t>
      </w:r>
      <w:r>
        <w:rPr>
          <w:rFonts w:ascii="Arial" w:hAnsi="Arial" w:cs="Arial"/>
          <w:b w:val="0"/>
          <w:caps w:val="0"/>
          <w:sz w:val="20"/>
          <w:vertAlign w:val="superscript"/>
        </w:rPr>
        <w:t>a)</w:t>
      </w:r>
      <w:r>
        <w:rPr>
          <w:rFonts w:ascii="Arial" w:hAnsi="Arial" w:cs="Arial"/>
          <w:b w:val="0"/>
          <w:caps w:val="0"/>
          <w:sz w:val="20"/>
        </w:rPr>
        <w:t>.</w:t>
      </w:r>
    </w:p>
    <w:p w:rsidR="00B22825" w:rsidRPr="004130A7" w:rsidRDefault="00B22825" w:rsidP="00B22825">
      <w:pPr>
        <w:pStyle w:val="First-OrderHeading"/>
        <w:numPr>
          <w:ilvl w:val="0"/>
          <w:numId w:val="21"/>
        </w:numPr>
        <w:rPr>
          <w:rFonts w:ascii="Arial" w:hAnsi="Arial" w:cs="Arial"/>
          <w:b w:val="0"/>
          <w:caps w:val="0"/>
          <w:sz w:val="20"/>
          <w:vertAlign w:val="superscript"/>
        </w:rPr>
      </w:pPr>
      <w:r>
        <w:rPr>
          <w:rFonts w:ascii="Arial" w:hAnsi="Arial" w:cs="Arial"/>
          <w:b w:val="0"/>
          <w:caps w:val="0"/>
          <w:sz w:val="20"/>
          <w:vertAlign w:val="superscript"/>
        </w:rPr>
        <w:t>Tris(2,2’-bipyridyl(ruthenium(II)-complex(Ru(by)</w:t>
      </w:r>
      <w:r>
        <w:rPr>
          <w:rFonts w:ascii="Arial" w:hAnsi="Arial" w:cs="Arial"/>
          <w:b w:val="0"/>
          <w:caps w:val="0"/>
          <w:sz w:val="20"/>
          <w:vertAlign w:val="subscript"/>
        </w:rPr>
        <w:t>3</w:t>
      </w:r>
      <w:r>
        <w:rPr>
          <w:rFonts w:ascii="Arial" w:hAnsi="Arial" w:cs="Arial"/>
          <w:b w:val="0"/>
          <w:caps w:val="0"/>
          <w:sz w:val="20"/>
          <w:vertAlign w:val="superscript"/>
        </w:rPr>
        <w:t>2+)</w:t>
      </w:r>
    </w:p>
    <w:p w:rsidR="00ED303D" w:rsidRPr="00A9284B" w:rsidRDefault="00ED303D" w:rsidP="00ED303D">
      <w:pPr>
        <w:pStyle w:val="First-OrderHeading"/>
        <w:numPr>
          <w:ilvl w:val="0"/>
          <w:numId w:val="21"/>
        </w:numPr>
        <w:tabs>
          <w:tab w:val="clear" w:pos="1080"/>
          <w:tab w:val="num" w:pos="0"/>
        </w:tabs>
        <w:ind w:left="0" w:firstLine="0"/>
        <w:rPr>
          <w:rFonts w:ascii="Arial" w:hAnsi="Arial" w:cs="Arial"/>
          <w:sz w:val="20"/>
        </w:rPr>
      </w:pPr>
      <w:r>
        <w:rPr>
          <w:rFonts w:ascii="Arial" w:hAnsi="Arial" w:cs="Arial"/>
          <w:sz w:val="20"/>
        </w:rPr>
        <w:t>TEST PRINCIPLE</w:t>
      </w:r>
    </w:p>
    <w:p w:rsidR="00ED303D" w:rsidRDefault="00ED303D" w:rsidP="00ED303D">
      <w:pPr>
        <w:pStyle w:val="First-OrderHeading"/>
        <w:numPr>
          <w:ilvl w:val="0"/>
          <w:numId w:val="0"/>
        </w:numPr>
        <w:ind w:left="720"/>
        <w:rPr>
          <w:rFonts w:ascii="Arial" w:hAnsi="Arial" w:cs="Arial"/>
          <w:b w:val="0"/>
          <w:caps w:val="0"/>
          <w:sz w:val="20"/>
        </w:rPr>
      </w:pPr>
      <w:r>
        <w:rPr>
          <w:rFonts w:ascii="Arial" w:hAnsi="Arial" w:cs="Arial"/>
          <w:b w:val="0"/>
          <w:caps w:val="0"/>
          <w:sz w:val="20"/>
        </w:rPr>
        <w:t>Competition principle.  Total durati</w:t>
      </w:r>
      <w:r w:rsidR="00B22825">
        <w:rPr>
          <w:rFonts w:ascii="Arial" w:hAnsi="Arial" w:cs="Arial"/>
          <w:b w:val="0"/>
          <w:caps w:val="0"/>
          <w:sz w:val="20"/>
        </w:rPr>
        <w:t>on of assay: 18</w:t>
      </w:r>
      <w:r>
        <w:rPr>
          <w:rFonts w:ascii="Arial" w:hAnsi="Arial" w:cs="Arial"/>
          <w:b w:val="0"/>
          <w:caps w:val="0"/>
          <w:sz w:val="20"/>
        </w:rPr>
        <w:t xml:space="preserve"> minutes.</w:t>
      </w:r>
    </w:p>
    <w:p w:rsidR="00ED303D" w:rsidRDefault="00ED303D" w:rsidP="00ED303D">
      <w:pPr>
        <w:pStyle w:val="First-OrderHeading"/>
        <w:numPr>
          <w:ilvl w:val="0"/>
          <w:numId w:val="23"/>
        </w:numPr>
        <w:rPr>
          <w:rFonts w:ascii="Arial" w:hAnsi="Arial" w:cs="Arial"/>
          <w:b w:val="0"/>
          <w:caps w:val="0"/>
          <w:sz w:val="20"/>
        </w:rPr>
      </w:pPr>
      <w:r>
        <w:rPr>
          <w:rFonts w:ascii="Arial" w:hAnsi="Arial" w:cs="Arial"/>
          <w:b w:val="0"/>
          <w:caps w:val="0"/>
          <w:sz w:val="20"/>
        </w:rPr>
        <w:t>1</w:t>
      </w:r>
      <w:r>
        <w:rPr>
          <w:rFonts w:ascii="Arial" w:hAnsi="Arial" w:cs="Arial"/>
          <w:b w:val="0"/>
          <w:caps w:val="0"/>
          <w:sz w:val="20"/>
          <w:vertAlign w:val="superscript"/>
        </w:rPr>
        <w:t>st</w:t>
      </w:r>
      <w:r>
        <w:rPr>
          <w:rFonts w:ascii="Arial" w:hAnsi="Arial" w:cs="Arial"/>
          <w:b w:val="0"/>
          <w:caps w:val="0"/>
          <w:sz w:val="20"/>
        </w:rPr>
        <w:t xml:space="preserve"> incubation: </w:t>
      </w:r>
      <w:r w:rsidR="00B22825">
        <w:rPr>
          <w:rFonts w:ascii="Arial" w:hAnsi="Arial" w:cs="Arial"/>
          <w:b w:val="0"/>
          <w:caps w:val="0"/>
          <w:sz w:val="20"/>
        </w:rPr>
        <w:t>30 uL of sample and a T3-specific antibody labeled with a ruthenium complex; bound T3 is released from the binding proteins in the sample by ANS.</w:t>
      </w:r>
    </w:p>
    <w:p w:rsidR="00B22825" w:rsidRDefault="00ED303D" w:rsidP="00B22825">
      <w:pPr>
        <w:pStyle w:val="First-OrderHeading"/>
        <w:numPr>
          <w:ilvl w:val="0"/>
          <w:numId w:val="23"/>
        </w:numPr>
        <w:rPr>
          <w:rFonts w:ascii="Arial" w:hAnsi="Arial" w:cs="Arial"/>
          <w:b w:val="0"/>
          <w:caps w:val="0"/>
          <w:sz w:val="20"/>
        </w:rPr>
      </w:pPr>
      <w:r>
        <w:rPr>
          <w:rFonts w:ascii="Arial" w:hAnsi="Arial" w:cs="Arial"/>
          <w:b w:val="0"/>
          <w:caps w:val="0"/>
          <w:sz w:val="20"/>
        </w:rPr>
        <w:t>2</w:t>
      </w:r>
      <w:r>
        <w:rPr>
          <w:rFonts w:ascii="Arial" w:hAnsi="Arial" w:cs="Arial"/>
          <w:b w:val="0"/>
          <w:caps w:val="0"/>
          <w:sz w:val="20"/>
          <w:vertAlign w:val="superscript"/>
        </w:rPr>
        <w:t>nd</w:t>
      </w:r>
      <w:r>
        <w:rPr>
          <w:rFonts w:ascii="Arial" w:hAnsi="Arial" w:cs="Arial"/>
          <w:b w:val="0"/>
          <w:caps w:val="0"/>
          <w:sz w:val="20"/>
        </w:rPr>
        <w:t xml:space="preserve"> incubation: </w:t>
      </w:r>
      <w:r w:rsidR="00B22825">
        <w:rPr>
          <w:rFonts w:ascii="Arial" w:hAnsi="Arial" w:cs="Arial"/>
          <w:b w:val="0"/>
          <w:caps w:val="0"/>
          <w:sz w:val="20"/>
        </w:rPr>
        <w:t xml:space="preserve">After addition of streptavidin-coated microparticles and biotinylated T3, the still-free binding sites of the labeled antibody become occupied, with formation of an antibody-hapten complex.  The entire complex becomes bound to the solid phase via interaction of biotin and streptavidin. </w:t>
      </w:r>
    </w:p>
    <w:p w:rsidR="00ED303D" w:rsidRPr="00B22825" w:rsidRDefault="00ED303D" w:rsidP="00B22825">
      <w:pPr>
        <w:pStyle w:val="First-OrderHeading"/>
        <w:numPr>
          <w:ilvl w:val="0"/>
          <w:numId w:val="23"/>
        </w:numPr>
        <w:rPr>
          <w:rFonts w:ascii="Arial" w:hAnsi="Arial" w:cs="Arial"/>
          <w:b w:val="0"/>
          <w:caps w:val="0"/>
          <w:sz w:val="20"/>
        </w:rPr>
      </w:pPr>
      <w:r w:rsidRPr="00B22825">
        <w:rPr>
          <w:rFonts w:ascii="Arial" w:hAnsi="Arial" w:cs="Arial"/>
          <w:b w:val="0"/>
          <w:caps w:val="0"/>
          <w:sz w:val="20"/>
        </w:rPr>
        <w:t>The reaction mixture is aspirated into the measuring cell where the microparticles are magnetically captured onto the surface of the electrode.  Unbound substances are then removed with ProCell/ProCell M.  Application of a voltage to the electrode then induces chemiluminescent emission which is measured by a photomultiplier.</w:t>
      </w:r>
    </w:p>
    <w:p w:rsidR="00ED303D" w:rsidRDefault="00ED303D" w:rsidP="00ED303D">
      <w:pPr>
        <w:pStyle w:val="First-OrderHeading"/>
        <w:numPr>
          <w:ilvl w:val="0"/>
          <w:numId w:val="23"/>
        </w:numPr>
        <w:rPr>
          <w:rFonts w:ascii="Arial" w:hAnsi="Arial" w:cs="Arial"/>
          <w:b w:val="0"/>
          <w:caps w:val="0"/>
          <w:sz w:val="20"/>
        </w:rPr>
      </w:pPr>
      <w:r>
        <w:rPr>
          <w:rFonts w:ascii="Arial" w:hAnsi="Arial" w:cs="Arial"/>
          <w:b w:val="0"/>
          <w:caps w:val="0"/>
          <w:sz w:val="20"/>
        </w:rPr>
        <w:t xml:space="preserve">Results are determined via a calibration curve which is instrument-specifically generated by 2-point calibration and a master curve provided via the reagent barcode or e-barcode. </w:t>
      </w:r>
    </w:p>
    <w:p w:rsidR="00ED303D" w:rsidRPr="00A9284B" w:rsidRDefault="00ED303D" w:rsidP="00ED303D">
      <w:pPr>
        <w:pStyle w:val="First-OrderHeading"/>
        <w:numPr>
          <w:ilvl w:val="0"/>
          <w:numId w:val="21"/>
        </w:numPr>
        <w:tabs>
          <w:tab w:val="clear" w:pos="1080"/>
          <w:tab w:val="num" w:pos="0"/>
        </w:tabs>
        <w:ind w:left="0" w:firstLine="0"/>
        <w:rPr>
          <w:rFonts w:ascii="Arial" w:hAnsi="Arial" w:cs="Arial"/>
          <w:sz w:val="20"/>
        </w:rPr>
      </w:pPr>
      <w:r>
        <w:rPr>
          <w:rFonts w:ascii="Arial" w:hAnsi="Arial" w:cs="Arial"/>
          <w:sz w:val="20"/>
        </w:rPr>
        <w:t>SCOPE</w:t>
      </w:r>
    </w:p>
    <w:p w:rsidR="00ED303D" w:rsidRDefault="00B22825" w:rsidP="00ED303D">
      <w:pPr>
        <w:pStyle w:val="First-OrderHeading"/>
        <w:numPr>
          <w:ilvl w:val="0"/>
          <w:numId w:val="0"/>
        </w:numPr>
        <w:ind w:left="720"/>
        <w:rPr>
          <w:rFonts w:ascii="Arial" w:hAnsi="Arial" w:cs="Arial"/>
          <w:b w:val="0"/>
          <w:caps w:val="0"/>
          <w:sz w:val="20"/>
        </w:rPr>
      </w:pPr>
      <w:r>
        <w:rPr>
          <w:rFonts w:ascii="Arial" w:hAnsi="Arial" w:cs="Arial"/>
          <w:b w:val="0"/>
          <w:caps w:val="0"/>
          <w:sz w:val="20"/>
        </w:rPr>
        <w:t xml:space="preserve">Immunoassay for the in vitro quantitative determination of total triiodothyronine in human serum and plasma.  </w:t>
      </w:r>
    </w:p>
    <w:p w:rsidR="00B22825" w:rsidRPr="00B22825" w:rsidRDefault="00B22825" w:rsidP="00ED303D">
      <w:pPr>
        <w:pStyle w:val="First-OrderHeading"/>
        <w:numPr>
          <w:ilvl w:val="0"/>
          <w:numId w:val="0"/>
        </w:numPr>
        <w:ind w:left="720"/>
        <w:rPr>
          <w:rFonts w:ascii="Arial" w:hAnsi="Arial" w:cs="Arial"/>
          <w:b w:val="0"/>
          <w:caps w:val="0"/>
          <w:sz w:val="20"/>
        </w:rPr>
      </w:pPr>
      <w:r>
        <w:rPr>
          <w:rFonts w:ascii="Arial" w:hAnsi="Arial" w:cs="Arial"/>
          <w:b w:val="0"/>
          <w:caps w:val="0"/>
          <w:sz w:val="20"/>
        </w:rPr>
        <w:lastRenderedPageBreak/>
        <w:t xml:space="preserve">The electrochemiluminescence immunoassay “ECLIA” is intended for use on Elecsys and </w:t>
      </w:r>
      <w:r>
        <w:rPr>
          <w:rFonts w:ascii="Arial" w:hAnsi="Arial" w:cs="Arial"/>
          <w:caps w:val="0"/>
          <w:sz w:val="20"/>
        </w:rPr>
        <w:t>cobas e</w:t>
      </w:r>
      <w:r>
        <w:rPr>
          <w:rFonts w:ascii="Arial" w:hAnsi="Arial" w:cs="Arial"/>
          <w:b w:val="0"/>
          <w:caps w:val="0"/>
          <w:sz w:val="20"/>
        </w:rPr>
        <w:t xml:space="preserve"> immunoassay analyzers</w:t>
      </w:r>
    </w:p>
    <w:p w:rsidR="00ED303D" w:rsidRPr="00164355" w:rsidRDefault="00ED303D" w:rsidP="00ED303D">
      <w:pPr>
        <w:pStyle w:val="First-OrderHeading"/>
        <w:numPr>
          <w:ilvl w:val="0"/>
          <w:numId w:val="21"/>
        </w:numPr>
        <w:tabs>
          <w:tab w:val="clear" w:pos="1080"/>
          <w:tab w:val="num" w:pos="0"/>
        </w:tabs>
        <w:ind w:left="0" w:firstLine="0"/>
        <w:rPr>
          <w:rFonts w:ascii="Arial" w:hAnsi="Arial" w:cs="Arial"/>
          <w:sz w:val="20"/>
        </w:rPr>
      </w:pPr>
      <w:r w:rsidRPr="00164355">
        <w:rPr>
          <w:rFonts w:ascii="Arial" w:hAnsi="Arial" w:cs="Arial"/>
          <w:sz w:val="20"/>
        </w:rPr>
        <w:t>RESPONSIBILITIES</w:t>
      </w:r>
    </w:p>
    <w:p w:rsidR="00ED303D" w:rsidRDefault="00ED303D" w:rsidP="00ED303D">
      <w:pPr>
        <w:rPr>
          <w:rFonts w:ascii="Arial" w:hAnsi="Arial" w:cs="Arial"/>
          <w:sz w:val="20"/>
          <w:szCs w:val="20"/>
        </w:rPr>
      </w:pPr>
      <w:r>
        <w:tab/>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310"/>
      </w:tblGrid>
      <w:tr w:rsidR="00ED303D" w:rsidRPr="0063785F" w:rsidTr="00DE6319">
        <w:tc>
          <w:tcPr>
            <w:tcW w:w="2808" w:type="dxa"/>
          </w:tcPr>
          <w:p w:rsidR="00ED303D" w:rsidRPr="0063785F" w:rsidRDefault="00ED303D" w:rsidP="00DE6319">
            <w:pPr>
              <w:rPr>
                <w:rFonts w:ascii="Arial" w:hAnsi="Arial" w:cs="Arial"/>
                <w:b/>
                <w:sz w:val="20"/>
                <w:szCs w:val="20"/>
              </w:rPr>
            </w:pPr>
            <w:r w:rsidRPr="0063785F">
              <w:rPr>
                <w:rFonts w:ascii="Arial" w:hAnsi="Arial" w:cs="Arial"/>
                <w:b/>
                <w:sz w:val="20"/>
                <w:szCs w:val="20"/>
              </w:rPr>
              <w:t>Roles</w:t>
            </w:r>
          </w:p>
        </w:tc>
        <w:tc>
          <w:tcPr>
            <w:tcW w:w="5310" w:type="dxa"/>
          </w:tcPr>
          <w:p w:rsidR="00ED303D" w:rsidRPr="0063785F" w:rsidRDefault="00ED303D" w:rsidP="00DE6319">
            <w:pPr>
              <w:rPr>
                <w:rFonts w:ascii="Arial" w:hAnsi="Arial" w:cs="Arial"/>
                <w:b/>
                <w:sz w:val="20"/>
                <w:szCs w:val="20"/>
              </w:rPr>
            </w:pPr>
            <w:r w:rsidRPr="0063785F">
              <w:rPr>
                <w:rFonts w:ascii="Arial" w:hAnsi="Arial" w:cs="Arial"/>
                <w:b/>
                <w:sz w:val="20"/>
                <w:szCs w:val="20"/>
              </w:rPr>
              <w:t>Responsibilities</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Quality Assurance</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Supports the process including provide leadership and/or assistance in support of the process.</w:t>
            </w:r>
          </w:p>
          <w:p w:rsidR="00ED303D" w:rsidRPr="0063785F" w:rsidRDefault="00ED303D" w:rsidP="00DE6319">
            <w:pPr>
              <w:rPr>
                <w:rFonts w:ascii="Arial" w:hAnsi="Arial" w:cs="Arial"/>
                <w:sz w:val="20"/>
                <w:szCs w:val="20"/>
              </w:rPr>
            </w:pPr>
            <w:r w:rsidRPr="0063785F">
              <w:rPr>
                <w:rFonts w:ascii="Arial" w:hAnsi="Arial" w:cs="Arial"/>
                <w:sz w:val="20"/>
                <w:szCs w:val="20"/>
              </w:rPr>
              <w:t xml:space="preserve">Review and approval of procedure </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Medical Director</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Supports the development of the document.</w:t>
            </w:r>
          </w:p>
          <w:p w:rsidR="00ED303D" w:rsidRPr="0063785F" w:rsidRDefault="00ED303D" w:rsidP="00DE6319">
            <w:pPr>
              <w:rPr>
                <w:rFonts w:ascii="Arial" w:hAnsi="Arial" w:cs="Arial"/>
                <w:sz w:val="20"/>
                <w:szCs w:val="20"/>
              </w:rPr>
            </w:pPr>
            <w:r w:rsidRPr="0063785F">
              <w:rPr>
                <w:rFonts w:ascii="Arial" w:hAnsi="Arial" w:cs="Arial"/>
                <w:sz w:val="20"/>
                <w:szCs w:val="20"/>
              </w:rPr>
              <w:t>Review and approval of the document.</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Management</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Review and approve the document.</w:t>
            </w:r>
          </w:p>
          <w:p w:rsidR="00ED303D" w:rsidRPr="0063785F" w:rsidRDefault="00ED303D" w:rsidP="00DE6319">
            <w:pPr>
              <w:rPr>
                <w:rFonts w:ascii="Arial" w:hAnsi="Arial" w:cs="Arial"/>
                <w:sz w:val="20"/>
                <w:szCs w:val="20"/>
              </w:rPr>
            </w:pPr>
            <w:r w:rsidRPr="0063785F">
              <w:rPr>
                <w:rFonts w:ascii="Arial" w:hAnsi="Arial" w:cs="Arial"/>
                <w:sz w:val="20"/>
                <w:szCs w:val="20"/>
              </w:rPr>
              <w:t>Ensure that procedure is followed.</w:t>
            </w:r>
          </w:p>
        </w:tc>
      </w:tr>
      <w:tr w:rsidR="00ED303D" w:rsidRPr="0063785F" w:rsidTr="00DE6319">
        <w:tc>
          <w:tcPr>
            <w:tcW w:w="2808" w:type="dxa"/>
          </w:tcPr>
          <w:p w:rsidR="00ED303D" w:rsidRPr="0063785F" w:rsidRDefault="00ED303D" w:rsidP="00DE6319">
            <w:pPr>
              <w:rPr>
                <w:rFonts w:ascii="Arial" w:hAnsi="Arial" w:cs="Arial"/>
                <w:sz w:val="20"/>
                <w:szCs w:val="20"/>
              </w:rPr>
            </w:pPr>
            <w:r w:rsidRPr="0063785F">
              <w:rPr>
                <w:rFonts w:ascii="Arial" w:hAnsi="Arial" w:cs="Arial"/>
                <w:sz w:val="20"/>
                <w:szCs w:val="20"/>
              </w:rPr>
              <w:t>Laboratory Technical staff</w:t>
            </w:r>
          </w:p>
        </w:tc>
        <w:tc>
          <w:tcPr>
            <w:tcW w:w="5310" w:type="dxa"/>
          </w:tcPr>
          <w:p w:rsidR="00ED303D" w:rsidRPr="0063785F" w:rsidRDefault="00ED303D" w:rsidP="00DE6319">
            <w:pPr>
              <w:rPr>
                <w:rFonts w:ascii="Arial" w:hAnsi="Arial" w:cs="Arial"/>
                <w:sz w:val="20"/>
                <w:szCs w:val="20"/>
              </w:rPr>
            </w:pPr>
            <w:r w:rsidRPr="0063785F">
              <w:rPr>
                <w:rFonts w:ascii="Arial" w:hAnsi="Arial" w:cs="Arial"/>
                <w:sz w:val="20"/>
                <w:szCs w:val="20"/>
              </w:rPr>
              <w:t>Follows procedure.</w:t>
            </w:r>
          </w:p>
        </w:tc>
      </w:tr>
    </w:tbl>
    <w:p w:rsidR="00ED303D" w:rsidRPr="00843DA9" w:rsidRDefault="00ED303D" w:rsidP="00ED303D">
      <w:pPr>
        <w:rPr>
          <w:rFonts w:ascii="Arial" w:hAnsi="Arial" w:cs="Arial"/>
          <w:sz w:val="20"/>
          <w:szCs w:val="20"/>
        </w:rPr>
      </w:pPr>
    </w:p>
    <w:p w:rsidR="00ED303D" w:rsidRPr="00862851" w:rsidRDefault="00ED303D" w:rsidP="00ED303D">
      <w:pPr>
        <w:pStyle w:val="Second-OrderHeading"/>
        <w:numPr>
          <w:ilvl w:val="0"/>
          <w:numId w:val="21"/>
        </w:numPr>
        <w:tabs>
          <w:tab w:val="clear" w:pos="1080"/>
          <w:tab w:val="num" w:pos="720"/>
        </w:tabs>
        <w:spacing w:before="240"/>
        <w:ind w:hanging="1080"/>
        <w:rPr>
          <w:rFonts w:ascii="Arial" w:hAnsi="Arial" w:cs="Arial"/>
          <w:b/>
          <w:sz w:val="20"/>
        </w:rPr>
      </w:pPr>
      <w:r>
        <w:rPr>
          <w:rFonts w:ascii="Arial" w:hAnsi="Arial" w:cs="Arial"/>
          <w:b/>
          <w:sz w:val="20"/>
        </w:rPr>
        <w:t>ACRONYMS/DEFINITIONS</w:t>
      </w:r>
    </w:p>
    <w:p w:rsidR="00ED303D" w:rsidRDefault="00ED303D" w:rsidP="00ED303D">
      <w:pPr>
        <w:pStyle w:val="Second-OrderHeading"/>
        <w:numPr>
          <w:ilvl w:val="0"/>
          <w:numId w:val="0"/>
        </w:numPr>
        <w:spacing w:after="0"/>
        <w:ind w:left="72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tblGrid>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URMC</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University of Rochester Medical Center</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Pr>
                <w:rFonts w:ascii="Arial" w:hAnsi="Arial" w:cs="Arial"/>
                <w:sz w:val="20"/>
                <w:szCs w:val="20"/>
              </w:rPr>
              <w:t>VB12</w:t>
            </w:r>
          </w:p>
        </w:tc>
        <w:tc>
          <w:tcPr>
            <w:tcW w:w="5580" w:type="dxa"/>
          </w:tcPr>
          <w:p w:rsidR="00ED303D" w:rsidRPr="00B0633A" w:rsidRDefault="00ED303D" w:rsidP="00DE6319">
            <w:pPr>
              <w:rPr>
                <w:rFonts w:ascii="Arial" w:hAnsi="Arial" w:cs="Arial"/>
                <w:sz w:val="20"/>
                <w:szCs w:val="20"/>
                <w:vertAlign w:val="subscript"/>
              </w:rPr>
            </w:pPr>
            <w:r>
              <w:rPr>
                <w:rFonts w:ascii="Arial" w:hAnsi="Arial" w:cs="Arial"/>
                <w:sz w:val="20"/>
                <w:szCs w:val="20"/>
              </w:rPr>
              <w:t>Vitamin B</w:t>
            </w:r>
            <w:r>
              <w:rPr>
                <w:rFonts w:ascii="Arial" w:hAnsi="Arial" w:cs="Arial"/>
                <w:sz w:val="20"/>
                <w:szCs w:val="20"/>
                <w:vertAlign w:val="subscript"/>
              </w:rPr>
              <w:t>12</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Pr>
                <w:rFonts w:ascii="Arial" w:hAnsi="Arial" w:cs="Arial"/>
                <w:sz w:val="20"/>
                <w:szCs w:val="20"/>
              </w:rPr>
              <w:t>SW</w:t>
            </w:r>
          </w:p>
        </w:tc>
        <w:tc>
          <w:tcPr>
            <w:tcW w:w="5580" w:type="dxa"/>
          </w:tcPr>
          <w:p w:rsidR="00ED303D" w:rsidRPr="00CB5ABE" w:rsidRDefault="00ED303D" w:rsidP="00DE6319">
            <w:pPr>
              <w:rPr>
                <w:rFonts w:ascii="Arial" w:hAnsi="Arial" w:cs="Arial"/>
                <w:sz w:val="20"/>
                <w:szCs w:val="20"/>
              </w:rPr>
            </w:pPr>
            <w:r>
              <w:rPr>
                <w:rFonts w:ascii="Arial" w:hAnsi="Arial" w:cs="Arial"/>
                <w:sz w:val="20"/>
                <w:szCs w:val="20"/>
              </w:rPr>
              <w:t>Strong West</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RR</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Ridgeland Road Laboratory</w:t>
            </w:r>
          </w:p>
        </w:tc>
      </w:tr>
      <w:tr w:rsidR="00ED303D" w:rsidRPr="00CB5ABE" w:rsidTr="00DE6319">
        <w:trPr>
          <w:jc w:val="center"/>
        </w:trPr>
        <w:tc>
          <w:tcPr>
            <w:tcW w:w="1548" w:type="dxa"/>
          </w:tcPr>
          <w:p w:rsidR="00ED303D" w:rsidRPr="00CB5ABE" w:rsidRDefault="00ED303D" w:rsidP="00DE6319">
            <w:pPr>
              <w:rPr>
                <w:rFonts w:ascii="Arial" w:hAnsi="Arial" w:cs="Arial"/>
                <w:sz w:val="20"/>
                <w:szCs w:val="20"/>
              </w:rPr>
            </w:pPr>
            <w:r w:rsidRPr="00CB5ABE">
              <w:rPr>
                <w:rFonts w:ascii="Arial" w:hAnsi="Arial" w:cs="Arial"/>
                <w:sz w:val="20"/>
                <w:szCs w:val="20"/>
              </w:rPr>
              <w:t>SMH</w:t>
            </w:r>
          </w:p>
        </w:tc>
        <w:tc>
          <w:tcPr>
            <w:tcW w:w="5580" w:type="dxa"/>
          </w:tcPr>
          <w:p w:rsidR="00ED303D" w:rsidRPr="00CB5ABE" w:rsidRDefault="00ED303D" w:rsidP="00DE6319">
            <w:pPr>
              <w:rPr>
                <w:rFonts w:ascii="Arial" w:hAnsi="Arial" w:cs="Arial"/>
                <w:sz w:val="20"/>
                <w:szCs w:val="20"/>
              </w:rPr>
            </w:pPr>
            <w:r w:rsidRPr="00CB5ABE">
              <w:rPr>
                <w:rFonts w:ascii="Arial" w:hAnsi="Arial" w:cs="Arial"/>
                <w:sz w:val="20"/>
                <w:szCs w:val="20"/>
              </w:rPr>
              <w:t>Strong Memorial Hospital</w:t>
            </w:r>
          </w:p>
        </w:tc>
      </w:tr>
    </w:tbl>
    <w:p w:rsidR="00ED303D" w:rsidRDefault="00ED303D" w:rsidP="00ED303D">
      <w:pPr>
        <w:pStyle w:val="Second-OrderHeading"/>
        <w:numPr>
          <w:ilvl w:val="0"/>
          <w:numId w:val="21"/>
        </w:numPr>
        <w:tabs>
          <w:tab w:val="clear" w:pos="1080"/>
          <w:tab w:val="num" w:pos="720"/>
        </w:tabs>
        <w:spacing w:before="240"/>
        <w:ind w:hanging="1080"/>
        <w:rPr>
          <w:rFonts w:ascii="Arial" w:hAnsi="Arial" w:cs="Arial"/>
          <w:b/>
          <w:sz w:val="20"/>
        </w:rPr>
      </w:pPr>
      <w:r w:rsidRPr="007C1D50">
        <w:rPr>
          <w:rFonts w:ascii="Arial" w:hAnsi="Arial" w:cs="Arial"/>
          <w:b/>
          <w:sz w:val="20"/>
        </w:rPr>
        <w:t>SPECIMENS</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 xml:space="preserve">For specimen collection and preparation only use suitable tubes or collection containers. </w:t>
      </w:r>
      <w:r>
        <w:rPr>
          <w:rFonts w:ascii="Arial" w:hAnsi="Arial" w:cs="Arial"/>
          <w:sz w:val="20"/>
        </w:rPr>
        <w:tab/>
        <w:t xml:space="preserve"> Only the specimens listed below were tested and found acceptable.  </w:t>
      </w:r>
    </w:p>
    <w:p w:rsidR="00ED303D" w:rsidRDefault="00ED303D" w:rsidP="00ED303D">
      <w:pPr>
        <w:pStyle w:val="Second-OrderHeading"/>
        <w:numPr>
          <w:ilvl w:val="0"/>
          <w:numId w:val="0"/>
        </w:numPr>
        <w:spacing w:before="240"/>
        <w:ind w:firstLine="720"/>
        <w:rPr>
          <w:rFonts w:ascii="Arial" w:hAnsi="Arial" w:cs="Arial"/>
          <w:sz w:val="20"/>
        </w:rPr>
      </w:pPr>
      <w:r>
        <w:rPr>
          <w:rFonts w:ascii="Arial" w:hAnsi="Arial" w:cs="Arial"/>
          <w:sz w:val="20"/>
        </w:rPr>
        <w:t>Serum</w:t>
      </w:r>
      <w:r w:rsidR="00B22825">
        <w:rPr>
          <w:rFonts w:ascii="Arial" w:hAnsi="Arial" w:cs="Arial"/>
          <w:sz w:val="20"/>
        </w:rPr>
        <w:t xml:space="preserve"> collected using standard sampling tubes or tubes containing separating gel.</w:t>
      </w:r>
    </w:p>
    <w:p w:rsidR="00B22825"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 xml:space="preserve">Plasma: Na-heparin, Li-heparin, </w:t>
      </w:r>
      <w:r w:rsidR="00B22825">
        <w:rPr>
          <w:rFonts w:ascii="Arial" w:hAnsi="Arial" w:cs="Arial"/>
          <w:sz w:val="20"/>
        </w:rPr>
        <w:t>NH</w:t>
      </w:r>
      <w:r w:rsidR="00B22825">
        <w:rPr>
          <w:rFonts w:ascii="Arial" w:hAnsi="Arial" w:cs="Arial"/>
          <w:sz w:val="20"/>
          <w:vertAlign w:val="subscript"/>
        </w:rPr>
        <w:t>4</w:t>
      </w:r>
      <w:r w:rsidR="00B22825">
        <w:rPr>
          <w:rFonts w:ascii="Arial" w:hAnsi="Arial" w:cs="Arial"/>
          <w:sz w:val="20"/>
          <w:vertAlign w:val="superscript"/>
        </w:rPr>
        <w:t>+</w:t>
      </w:r>
      <w:r w:rsidR="00B22825">
        <w:rPr>
          <w:rFonts w:ascii="Arial" w:hAnsi="Arial" w:cs="Arial"/>
          <w:sz w:val="20"/>
        </w:rPr>
        <w:t xml:space="preserve">-heparin, </w:t>
      </w:r>
      <w:r>
        <w:rPr>
          <w:rFonts w:ascii="Arial" w:hAnsi="Arial" w:cs="Arial"/>
          <w:sz w:val="20"/>
        </w:rPr>
        <w:t>K</w:t>
      </w:r>
      <w:r>
        <w:rPr>
          <w:rFonts w:ascii="Arial" w:hAnsi="Arial" w:cs="Arial"/>
          <w:sz w:val="20"/>
          <w:vertAlign w:val="subscript"/>
        </w:rPr>
        <w:t>3-</w:t>
      </w:r>
      <w:r>
        <w:rPr>
          <w:rFonts w:ascii="Arial" w:hAnsi="Arial" w:cs="Arial"/>
          <w:sz w:val="20"/>
        </w:rPr>
        <w:t xml:space="preserve"> EDTA plasma</w:t>
      </w:r>
      <w:r w:rsidR="00B22825">
        <w:rPr>
          <w:rFonts w:ascii="Arial" w:hAnsi="Arial" w:cs="Arial"/>
          <w:sz w:val="20"/>
        </w:rPr>
        <w:t>, sodium citrate and sodium fluoride/potassium oxalate plasma</w:t>
      </w:r>
      <w:r>
        <w:rPr>
          <w:rFonts w:ascii="Arial" w:hAnsi="Arial" w:cs="Arial"/>
          <w:sz w:val="20"/>
        </w:rPr>
        <w:t xml:space="preserve">.  </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 xml:space="preserve">Centrifuge samples containing precipitates before performing the assy.  Do not use heat-inactivated samples.  Do not use samples and controls stabilized with azide.  </w:t>
      </w:r>
    </w:p>
    <w:p w:rsidR="00ED303D" w:rsidRDefault="00ED303D" w:rsidP="00ED303D">
      <w:pPr>
        <w:pStyle w:val="Second-OrderHeading"/>
        <w:numPr>
          <w:ilvl w:val="0"/>
          <w:numId w:val="0"/>
        </w:numPr>
        <w:spacing w:before="240"/>
        <w:ind w:left="720"/>
        <w:rPr>
          <w:rFonts w:ascii="Arial" w:hAnsi="Arial" w:cs="Arial"/>
          <w:sz w:val="20"/>
        </w:rPr>
      </w:pPr>
      <w:r>
        <w:rPr>
          <w:rFonts w:ascii="Arial" w:hAnsi="Arial" w:cs="Arial"/>
          <w:sz w:val="20"/>
        </w:rPr>
        <w:t>Ensure the samples, calibrators, and controls are at 20-25</w:t>
      </w:r>
      <w:r>
        <w:rPr>
          <w:rFonts w:ascii="Calibri" w:hAnsi="Calibri" w:cs="Arial"/>
          <w:sz w:val="20"/>
        </w:rPr>
        <w:t>°</w:t>
      </w:r>
      <w:r>
        <w:rPr>
          <w:rFonts w:ascii="Arial" w:hAnsi="Arial" w:cs="Arial"/>
          <w:sz w:val="20"/>
        </w:rPr>
        <w:t>C prior to measurement.  Due to possible evaporation effects, samples, calibrators, and controls on the analyzers should be analyzed/measured within 2 hours.</w:t>
      </w:r>
    </w:p>
    <w:p w:rsidR="00ED303D" w:rsidRPr="00B500C7" w:rsidRDefault="00ED303D" w:rsidP="00ED303D">
      <w:pPr>
        <w:pStyle w:val="Second-OrderHeading"/>
        <w:numPr>
          <w:ilvl w:val="0"/>
          <w:numId w:val="0"/>
        </w:numPr>
        <w:spacing w:before="240"/>
        <w:ind w:firstLine="720"/>
        <w:rPr>
          <w:rFonts w:ascii="Arial" w:hAnsi="Arial" w:cs="Arial"/>
          <w:sz w:val="20"/>
        </w:rPr>
      </w:pPr>
      <w:r>
        <w:rPr>
          <w:rFonts w:ascii="Arial" w:hAnsi="Arial" w:cs="Arial"/>
          <w:sz w:val="20"/>
        </w:rPr>
        <w:t xml:space="preserve">Refer to SW.CP.GL.jad.0101 for sample stability.  </w:t>
      </w:r>
    </w:p>
    <w:p w:rsidR="00ED303D" w:rsidRDefault="00ED303D" w:rsidP="00ED303D">
      <w:pPr>
        <w:pStyle w:val="Second-OrderHeading"/>
        <w:numPr>
          <w:ilvl w:val="0"/>
          <w:numId w:val="21"/>
        </w:numPr>
        <w:tabs>
          <w:tab w:val="clear" w:pos="1080"/>
          <w:tab w:val="num" w:pos="720"/>
        </w:tabs>
        <w:ind w:hanging="1080"/>
        <w:rPr>
          <w:rFonts w:ascii="Arial" w:hAnsi="Arial" w:cs="Arial"/>
          <w:b/>
          <w:sz w:val="20"/>
        </w:rPr>
      </w:pPr>
      <w:r w:rsidRPr="007C1D50">
        <w:rPr>
          <w:rFonts w:ascii="Arial" w:hAnsi="Arial" w:cs="Arial"/>
          <w:b/>
          <w:sz w:val="20"/>
        </w:rPr>
        <w:t>QUALITY CONTROL</w:t>
      </w:r>
    </w:p>
    <w:p w:rsidR="00ED303D" w:rsidRDefault="00ED303D" w:rsidP="00ED303D">
      <w:pPr>
        <w:pStyle w:val="Second-OrderHeading"/>
        <w:numPr>
          <w:ilvl w:val="0"/>
          <w:numId w:val="0"/>
        </w:numPr>
        <w:ind w:left="720"/>
        <w:rPr>
          <w:rFonts w:ascii="Arial" w:hAnsi="Arial" w:cs="Arial"/>
          <w:sz w:val="20"/>
        </w:rPr>
      </w:pPr>
      <w:r>
        <w:rPr>
          <w:rFonts w:ascii="Arial" w:hAnsi="Arial" w:cs="Arial"/>
          <w:sz w:val="20"/>
        </w:rPr>
        <w:t>Analyze quality control materials as indicated on the Roche e411 analyzer set up form SW.CP.GL.frm.0102</w:t>
      </w:r>
    </w:p>
    <w:p w:rsidR="00ED303D" w:rsidRDefault="00ED303D" w:rsidP="00ED303D">
      <w:pPr>
        <w:pStyle w:val="Second-OrderHeading"/>
        <w:numPr>
          <w:ilvl w:val="0"/>
          <w:numId w:val="21"/>
        </w:numPr>
        <w:tabs>
          <w:tab w:val="clear" w:pos="1080"/>
          <w:tab w:val="num" w:pos="720"/>
        </w:tabs>
        <w:ind w:hanging="1080"/>
        <w:rPr>
          <w:rFonts w:ascii="Arial" w:hAnsi="Arial" w:cs="Arial"/>
          <w:b/>
          <w:sz w:val="20"/>
        </w:rPr>
      </w:pPr>
      <w:r w:rsidRPr="007C1D50">
        <w:rPr>
          <w:rFonts w:ascii="Arial" w:hAnsi="Arial" w:cs="Arial"/>
          <w:b/>
          <w:sz w:val="20"/>
        </w:rPr>
        <w:t xml:space="preserve">SPECIAL SAFETY PRECAUTIONS </w:t>
      </w:r>
    </w:p>
    <w:p w:rsidR="00ED303D" w:rsidRDefault="00ED303D" w:rsidP="00ED303D">
      <w:pPr>
        <w:pStyle w:val="NoSpacing"/>
        <w:ind w:left="720"/>
        <w:rPr>
          <w:rFonts w:ascii="Arial" w:hAnsi="Arial" w:cs="Arial"/>
          <w:sz w:val="20"/>
          <w:szCs w:val="20"/>
        </w:rPr>
      </w:pPr>
      <w:r w:rsidRPr="003B030D">
        <w:rPr>
          <w:rFonts w:ascii="Arial" w:hAnsi="Arial" w:cs="Arial"/>
          <w:sz w:val="20"/>
          <w:szCs w:val="20"/>
        </w:rPr>
        <w:lastRenderedPageBreak/>
        <w:t>Exercise the normal precautions required for handling all laboratory reagents and biohazardous patient samples.  Refer to Safety data sheets. Disposal of all waste material should be in accordance with local guidelines.  Refer to Safety procedure SW.CP.GL.adm.0005</w:t>
      </w:r>
    </w:p>
    <w:p w:rsidR="005B6878" w:rsidRPr="003B030D" w:rsidRDefault="005B6878" w:rsidP="00ED303D">
      <w:pPr>
        <w:pStyle w:val="NoSpacing"/>
        <w:ind w:left="720"/>
        <w:rPr>
          <w:rFonts w:ascii="Arial" w:hAnsi="Arial" w:cs="Arial"/>
          <w:sz w:val="20"/>
          <w:szCs w:val="20"/>
        </w:rPr>
      </w:pPr>
    </w:p>
    <w:p w:rsidR="00ED303D" w:rsidRPr="00E97BA6" w:rsidRDefault="00ED303D" w:rsidP="00ED303D">
      <w:pPr>
        <w:autoSpaceDE w:val="0"/>
        <w:autoSpaceDN w:val="0"/>
        <w:adjustRightInd w:val="0"/>
        <w:spacing w:after="240"/>
        <w:ind w:left="720" w:hanging="720"/>
        <w:jc w:val="both"/>
        <w:rPr>
          <w:rFonts w:ascii="Arial" w:hAnsi="Arial" w:cs="Arial"/>
          <w:bCs/>
          <w:color w:val="000000"/>
          <w:sz w:val="20"/>
          <w:szCs w:val="20"/>
        </w:rPr>
      </w:pPr>
      <w:r w:rsidRPr="007C1D50">
        <w:rPr>
          <w:rFonts w:ascii="Arial" w:hAnsi="Arial" w:cs="Arial"/>
          <w:b/>
          <w:bCs/>
          <w:color w:val="000000"/>
          <w:sz w:val="20"/>
          <w:szCs w:val="20"/>
        </w:rPr>
        <w:t>VII</w:t>
      </w:r>
      <w:r>
        <w:rPr>
          <w:rFonts w:ascii="Arial" w:hAnsi="Arial" w:cs="Arial"/>
          <w:b/>
          <w:bCs/>
          <w:color w:val="000000"/>
          <w:sz w:val="20"/>
          <w:szCs w:val="20"/>
        </w:rPr>
        <w:t>I</w:t>
      </w:r>
      <w:r w:rsidRPr="007C1D50">
        <w:rPr>
          <w:rFonts w:ascii="Arial" w:hAnsi="Arial" w:cs="Arial"/>
          <w:b/>
          <w:bCs/>
          <w:color w:val="000000"/>
          <w:sz w:val="20"/>
          <w:szCs w:val="20"/>
        </w:rPr>
        <w:t>.</w:t>
      </w:r>
      <w:r w:rsidRPr="007C1D50">
        <w:rPr>
          <w:rFonts w:ascii="Arial" w:hAnsi="Arial" w:cs="Arial"/>
          <w:b/>
          <w:bCs/>
          <w:color w:val="000000"/>
          <w:sz w:val="20"/>
          <w:szCs w:val="20"/>
        </w:rPr>
        <w:tab/>
        <w:t xml:space="preserve">MATERIALS </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r w:rsidRPr="001C17C2">
        <w:rPr>
          <w:rFonts w:ascii="Arial" w:hAnsi="Arial" w:cs="Arial"/>
          <w:b/>
          <w:bCs/>
          <w:color w:val="000000"/>
          <w:sz w:val="20"/>
          <w:szCs w:val="20"/>
        </w:rPr>
        <w:t xml:space="preserve"> </w:t>
      </w:r>
      <w:r w:rsidRPr="007C1D50">
        <w:rPr>
          <w:rFonts w:ascii="Arial" w:hAnsi="Arial" w:cs="Arial"/>
          <w:b/>
          <w:bCs/>
          <w:color w:val="000000"/>
          <w:sz w:val="20"/>
          <w:szCs w:val="20"/>
        </w:rPr>
        <w:t>A.</w:t>
      </w:r>
      <w:r w:rsidRPr="007C1D50">
        <w:rPr>
          <w:rFonts w:ascii="Arial" w:hAnsi="Arial" w:cs="Arial"/>
          <w:b/>
          <w:bCs/>
          <w:color w:val="000000"/>
          <w:sz w:val="20"/>
          <w:szCs w:val="20"/>
        </w:rPr>
        <w:tab/>
        <w:t xml:space="preserve">Equipment </w:t>
      </w:r>
    </w:p>
    <w:p w:rsidR="00ED303D"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Cs/>
          <w:color w:val="000000"/>
          <w:sz w:val="20"/>
          <w:szCs w:val="20"/>
        </w:rPr>
        <w:t>Roche cobas e 411 analyzer</w:t>
      </w:r>
    </w:p>
    <w:p w:rsidR="00ED303D"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t>Data Innovations Middleware</w:t>
      </w:r>
    </w:p>
    <w:p w:rsidR="00ED303D" w:rsidRPr="00E97BA6" w:rsidRDefault="00ED303D" w:rsidP="00ED303D">
      <w:pPr>
        <w:autoSpaceDE w:val="0"/>
        <w:autoSpaceDN w:val="0"/>
        <w:adjustRightInd w:val="0"/>
        <w:spacing w:after="120"/>
        <w:ind w:left="720"/>
        <w:jc w:val="both"/>
        <w:rPr>
          <w:rFonts w:ascii="Arial" w:hAnsi="Arial" w:cs="Arial"/>
          <w:bCs/>
          <w:color w:val="000000"/>
          <w:sz w:val="20"/>
          <w:szCs w:val="20"/>
        </w:rPr>
      </w:pPr>
      <w:r>
        <w:rPr>
          <w:rFonts w:ascii="Arial" w:hAnsi="Arial" w:cs="Arial"/>
          <w:bCs/>
          <w:color w:val="000000"/>
          <w:sz w:val="20"/>
          <w:szCs w:val="20"/>
        </w:rPr>
        <w:tab/>
        <w:t>Bio-Rad Unity Real Time QC Application</w:t>
      </w:r>
    </w:p>
    <w:p w:rsidR="00ED303D" w:rsidRDefault="00ED303D" w:rsidP="00ED303D">
      <w:pPr>
        <w:autoSpaceDE w:val="0"/>
        <w:autoSpaceDN w:val="0"/>
        <w:adjustRightInd w:val="0"/>
        <w:spacing w:after="120"/>
        <w:ind w:left="720"/>
        <w:jc w:val="both"/>
        <w:rPr>
          <w:rFonts w:ascii="Arial" w:hAnsi="Arial" w:cs="Arial"/>
          <w:b/>
          <w:bCs/>
          <w:color w:val="000000"/>
          <w:sz w:val="20"/>
          <w:szCs w:val="20"/>
        </w:rPr>
      </w:pPr>
      <w:r w:rsidRPr="007C1D50">
        <w:rPr>
          <w:rFonts w:ascii="Arial" w:hAnsi="Arial" w:cs="Arial"/>
          <w:b/>
          <w:bCs/>
          <w:color w:val="000000"/>
          <w:sz w:val="20"/>
          <w:szCs w:val="20"/>
        </w:rPr>
        <w:t>B.</w:t>
      </w:r>
      <w:r w:rsidRPr="007C1D50">
        <w:rPr>
          <w:rFonts w:ascii="Arial" w:hAnsi="Arial" w:cs="Arial"/>
          <w:b/>
          <w:bCs/>
          <w:color w:val="000000"/>
          <w:sz w:val="20"/>
          <w:szCs w:val="20"/>
        </w:rPr>
        <w:tab/>
        <w:t>Supplies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Roche Sample cups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Falcon tubes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Pipets</w:t>
      </w:r>
    </w:p>
    <w:p w:rsidR="00ED303D" w:rsidRPr="003B030D" w:rsidRDefault="00ED303D" w:rsidP="00ED303D">
      <w:pPr>
        <w:ind w:left="720" w:firstLine="720"/>
        <w:rPr>
          <w:rFonts w:ascii="Arial" w:hAnsi="Arial" w:cs="Arial"/>
          <w:sz w:val="20"/>
          <w:szCs w:val="20"/>
        </w:rPr>
      </w:pPr>
      <w:r w:rsidRPr="003B030D">
        <w:rPr>
          <w:rFonts w:ascii="Arial" w:hAnsi="Arial" w:cs="Arial"/>
          <w:sz w:val="20"/>
          <w:szCs w:val="20"/>
        </w:rPr>
        <w:t>Pipet tips</w:t>
      </w:r>
    </w:p>
    <w:p w:rsidR="00ED303D" w:rsidRPr="007C1D50" w:rsidRDefault="00ED303D" w:rsidP="00ED303D">
      <w:pPr>
        <w:autoSpaceDE w:val="0"/>
        <w:autoSpaceDN w:val="0"/>
        <w:adjustRightInd w:val="0"/>
        <w:spacing w:after="120"/>
        <w:ind w:left="720"/>
        <w:jc w:val="both"/>
        <w:rPr>
          <w:rFonts w:ascii="Arial" w:hAnsi="Arial" w:cs="Arial"/>
          <w:bCs/>
          <w:color w:val="000000"/>
          <w:sz w:val="20"/>
          <w:szCs w:val="20"/>
        </w:rPr>
      </w:pPr>
      <w:r w:rsidRPr="007C1D50">
        <w:rPr>
          <w:rFonts w:ascii="Arial" w:hAnsi="Arial" w:cs="Arial"/>
          <w:bCs/>
          <w:color w:val="000000"/>
          <w:sz w:val="20"/>
          <w:szCs w:val="20"/>
        </w:rPr>
        <w:tab/>
        <w:t xml:space="preserve">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sidRPr="007C1D50">
        <w:rPr>
          <w:rFonts w:ascii="Arial" w:hAnsi="Arial" w:cs="Arial"/>
          <w:b/>
          <w:bCs/>
          <w:color w:val="000000"/>
          <w:sz w:val="20"/>
          <w:szCs w:val="20"/>
        </w:rPr>
        <w:t>C.</w:t>
      </w:r>
      <w:r w:rsidRPr="007C1D50">
        <w:rPr>
          <w:rFonts w:ascii="Arial" w:hAnsi="Arial" w:cs="Arial"/>
          <w:b/>
          <w:bCs/>
          <w:color w:val="000000"/>
          <w:sz w:val="20"/>
          <w:szCs w:val="20"/>
        </w:rPr>
        <w:tab/>
        <w:t>Reagents</w:t>
      </w:r>
    </w:p>
    <w:p w:rsidR="00ED303D" w:rsidRDefault="00ED303D" w:rsidP="00ED303D">
      <w:pPr>
        <w:autoSpaceDE w:val="0"/>
        <w:autoSpaceDN w:val="0"/>
        <w:adjustRightInd w:val="0"/>
        <w:spacing w:after="240"/>
        <w:ind w:left="720" w:firstLine="720"/>
        <w:jc w:val="both"/>
        <w:rPr>
          <w:rFonts w:ascii="Arial" w:hAnsi="Arial" w:cs="Arial"/>
          <w:bCs/>
          <w:color w:val="000000"/>
          <w:sz w:val="20"/>
          <w:szCs w:val="20"/>
        </w:rPr>
      </w:pPr>
      <w:r>
        <w:rPr>
          <w:rFonts w:ascii="Arial" w:hAnsi="Arial" w:cs="Arial"/>
          <w:bCs/>
          <w:color w:val="000000"/>
          <w:sz w:val="20"/>
          <w:szCs w:val="20"/>
        </w:rPr>
        <w:t xml:space="preserve">Elecsys </w:t>
      </w:r>
      <w:r w:rsidR="00CC7D43">
        <w:rPr>
          <w:rFonts w:ascii="Arial" w:hAnsi="Arial" w:cs="Arial"/>
          <w:bCs/>
          <w:color w:val="000000"/>
          <w:sz w:val="20"/>
          <w:szCs w:val="20"/>
        </w:rPr>
        <w:t>T3</w:t>
      </w:r>
      <w:r>
        <w:rPr>
          <w:rFonts w:ascii="Arial" w:hAnsi="Arial" w:cs="Arial"/>
          <w:bCs/>
          <w:color w:val="000000"/>
          <w:sz w:val="20"/>
          <w:szCs w:val="20"/>
        </w:rPr>
        <w:t xml:space="preserve"> </w:t>
      </w:r>
      <w:r w:rsidR="00BB54F3">
        <w:rPr>
          <w:rFonts w:ascii="Arial" w:hAnsi="Arial" w:cs="Arial"/>
          <w:bCs/>
          <w:color w:val="000000"/>
          <w:sz w:val="20"/>
          <w:szCs w:val="20"/>
        </w:rPr>
        <w:t>- (</w:t>
      </w:r>
      <w:r>
        <w:rPr>
          <w:rFonts w:ascii="Arial" w:hAnsi="Arial" w:cs="Arial"/>
          <w:bCs/>
          <w:color w:val="000000"/>
          <w:sz w:val="20"/>
          <w:szCs w:val="20"/>
        </w:rPr>
        <w:t xml:space="preserve">Ref # </w:t>
      </w:r>
      <w:r w:rsidR="00CC7D43">
        <w:rPr>
          <w:rFonts w:ascii="Arial" w:hAnsi="Arial" w:cs="Arial"/>
          <w:bCs/>
          <w:color w:val="000000"/>
          <w:sz w:val="20"/>
          <w:szCs w:val="20"/>
        </w:rPr>
        <w:t>11731360 122</w:t>
      </w:r>
      <w:r>
        <w:rPr>
          <w:rFonts w:ascii="Arial" w:hAnsi="Arial" w:cs="Arial"/>
          <w:bCs/>
          <w:color w:val="000000"/>
          <w:sz w:val="20"/>
          <w:szCs w:val="20"/>
        </w:rPr>
        <w:t>) – ready for use</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ab/>
        <w:t>Components:</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The reagent pack </w:t>
      </w:r>
      <w:r w:rsidR="00CC7D43">
        <w:rPr>
          <w:rFonts w:ascii="Arial" w:hAnsi="Arial" w:cs="Arial"/>
          <w:bCs/>
          <w:color w:val="000000"/>
          <w:sz w:val="20"/>
          <w:szCs w:val="20"/>
        </w:rPr>
        <w:t>is labeled as T3</w:t>
      </w:r>
      <w:r>
        <w:rPr>
          <w:rFonts w:ascii="Arial" w:hAnsi="Arial" w:cs="Arial"/>
          <w:bCs/>
          <w:color w:val="000000"/>
          <w:sz w:val="20"/>
          <w:szCs w:val="20"/>
        </w:rPr>
        <w:t>.</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M – Streptavidin-coated microparticles </w:t>
      </w:r>
      <w:r w:rsidR="00CC7D43">
        <w:rPr>
          <w:rFonts w:ascii="Arial" w:hAnsi="Arial" w:cs="Arial"/>
          <w:bCs/>
          <w:color w:val="000000"/>
          <w:sz w:val="20"/>
          <w:szCs w:val="20"/>
        </w:rPr>
        <w:t>(transparent cap), 1 bottle, 12</w:t>
      </w:r>
      <w:r>
        <w:rPr>
          <w:rFonts w:ascii="Arial" w:hAnsi="Arial" w:cs="Arial"/>
          <w:bCs/>
          <w:color w:val="000000"/>
          <w:sz w:val="20"/>
          <w:szCs w:val="20"/>
        </w:rPr>
        <w:t xml:space="preserve"> mL: Streptavidin-coated microparticles 0.72 mg/mL; preservative.</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R1 – </w:t>
      </w:r>
      <w:r w:rsidR="00CC7D43">
        <w:rPr>
          <w:rFonts w:ascii="Arial" w:hAnsi="Arial" w:cs="Arial"/>
          <w:bCs/>
          <w:color w:val="000000"/>
          <w:sz w:val="20"/>
          <w:szCs w:val="20"/>
        </w:rPr>
        <w:t>Anti-T3-Ab</w:t>
      </w:r>
      <w:r>
        <w:rPr>
          <w:rFonts w:ascii="Arial" w:hAnsi="Arial" w:cs="Arial"/>
          <w:bCs/>
          <w:color w:val="000000"/>
          <w:sz w:val="20"/>
          <w:szCs w:val="20"/>
        </w:rPr>
        <w:t>~Ru(bpy)</w:t>
      </w:r>
      <w:r>
        <w:rPr>
          <w:rFonts w:ascii="Arial" w:hAnsi="Arial" w:cs="Arial"/>
          <w:bCs/>
          <w:color w:val="000000"/>
          <w:sz w:val="20"/>
          <w:szCs w:val="20"/>
          <w:vertAlign w:val="subscript"/>
        </w:rPr>
        <w:t>3</w:t>
      </w:r>
      <w:r>
        <w:rPr>
          <w:rFonts w:ascii="Arial" w:hAnsi="Arial" w:cs="Arial"/>
          <w:bCs/>
          <w:color w:val="000000"/>
          <w:sz w:val="20"/>
          <w:szCs w:val="20"/>
          <w:vertAlign w:val="superscript"/>
        </w:rPr>
        <w:t>2+</w:t>
      </w:r>
      <w:r w:rsidR="00CC7D43">
        <w:rPr>
          <w:rFonts w:ascii="Arial" w:hAnsi="Arial" w:cs="Arial"/>
          <w:bCs/>
          <w:color w:val="000000"/>
          <w:sz w:val="20"/>
          <w:szCs w:val="20"/>
        </w:rPr>
        <w:t xml:space="preserve"> (gray cap), 1 bottle, 16</w:t>
      </w:r>
      <w:r>
        <w:rPr>
          <w:rFonts w:ascii="Arial" w:hAnsi="Arial" w:cs="Arial"/>
          <w:bCs/>
          <w:color w:val="000000"/>
          <w:sz w:val="20"/>
          <w:szCs w:val="20"/>
        </w:rPr>
        <w:t xml:space="preserve"> mL: </w:t>
      </w:r>
      <w:r w:rsidR="00CC7D43">
        <w:rPr>
          <w:rFonts w:ascii="Arial" w:hAnsi="Arial" w:cs="Arial"/>
          <w:bCs/>
          <w:color w:val="000000"/>
          <w:sz w:val="20"/>
          <w:szCs w:val="20"/>
        </w:rPr>
        <w:t>Polyclonal anti-T3-antibody (sheep) labeled with ruthenium complex 75 ng/mL; ANS 0.8 mg/mL; phosphate buffer 100 mmol/L, pH 7.4; preservative</w:t>
      </w:r>
    </w:p>
    <w:p w:rsidR="00ED303D" w:rsidRPr="001206FF"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R2 – </w:t>
      </w:r>
      <w:r w:rsidR="00CC7D43">
        <w:rPr>
          <w:rFonts w:ascii="Arial" w:hAnsi="Arial" w:cs="Arial"/>
          <w:bCs/>
          <w:color w:val="000000"/>
          <w:sz w:val="20"/>
          <w:szCs w:val="20"/>
        </w:rPr>
        <w:t>T3</w:t>
      </w:r>
      <w:r>
        <w:rPr>
          <w:rFonts w:ascii="Arial" w:hAnsi="Arial" w:cs="Arial"/>
          <w:bCs/>
          <w:color w:val="000000"/>
          <w:sz w:val="20"/>
          <w:szCs w:val="20"/>
        </w:rPr>
        <w:t>~b</w:t>
      </w:r>
      <w:r w:rsidR="00CC7D43">
        <w:rPr>
          <w:rFonts w:ascii="Arial" w:hAnsi="Arial" w:cs="Arial"/>
          <w:bCs/>
          <w:color w:val="000000"/>
          <w:sz w:val="20"/>
          <w:szCs w:val="20"/>
        </w:rPr>
        <w:t xml:space="preserve">iotin (black cap), 1 bottle, </w:t>
      </w:r>
      <w:r w:rsidR="00BB54F3">
        <w:rPr>
          <w:rFonts w:ascii="Arial" w:hAnsi="Arial" w:cs="Arial"/>
          <w:bCs/>
          <w:color w:val="000000"/>
          <w:sz w:val="20"/>
          <w:szCs w:val="20"/>
        </w:rPr>
        <w:t>and 16</w:t>
      </w:r>
      <w:r>
        <w:rPr>
          <w:rFonts w:ascii="Arial" w:hAnsi="Arial" w:cs="Arial"/>
          <w:bCs/>
          <w:color w:val="000000"/>
          <w:sz w:val="20"/>
          <w:szCs w:val="20"/>
        </w:rPr>
        <w:t xml:space="preserve"> mL: Biotinylated </w:t>
      </w:r>
      <w:r w:rsidR="00CC7D43">
        <w:rPr>
          <w:rFonts w:ascii="Arial" w:hAnsi="Arial" w:cs="Arial"/>
          <w:bCs/>
          <w:color w:val="000000"/>
          <w:sz w:val="20"/>
          <w:szCs w:val="20"/>
        </w:rPr>
        <w:t>T3 3 n</w:t>
      </w:r>
      <w:r>
        <w:rPr>
          <w:rFonts w:ascii="Arial" w:hAnsi="Arial" w:cs="Arial"/>
          <w:bCs/>
          <w:color w:val="000000"/>
          <w:sz w:val="20"/>
          <w:szCs w:val="20"/>
        </w:rPr>
        <w:t>g/</w:t>
      </w:r>
      <w:r w:rsidR="00CC7D43">
        <w:rPr>
          <w:rFonts w:ascii="Arial" w:hAnsi="Arial" w:cs="Arial"/>
          <w:bCs/>
          <w:color w:val="000000"/>
          <w:sz w:val="20"/>
          <w:szCs w:val="20"/>
        </w:rPr>
        <w:t>m</w:t>
      </w:r>
      <w:r>
        <w:rPr>
          <w:rFonts w:ascii="Arial" w:hAnsi="Arial" w:cs="Arial"/>
          <w:bCs/>
          <w:color w:val="000000"/>
          <w:sz w:val="20"/>
          <w:szCs w:val="20"/>
        </w:rPr>
        <w:t xml:space="preserve">L; </w:t>
      </w:r>
      <w:r w:rsidR="00CC7D43">
        <w:rPr>
          <w:rFonts w:ascii="Arial" w:hAnsi="Arial" w:cs="Arial"/>
          <w:bCs/>
          <w:color w:val="000000"/>
          <w:sz w:val="20"/>
          <w:szCs w:val="20"/>
        </w:rPr>
        <w:t>ANS 0.8 mg/mL; phosphate buffer 100 mmol/L, pH 7.4; preservative</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The reagents in the kit have been assembled into a ready-for-use unit that cannot be separated.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 xml:space="preserve">Store the Elecsys reagent kit upright in order to ensure complete availability of the microparticles during automatic mixing prior to use.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Shelf life at 2-8</w:t>
      </w:r>
      <w:r>
        <w:rPr>
          <w:rFonts w:ascii="Calibri" w:hAnsi="Calibri" w:cs="Arial"/>
          <w:bCs/>
          <w:color w:val="000000"/>
          <w:sz w:val="20"/>
          <w:szCs w:val="20"/>
        </w:rPr>
        <w:t>°</w:t>
      </w:r>
      <w:r>
        <w:rPr>
          <w:rFonts w:ascii="Arial" w:hAnsi="Arial" w:cs="Arial"/>
          <w:bCs/>
          <w:color w:val="000000"/>
          <w:sz w:val="20"/>
          <w:szCs w:val="20"/>
        </w:rPr>
        <w:t xml:space="preserve">C </w:t>
      </w:r>
      <w:r>
        <w:rPr>
          <w:rFonts w:ascii="Arial" w:hAnsi="Arial" w:cs="Arial"/>
          <w:bCs/>
          <w:color w:val="000000"/>
          <w:sz w:val="20"/>
          <w:szCs w:val="20"/>
        </w:rPr>
        <w:tab/>
      </w:r>
      <w:r>
        <w:rPr>
          <w:rFonts w:ascii="Arial" w:hAnsi="Arial" w:cs="Arial"/>
          <w:bCs/>
          <w:color w:val="000000"/>
          <w:sz w:val="20"/>
          <w:szCs w:val="20"/>
        </w:rPr>
        <w:tab/>
        <w:t xml:space="preserve">see expiration date </w:t>
      </w:r>
    </w:p>
    <w:p w:rsidR="00ED303D" w:rsidRDefault="00ED303D" w:rsidP="00ED303D">
      <w:pPr>
        <w:autoSpaceDE w:val="0"/>
        <w:autoSpaceDN w:val="0"/>
        <w:adjustRightInd w:val="0"/>
        <w:spacing w:after="240"/>
        <w:ind w:left="1500"/>
        <w:jc w:val="both"/>
        <w:rPr>
          <w:rFonts w:ascii="Arial" w:hAnsi="Arial" w:cs="Arial"/>
          <w:bCs/>
          <w:color w:val="000000"/>
          <w:sz w:val="20"/>
          <w:szCs w:val="20"/>
        </w:rPr>
      </w:pPr>
      <w:r>
        <w:rPr>
          <w:rFonts w:ascii="Arial" w:hAnsi="Arial" w:cs="Arial"/>
          <w:bCs/>
          <w:color w:val="000000"/>
          <w:sz w:val="20"/>
          <w:szCs w:val="20"/>
        </w:rPr>
        <w:t>After opening at 2-8</w:t>
      </w:r>
      <w:r>
        <w:rPr>
          <w:rFonts w:ascii="Calibri" w:hAnsi="Calibri" w:cs="Arial"/>
          <w:bCs/>
          <w:color w:val="000000"/>
          <w:sz w:val="20"/>
          <w:szCs w:val="20"/>
        </w:rPr>
        <w:t>°</w:t>
      </w:r>
      <w:r>
        <w:rPr>
          <w:rFonts w:ascii="Arial" w:hAnsi="Arial" w:cs="Arial"/>
          <w:bCs/>
          <w:color w:val="000000"/>
          <w:sz w:val="20"/>
          <w:szCs w:val="20"/>
        </w:rPr>
        <w:t xml:space="preserve">C </w:t>
      </w:r>
      <w:r>
        <w:rPr>
          <w:rFonts w:ascii="Arial" w:hAnsi="Arial" w:cs="Arial"/>
          <w:bCs/>
          <w:color w:val="000000"/>
          <w:sz w:val="20"/>
          <w:szCs w:val="20"/>
        </w:rPr>
        <w:tab/>
      </w:r>
      <w:r>
        <w:rPr>
          <w:rFonts w:ascii="Arial" w:hAnsi="Arial" w:cs="Arial"/>
          <w:bCs/>
          <w:color w:val="000000"/>
          <w:sz w:val="20"/>
          <w:szCs w:val="20"/>
        </w:rPr>
        <w:tab/>
        <w:t>12 weeks</w:t>
      </w:r>
    </w:p>
    <w:p w:rsidR="00ED303D" w:rsidRDefault="00ED303D" w:rsidP="00ED303D">
      <w:pPr>
        <w:autoSpaceDE w:val="0"/>
        <w:autoSpaceDN w:val="0"/>
        <w:adjustRightInd w:val="0"/>
        <w:spacing w:after="240"/>
        <w:ind w:left="4320" w:hanging="2820"/>
        <w:jc w:val="both"/>
        <w:rPr>
          <w:rFonts w:ascii="Arial" w:hAnsi="Arial" w:cs="Arial"/>
          <w:bCs/>
          <w:color w:val="000000"/>
          <w:sz w:val="20"/>
          <w:szCs w:val="20"/>
        </w:rPr>
      </w:pPr>
      <w:r>
        <w:rPr>
          <w:rFonts w:ascii="Arial" w:hAnsi="Arial" w:cs="Arial"/>
          <w:bCs/>
          <w:color w:val="000000"/>
          <w:sz w:val="20"/>
          <w:szCs w:val="20"/>
        </w:rPr>
        <w:t>On-board</w:t>
      </w:r>
      <w:r w:rsidR="00CC7D43">
        <w:rPr>
          <w:rFonts w:ascii="Arial" w:hAnsi="Arial" w:cs="Arial"/>
          <w:bCs/>
          <w:color w:val="000000"/>
          <w:sz w:val="20"/>
          <w:szCs w:val="20"/>
        </w:rPr>
        <w:tab/>
        <w:t>8</w:t>
      </w:r>
      <w:r>
        <w:rPr>
          <w:rFonts w:ascii="Arial" w:hAnsi="Arial" w:cs="Arial"/>
          <w:bCs/>
          <w:color w:val="000000"/>
          <w:sz w:val="20"/>
          <w:szCs w:val="20"/>
        </w:rPr>
        <w:t xml:space="preserve"> weeks </w:t>
      </w:r>
    </w:p>
    <w:p w:rsidR="00ED303D" w:rsidRPr="0039284A" w:rsidRDefault="00ED303D" w:rsidP="00ED303D">
      <w:pPr>
        <w:autoSpaceDE w:val="0"/>
        <w:autoSpaceDN w:val="0"/>
        <w:adjustRightInd w:val="0"/>
        <w:spacing w:after="240"/>
        <w:ind w:firstLine="720"/>
        <w:jc w:val="both"/>
        <w:rPr>
          <w:rFonts w:ascii="Arial" w:hAnsi="Arial" w:cs="Arial"/>
          <w:bCs/>
          <w:color w:val="000000"/>
          <w:sz w:val="20"/>
          <w:szCs w:val="20"/>
        </w:rPr>
      </w:pPr>
      <w:r>
        <w:rPr>
          <w:rFonts w:ascii="Arial" w:hAnsi="Arial" w:cs="Arial"/>
          <w:bCs/>
          <w:color w:val="000000"/>
          <w:sz w:val="20"/>
          <w:szCs w:val="20"/>
        </w:rPr>
        <w:t xml:space="preserve">D. </w:t>
      </w:r>
      <w:r>
        <w:rPr>
          <w:rFonts w:ascii="Arial" w:hAnsi="Arial" w:cs="Arial"/>
          <w:bCs/>
          <w:color w:val="000000"/>
          <w:sz w:val="20"/>
          <w:szCs w:val="20"/>
        </w:rPr>
        <w:tab/>
      </w:r>
      <w:r w:rsidRPr="0039284A">
        <w:rPr>
          <w:rFonts w:ascii="Arial" w:hAnsi="Arial" w:cs="Arial"/>
          <w:bCs/>
          <w:color w:val="000000"/>
          <w:sz w:val="20"/>
          <w:szCs w:val="20"/>
        </w:rPr>
        <w:t>Calibrator</w:t>
      </w:r>
    </w:p>
    <w:p w:rsidR="00ED303D" w:rsidRPr="0039284A" w:rsidRDefault="00ED303D" w:rsidP="00ED303D">
      <w:pPr>
        <w:pStyle w:val="NcclsPara"/>
        <w:ind w:left="1440"/>
        <w:rPr>
          <w:rFonts w:ascii="Arial" w:hAnsi="Arial" w:cs="Arial"/>
          <w:sz w:val="20"/>
          <w:szCs w:val="20"/>
        </w:rPr>
      </w:pPr>
      <w:r w:rsidRPr="0039284A">
        <w:rPr>
          <w:rFonts w:ascii="Arial" w:hAnsi="Arial" w:cs="Arial"/>
          <w:sz w:val="20"/>
          <w:szCs w:val="20"/>
        </w:rPr>
        <w:t>Calibrator</w:t>
      </w:r>
      <w:r w:rsidRPr="0039284A">
        <w:rPr>
          <w:rFonts w:ascii="Arial" w:hAnsi="Arial" w:cs="Arial"/>
          <w:sz w:val="20"/>
          <w:szCs w:val="20"/>
        </w:rPr>
        <w:tab/>
      </w:r>
      <w:r w:rsidRPr="0039284A">
        <w:rPr>
          <w:rFonts w:ascii="Arial" w:hAnsi="Arial" w:cs="Arial"/>
          <w:sz w:val="20"/>
          <w:szCs w:val="20"/>
        </w:rPr>
        <w:tab/>
      </w:r>
      <w:r w:rsidR="00CC7D43">
        <w:rPr>
          <w:rFonts w:ascii="Arial" w:hAnsi="Arial" w:cs="Arial"/>
          <w:sz w:val="20"/>
          <w:szCs w:val="20"/>
        </w:rPr>
        <w:t>T3</w:t>
      </w:r>
      <w:r>
        <w:rPr>
          <w:rFonts w:ascii="Arial" w:hAnsi="Arial" w:cs="Arial"/>
          <w:sz w:val="20"/>
          <w:szCs w:val="20"/>
        </w:rPr>
        <w:t xml:space="preserve"> CalSet</w:t>
      </w:r>
    </w:p>
    <w:p w:rsidR="00ED303D" w:rsidRPr="0039284A" w:rsidRDefault="00ED303D" w:rsidP="00ED303D">
      <w:pPr>
        <w:pStyle w:val="NcclsPara"/>
        <w:ind w:left="1440"/>
        <w:rPr>
          <w:rFonts w:ascii="Arial" w:hAnsi="Arial" w:cs="Arial"/>
          <w:sz w:val="20"/>
          <w:szCs w:val="20"/>
        </w:rPr>
      </w:pPr>
      <w:r w:rsidRPr="0039284A">
        <w:rPr>
          <w:rFonts w:ascii="Arial" w:hAnsi="Arial" w:cs="Arial"/>
          <w:sz w:val="20"/>
          <w:szCs w:val="20"/>
        </w:rPr>
        <w:tab/>
      </w:r>
      <w:r w:rsidRPr="0039284A">
        <w:rPr>
          <w:rFonts w:ascii="Arial" w:hAnsi="Arial" w:cs="Arial"/>
          <w:sz w:val="20"/>
          <w:szCs w:val="20"/>
        </w:rPr>
        <w:tab/>
      </w:r>
      <w:r w:rsidRPr="0039284A">
        <w:rPr>
          <w:rFonts w:ascii="Arial" w:hAnsi="Arial" w:cs="Arial"/>
          <w:sz w:val="20"/>
          <w:szCs w:val="20"/>
        </w:rPr>
        <w:tab/>
      </w:r>
    </w:p>
    <w:p w:rsidR="00ED303D" w:rsidRDefault="00ED303D" w:rsidP="00ED303D">
      <w:pPr>
        <w:pStyle w:val="NcclsPara"/>
        <w:ind w:left="1440"/>
        <w:rPr>
          <w:rFonts w:ascii="Arial" w:hAnsi="Arial" w:cs="Arial"/>
          <w:sz w:val="20"/>
          <w:szCs w:val="20"/>
        </w:rPr>
      </w:pPr>
      <w:r w:rsidRPr="0039284A">
        <w:rPr>
          <w:rFonts w:ascii="Arial" w:hAnsi="Arial" w:cs="Arial"/>
          <w:sz w:val="20"/>
          <w:szCs w:val="20"/>
        </w:rPr>
        <w:lastRenderedPageBreak/>
        <w:t xml:space="preserve">Traceability: This method has been standardized </w:t>
      </w:r>
      <w:r>
        <w:rPr>
          <w:rFonts w:ascii="Arial" w:hAnsi="Arial" w:cs="Arial"/>
          <w:sz w:val="20"/>
          <w:szCs w:val="20"/>
        </w:rPr>
        <w:t xml:space="preserve">against </w:t>
      </w:r>
      <w:r w:rsidR="00CC7D43">
        <w:rPr>
          <w:rFonts w:ascii="Arial" w:hAnsi="Arial" w:cs="Arial"/>
          <w:sz w:val="20"/>
          <w:szCs w:val="20"/>
        </w:rPr>
        <w:t>reference standards by weighing T3 into analyte-free human serum matrix.</w:t>
      </w:r>
    </w:p>
    <w:p w:rsidR="00ED303D" w:rsidRDefault="00ED303D" w:rsidP="00ED303D">
      <w:pPr>
        <w:pStyle w:val="NcclsPara"/>
        <w:ind w:left="1440"/>
        <w:rPr>
          <w:rFonts w:ascii="Arial" w:hAnsi="Arial" w:cs="Arial"/>
          <w:sz w:val="20"/>
          <w:szCs w:val="20"/>
        </w:rPr>
      </w:pPr>
      <w:r>
        <w:rPr>
          <w:rFonts w:ascii="Arial" w:hAnsi="Arial" w:cs="Arial"/>
          <w:sz w:val="20"/>
          <w:szCs w:val="20"/>
        </w:rPr>
        <w:t>Every Elecsys reagent set has a barcoded label containing specific information for calibration of the particular reagent lot.  The predefined master curve is adapted to the analyzer using the relevant CalSet.</w:t>
      </w:r>
    </w:p>
    <w:p w:rsidR="00ED303D" w:rsidRDefault="00ED303D" w:rsidP="00ED303D">
      <w:pPr>
        <w:pStyle w:val="NcclsPara"/>
        <w:ind w:left="1440"/>
        <w:rPr>
          <w:rFonts w:ascii="Arial" w:hAnsi="Arial" w:cs="Arial"/>
          <w:sz w:val="20"/>
          <w:szCs w:val="20"/>
        </w:rPr>
      </w:pPr>
    </w:p>
    <w:p w:rsidR="00ED303D" w:rsidRPr="008654AC" w:rsidRDefault="00ED303D" w:rsidP="00ED303D">
      <w:pPr>
        <w:pStyle w:val="NoSpacing"/>
        <w:ind w:left="1440"/>
        <w:rPr>
          <w:rFonts w:ascii="Arial" w:hAnsi="Arial" w:cs="Arial"/>
          <w:sz w:val="20"/>
          <w:szCs w:val="20"/>
        </w:rPr>
      </w:pPr>
      <w:r w:rsidRPr="008654AC">
        <w:rPr>
          <w:rFonts w:ascii="Arial" w:hAnsi="Arial" w:cs="Arial"/>
          <w:i/>
          <w:sz w:val="20"/>
          <w:szCs w:val="20"/>
        </w:rPr>
        <w:t>Calibration frequency</w:t>
      </w:r>
      <w:r w:rsidRPr="008654AC">
        <w:rPr>
          <w:rFonts w:ascii="Arial" w:hAnsi="Arial" w:cs="Arial"/>
          <w:sz w:val="20"/>
          <w:szCs w:val="20"/>
        </w:rPr>
        <w:t>: Calibration must be performed once per reagent lot using fresh reagent (i.e. not more than 24 hours since the reagent kit was registered on the analyzer). Renewed calibration is recommended as follows:</w:t>
      </w:r>
    </w:p>
    <w:p w:rsidR="00ED303D" w:rsidRPr="008654AC"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t xml:space="preserve">after </w:t>
      </w:r>
      <w:r w:rsidR="00CC7D43">
        <w:rPr>
          <w:rFonts w:ascii="Arial" w:hAnsi="Arial" w:cs="Arial"/>
          <w:sz w:val="20"/>
          <w:szCs w:val="20"/>
        </w:rPr>
        <w:t>8 weeks</w:t>
      </w:r>
      <w:r w:rsidRPr="008654AC">
        <w:rPr>
          <w:rFonts w:ascii="Arial" w:hAnsi="Arial" w:cs="Arial"/>
          <w:sz w:val="20"/>
          <w:szCs w:val="20"/>
        </w:rPr>
        <w:t xml:space="preserve"> when using the same reagent lot</w:t>
      </w:r>
    </w:p>
    <w:p w:rsidR="00ED303D" w:rsidRPr="008654AC"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t>after 7 days (when using the same reagent kit on the analyzer)</w:t>
      </w:r>
    </w:p>
    <w:p w:rsidR="00ED303D" w:rsidRDefault="00ED303D" w:rsidP="00ED303D">
      <w:pPr>
        <w:pStyle w:val="NoSpacing"/>
        <w:ind w:left="1440"/>
        <w:rPr>
          <w:rFonts w:ascii="Arial" w:hAnsi="Arial" w:cs="Arial"/>
          <w:sz w:val="20"/>
          <w:szCs w:val="20"/>
        </w:rPr>
      </w:pPr>
      <w:r w:rsidRPr="008654AC">
        <w:rPr>
          <w:rFonts w:ascii="Arial" w:hAnsi="Arial" w:cs="Arial"/>
          <w:sz w:val="20"/>
          <w:szCs w:val="20"/>
        </w:rPr>
        <w:t>•</w:t>
      </w:r>
      <w:r w:rsidRPr="008654AC">
        <w:rPr>
          <w:rFonts w:ascii="Arial" w:hAnsi="Arial" w:cs="Arial"/>
          <w:sz w:val="20"/>
          <w:szCs w:val="20"/>
        </w:rPr>
        <w:tab/>
      </w:r>
      <w:proofErr w:type="gramStart"/>
      <w:r w:rsidRPr="008654AC">
        <w:rPr>
          <w:rFonts w:ascii="Arial" w:hAnsi="Arial" w:cs="Arial"/>
          <w:sz w:val="20"/>
          <w:szCs w:val="20"/>
        </w:rPr>
        <w:t>as</w:t>
      </w:r>
      <w:proofErr w:type="gramEnd"/>
      <w:r w:rsidRPr="008654AC">
        <w:rPr>
          <w:rFonts w:ascii="Arial" w:hAnsi="Arial" w:cs="Arial"/>
          <w:sz w:val="20"/>
          <w:szCs w:val="20"/>
        </w:rPr>
        <w:t xml:space="preserve"> required: e.g. quality control findings outside the defined limits</w:t>
      </w:r>
    </w:p>
    <w:p w:rsidR="004A0E0E" w:rsidRDefault="004A0E0E" w:rsidP="00ED303D">
      <w:pPr>
        <w:pStyle w:val="NoSpacing"/>
        <w:ind w:left="1440"/>
        <w:rPr>
          <w:rFonts w:ascii="Arial" w:hAnsi="Arial" w:cs="Arial"/>
          <w:sz w:val="20"/>
          <w:szCs w:val="20"/>
        </w:rPr>
      </w:pPr>
    </w:p>
    <w:p w:rsidR="004A0E0E" w:rsidRPr="008654AC" w:rsidRDefault="004A0E0E" w:rsidP="00ED303D">
      <w:pPr>
        <w:pStyle w:val="NoSpacing"/>
        <w:ind w:left="1440"/>
        <w:rPr>
          <w:rFonts w:ascii="Arial" w:hAnsi="Arial" w:cs="Arial"/>
          <w:sz w:val="20"/>
          <w:szCs w:val="20"/>
        </w:rPr>
      </w:pPr>
    </w:p>
    <w:p w:rsidR="00ED303D" w:rsidRPr="00E97BA6" w:rsidRDefault="00ED303D" w:rsidP="00ED303D">
      <w:pPr>
        <w:numPr>
          <w:ilvl w:val="0"/>
          <w:numId w:val="22"/>
        </w:numPr>
        <w:autoSpaceDE w:val="0"/>
        <w:autoSpaceDN w:val="0"/>
        <w:adjustRightInd w:val="0"/>
        <w:spacing w:after="240"/>
        <w:ind w:left="720"/>
        <w:jc w:val="both"/>
        <w:rPr>
          <w:rFonts w:ascii="Arial" w:hAnsi="Arial" w:cs="Arial"/>
          <w:b/>
          <w:bCs/>
          <w:color w:val="000000"/>
          <w:sz w:val="20"/>
          <w:szCs w:val="20"/>
        </w:rPr>
      </w:pPr>
      <w:r w:rsidRPr="007C1D50">
        <w:rPr>
          <w:rFonts w:ascii="Arial" w:hAnsi="Arial" w:cs="Arial"/>
          <w:b/>
          <w:bCs/>
          <w:color w:val="000000"/>
          <w:sz w:val="20"/>
          <w:szCs w:val="20"/>
        </w:rPr>
        <w:t xml:space="preserve">PROCEDURE </w:t>
      </w:r>
    </w:p>
    <w:p w:rsidR="00ED303D" w:rsidRDefault="00ED303D" w:rsidP="00ED303D">
      <w:pPr>
        <w:ind w:firstLine="720"/>
      </w:pPr>
      <w:r>
        <w:t>Refer to general cobas e411 analyzer operating procedure SW.CP.GL.lab.0102</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Pr="007C1D50"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IX.</w:t>
      </w:r>
      <w:r w:rsidRPr="007C1D50">
        <w:rPr>
          <w:rFonts w:ascii="Arial" w:hAnsi="Arial" w:cs="Arial"/>
          <w:b/>
          <w:bCs/>
          <w:color w:val="000000"/>
          <w:sz w:val="20"/>
          <w:szCs w:val="20"/>
        </w:rPr>
        <w:tab/>
        <w:t>LIMITATIONS</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Samples should not be taken from patients receiving therapy with high biotin doses</w:t>
      </w:r>
      <w:r w:rsidR="00BB54F3">
        <w:rPr>
          <w:rFonts w:ascii="Arial" w:hAnsi="Arial" w:cs="Arial"/>
          <w:bCs/>
          <w:color w:val="000000"/>
          <w:sz w:val="20"/>
          <w:szCs w:val="20"/>
        </w:rPr>
        <w:t xml:space="preserve"> (i</w:t>
      </w:r>
      <w:r>
        <w:rPr>
          <w:rFonts w:ascii="Arial" w:hAnsi="Arial" w:cs="Arial"/>
          <w:bCs/>
          <w:color w:val="000000"/>
          <w:sz w:val="20"/>
          <w:szCs w:val="20"/>
        </w:rPr>
        <w:t xml:space="preserve">.e. &gt;5 mg/day) until at least 8 hours following the last biotin administration.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No interference was observed from rheumatoid factors up to a concentration of 1500 IU/mL</w:t>
      </w:r>
      <w:r w:rsidR="00CC7D43">
        <w:rPr>
          <w:rFonts w:ascii="Arial" w:hAnsi="Arial" w:cs="Arial"/>
          <w:bCs/>
          <w:color w:val="000000"/>
          <w:sz w:val="20"/>
          <w:szCs w:val="20"/>
        </w:rPr>
        <w:t xml:space="preserve"> and samples from dialysis patients</w:t>
      </w:r>
      <w:r>
        <w:rPr>
          <w:rFonts w:ascii="Arial" w:hAnsi="Arial" w:cs="Arial"/>
          <w:bCs/>
          <w:color w:val="000000"/>
          <w:sz w:val="20"/>
          <w:szCs w:val="20"/>
        </w:rPr>
        <w:t>.</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In</w:t>
      </w:r>
      <w:r w:rsidR="00CC7D43">
        <w:rPr>
          <w:rFonts w:ascii="Arial" w:hAnsi="Arial" w:cs="Arial"/>
          <w:bCs/>
          <w:color w:val="000000"/>
          <w:sz w:val="20"/>
          <w:szCs w:val="20"/>
        </w:rPr>
        <w:t xml:space="preserve"> vitro tests were performed on 2</w:t>
      </w:r>
      <w:r>
        <w:rPr>
          <w:rFonts w:ascii="Arial" w:hAnsi="Arial" w:cs="Arial"/>
          <w:bCs/>
          <w:color w:val="000000"/>
          <w:sz w:val="20"/>
          <w:szCs w:val="20"/>
        </w:rPr>
        <w:t xml:space="preserve">6 commonly used pharmaceuticals.  No interference with the assay was found.  </w:t>
      </w:r>
    </w:p>
    <w:p w:rsidR="003D3CF2" w:rsidRDefault="003D3CF2"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Therapy with amiodarone can lead to depressed T3 values.</w:t>
      </w:r>
    </w:p>
    <w:p w:rsidR="003D3CF2" w:rsidRDefault="003D3CF2"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Phenytoin, phenylbutazone, and salicylates cause release of T3 from the binding proteins, thus leading to a reduction in the total T3 hormone level at normal fT3 levels.</w:t>
      </w:r>
      <w:r>
        <w:rPr>
          <w:rFonts w:ascii="Arial" w:hAnsi="Arial" w:cs="Arial"/>
          <w:bCs/>
          <w:color w:val="000000"/>
          <w:sz w:val="20"/>
          <w:szCs w:val="20"/>
          <w:vertAlign w:val="superscript"/>
        </w:rPr>
        <w:t>8</w:t>
      </w:r>
    </w:p>
    <w:p w:rsidR="003D3CF2" w:rsidRDefault="003D3CF2"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 xml:space="preserve">Autoantibodies to thyroid </w:t>
      </w:r>
      <w:r w:rsidR="00BB54F3">
        <w:rPr>
          <w:rFonts w:ascii="Arial" w:hAnsi="Arial" w:cs="Arial"/>
          <w:bCs/>
          <w:color w:val="000000"/>
          <w:sz w:val="20"/>
          <w:szCs w:val="20"/>
        </w:rPr>
        <w:t>hormones</w:t>
      </w:r>
      <w:r>
        <w:rPr>
          <w:rFonts w:ascii="Arial" w:hAnsi="Arial" w:cs="Arial"/>
          <w:bCs/>
          <w:color w:val="000000"/>
          <w:sz w:val="20"/>
          <w:szCs w:val="20"/>
        </w:rPr>
        <w:t xml:space="preserve"> can interfere with the assay.</w:t>
      </w:r>
    </w:p>
    <w:p w:rsidR="003D3CF2" w:rsidRDefault="003D3CF2"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Binding protein anomalies seen with FDH (familial dysalbuminemic hyperthyroxinemia), for example, may cause values which, while characteristic of the condition, deviate from the expected results.</w:t>
      </w:r>
      <w:r>
        <w:rPr>
          <w:rFonts w:ascii="Arial" w:hAnsi="Arial" w:cs="Arial"/>
          <w:bCs/>
          <w:color w:val="000000"/>
          <w:sz w:val="20"/>
          <w:szCs w:val="20"/>
          <w:vertAlign w:val="superscript"/>
        </w:rPr>
        <w:t>9</w:t>
      </w:r>
    </w:p>
    <w:p w:rsidR="003D3CF2" w:rsidRPr="003D3CF2" w:rsidRDefault="003D3CF2"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Pathological concentrations of binding proteins (TBG, albumin) can lead to total T3 values outside the normal range being found despite a euthyroid metabolic state (e.g. in NTI</w:t>
      </w:r>
      <w:r>
        <w:rPr>
          <w:rFonts w:ascii="Arial" w:hAnsi="Arial" w:cs="Arial"/>
          <w:bCs/>
          <w:color w:val="000000"/>
          <w:sz w:val="20"/>
          <w:szCs w:val="20"/>
          <w:vertAlign w:val="superscript"/>
        </w:rPr>
        <w:t>(b)</w:t>
      </w:r>
      <w:r>
        <w:rPr>
          <w:rFonts w:ascii="Arial" w:hAnsi="Arial" w:cs="Arial"/>
          <w:bCs/>
          <w:color w:val="000000"/>
          <w:sz w:val="20"/>
          <w:szCs w:val="20"/>
        </w:rPr>
        <w:t xml:space="preserve">-patients, pregnancy, use of oral contraceptives).  In such cases a fT3 or fT4 determination is indicated.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 xml:space="preserve">In rare cases, interference due to extremely high titers of antibodies to analyte-specific antibodies, streptavidin or ruthenium can occur.  These effects are minimized by suitable test design.  </w:t>
      </w:r>
    </w:p>
    <w:p w:rsidR="00ED303D" w:rsidRDefault="00ED303D"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rPr>
        <w:t xml:space="preserve">For diagnostic purposes, the results should always be assessed in conjunction with the patient’s medical history, clinical examination and other findings.  </w:t>
      </w:r>
    </w:p>
    <w:p w:rsidR="003D3CF2" w:rsidRPr="003D3CF2" w:rsidRDefault="003D3CF2" w:rsidP="00ED303D">
      <w:pPr>
        <w:autoSpaceDE w:val="0"/>
        <w:autoSpaceDN w:val="0"/>
        <w:adjustRightInd w:val="0"/>
        <w:spacing w:after="240"/>
        <w:ind w:left="720"/>
        <w:jc w:val="both"/>
        <w:rPr>
          <w:rFonts w:ascii="Arial" w:hAnsi="Arial" w:cs="Arial"/>
          <w:bCs/>
          <w:color w:val="000000"/>
          <w:sz w:val="20"/>
          <w:szCs w:val="20"/>
        </w:rPr>
      </w:pPr>
      <w:r>
        <w:rPr>
          <w:rFonts w:ascii="Arial" w:hAnsi="Arial" w:cs="Arial"/>
          <w:bCs/>
          <w:color w:val="000000"/>
          <w:sz w:val="20"/>
          <w:szCs w:val="20"/>
          <w:vertAlign w:val="superscript"/>
        </w:rPr>
        <w:t xml:space="preserve">b) NTI </w:t>
      </w:r>
      <w:r w:rsidR="00BB54F3">
        <w:rPr>
          <w:rFonts w:ascii="Arial" w:hAnsi="Arial" w:cs="Arial"/>
          <w:bCs/>
          <w:color w:val="000000"/>
          <w:sz w:val="20"/>
          <w:szCs w:val="20"/>
          <w:vertAlign w:val="superscript"/>
        </w:rPr>
        <w:t>= non</w:t>
      </w:r>
      <w:r>
        <w:rPr>
          <w:rFonts w:ascii="Arial" w:hAnsi="Arial" w:cs="Arial"/>
          <w:bCs/>
          <w:color w:val="000000"/>
          <w:sz w:val="20"/>
          <w:szCs w:val="20"/>
          <w:vertAlign w:val="superscript"/>
        </w:rPr>
        <w:t xml:space="preserve"> thyroidal illness</w:t>
      </w:r>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lastRenderedPageBreak/>
        <w:t>X.</w:t>
      </w:r>
      <w:r w:rsidRPr="007C1D50">
        <w:rPr>
          <w:rFonts w:ascii="Arial" w:hAnsi="Arial" w:cs="Arial"/>
          <w:b/>
          <w:bCs/>
          <w:color w:val="000000"/>
          <w:sz w:val="20"/>
          <w:szCs w:val="20"/>
        </w:rPr>
        <w:tab/>
        <w:t>CALCULATIONS</w:t>
      </w:r>
    </w:p>
    <w:p w:rsidR="00ED303D" w:rsidRPr="00EC5430" w:rsidRDefault="00ED303D" w:rsidP="00ED303D">
      <w:pPr>
        <w:ind w:left="720"/>
        <w:rPr>
          <w:rFonts w:ascii="Arial" w:hAnsi="Arial" w:cs="Arial"/>
          <w:sz w:val="20"/>
          <w:szCs w:val="20"/>
        </w:rPr>
      </w:pPr>
      <w:r w:rsidRPr="00EC5430">
        <w:rPr>
          <w:rFonts w:ascii="Arial" w:hAnsi="Arial" w:cs="Arial"/>
          <w:sz w:val="20"/>
          <w:szCs w:val="20"/>
        </w:rPr>
        <w:t xml:space="preserve">COBAS </w:t>
      </w:r>
      <w:r>
        <w:rPr>
          <w:rFonts w:ascii="Arial" w:hAnsi="Arial" w:cs="Arial"/>
          <w:sz w:val="20"/>
          <w:szCs w:val="20"/>
        </w:rPr>
        <w:t>e411</w:t>
      </w:r>
      <w:r w:rsidRPr="00EC5430">
        <w:rPr>
          <w:rFonts w:ascii="Arial" w:hAnsi="Arial" w:cs="Arial"/>
          <w:sz w:val="20"/>
          <w:szCs w:val="20"/>
        </w:rPr>
        <w:t xml:space="preserve"> analyzers automatically calculate the analyte concentration of each sample.</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w:t>
      </w:r>
      <w:r w:rsidRPr="007C1D50">
        <w:rPr>
          <w:rFonts w:ascii="Arial" w:hAnsi="Arial" w:cs="Arial"/>
          <w:b/>
          <w:bCs/>
          <w:color w:val="000000"/>
          <w:sz w:val="20"/>
          <w:szCs w:val="20"/>
        </w:rPr>
        <w:tab/>
      </w:r>
      <w:r>
        <w:rPr>
          <w:rFonts w:ascii="Arial" w:hAnsi="Arial" w:cs="Arial"/>
          <w:b/>
          <w:bCs/>
          <w:color w:val="000000"/>
          <w:sz w:val="20"/>
          <w:szCs w:val="20"/>
        </w:rPr>
        <w:t>MEASURING RANGE AND DILUTIONS</w:t>
      </w:r>
    </w:p>
    <w:p w:rsidR="00ED303D" w:rsidRDefault="00ED303D" w:rsidP="00ED303D">
      <w:pPr>
        <w:pStyle w:val="NcclsPara"/>
        <w:ind w:left="720"/>
        <w:rPr>
          <w:rFonts w:ascii="Arial" w:hAnsi="Arial" w:cs="Arial"/>
          <w:sz w:val="20"/>
          <w:szCs w:val="20"/>
        </w:rPr>
      </w:pPr>
      <w:r>
        <w:rPr>
          <w:rFonts w:ascii="Arial" w:hAnsi="Arial" w:cs="Arial"/>
          <w:b/>
          <w:bCs/>
          <w:color w:val="000000"/>
          <w:sz w:val="20"/>
          <w:szCs w:val="20"/>
        </w:rPr>
        <w:t xml:space="preserve"> </w:t>
      </w:r>
      <w:r w:rsidRPr="00EC5430">
        <w:rPr>
          <w:rFonts w:ascii="Arial" w:hAnsi="Arial" w:cs="Arial"/>
          <w:sz w:val="20"/>
          <w:szCs w:val="20"/>
        </w:rPr>
        <w:t>Refer to the Roche Range Chart for the measuring range and manual dilution guidelines (SW.</w:t>
      </w:r>
      <w:r w:rsidR="005B6878">
        <w:rPr>
          <w:rFonts w:ascii="Arial" w:hAnsi="Arial" w:cs="Arial"/>
          <w:sz w:val="20"/>
          <w:szCs w:val="20"/>
        </w:rPr>
        <w:t>C</w:t>
      </w:r>
      <w:r w:rsidRPr="00EC5430">
        <w:rPr>
          <w:rFonts w:ascii="Arial" w:hAnsi="Arial" w:cs="Arial"/>
          <w:sz w:val="20"/>
          <w:szCs w:val="20"/>
        </w:rPr>
        <w:t>P.GL.jad.0104).</w:t>
      </w:r>
    </w:p>
    <w:p w:rsidR="005B6878" w:rsidRDefault="005B6878" w:rsidP="00ED303D">
      <w:pPr>
        <w:pStyle w:val="NcclsPara"/>
        <w:ind w:left="720"/>
        <w:rPr>
          <w:rFonts w:ascii="Arial" w:hAnsi="Arial" w:cs="Arial"/>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Pr>
          <w:rFonts w:ascii="Arial" w:hAnsi="Arial" w:cs="Arial"/>
          <w:b/>
          <w:bCs/>
          <w:color w:val="000000"/>
          <w:sz w:val="20"/>
          <w:szCs w:val="20"/>
        </w:rPr>
        <w:t xml:space="preserve">XII. </w:t>
      </w:r>
      <w:r>
        <w:rPr>
          <w:rFonts w:ascii="Arial" w:hAnsi="Arial" w:cs="Arial"/>
          <w:b/>
          <w:bCs/>
          <w:color w:val="000000"/>
          <w:sz w:val="20"/>
          <w:szCs w:val="20"/>
        </w:rPr>
        <w:tab/>
      </w:r>
      <w:r w:rsidRPr="007C1D50">
        <w:rPr>
          <w:rFonts w:ascii="Arial" w:hAnsi="Arial" w:cs="Arial"/>
          <w:b/>
          <w:bCs/>
          <w:color w:val="000000"/>
          <w:sz w:val="20"/>
          <w:szCs w:val="20"/>
        </w:rPr>
        <w:t>INTERPRETATION</w:t>
      </w:r>
    </w:p>
    <w:p w:rsidR="00ED303D" w:rsidRPr="00E35AAC" w:rsidRDefault="00ED303D" w:rsidP="00ED303D">
      <w:pPr>
        <w:ind w:left="720"/>
        <w:rPr>
          <w:b/>
        </w:rPr>
      </w:pPr>
      <w:r w:rsidRPr="002B7602">
        <w:t>Refer to Reference Range guide for age appropriate referen</w:t>
      </w:r>
      <w:r>
        <w:t>ce ranges and critical value levels (SW.CP.GL.jad.0103).</w:t>
      </w:r>
    </w:p>
    <w:p w:rsidR="00ED303D" w:rsidRPr="007C1D50" w:rsidRDefault="00ED303D" w:rsidP="00ED303D">
      <w:pPr>
        <w:autoSpaceDE w:val="0"/>
        <w:autoSpaceDN w:val="0"/>
        <w:adjustRightInd w:val="0"/>
        <w:spacing w:after="240"/>
        <w:ind w:left="720"/>
        <w:jc w:val="both"/>
        <w:rPr>
          <w:rFonts w:ascii="Arial" w:hAnsi="Arial" w:cs="Arial"/>
          <w:b/>
          <w:bCs/>
          <w:color w:val="000000"/>
          <w:sz w:val="20"/>
          <w:szCs w:val="20"/>
        </w:rPr>
      </w:pPr>
    </w:p>
    <w:p w:rsidR="00ED303D"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XII.</w:t>
      </w:r>
      <w:r w:rsidRPr="007C1D50">
        <w:rPr>
          <w:rFonts w:ascii="Arial" w:hAnsi="Arial" w:cs="Arial"/>
          <w:b/>
          <w:bCs/>
          <w:color w:val="000000"/>
          <w:sz w:val="20"/>
          <w:szCs w:val="20"/>
        </w:rPr>
        <w:tab/>
        <w:t>RESULT REPORTING</w:t>
      </w:r>
    </w:p>
    <w:p w:rsidR="00ED303D" w:rsidRDefault="00ED303D" w:rsidP="00ED303D">
      <w:pPr>
        <w:ind w:left="720"/>
      </w:pPr>
      <w:r>
        <w:t>Results are generally reported via the DI Middleware-refer to procedure SW.CP.GL.lab.0103.</w:t>
      </w:r>
    </w:p>
    <w:p w:rsidR="00ED303D" w:rsidRPr="00A97B4F" w:rsidRDefault="00ED303D" w:rsidP="00ED303D">
      <w:pPr>
        <w:autoSpaceDE w:val="0"/>
        <w:autoSpaceDN w:val="0"/>
        <w:adjustRightInd w:val="0"/>
        <w:spacing w:after="240"/>
        <w:ind w:left="720"/>
        <w:jc w:val="both"/>
        <w:rPr>
          <w:rFonts w:ascii="Arial" w:hAnsi="Arial" w:cs="Arial"/>
          <w:sz w:val="20"/>
        </w:rPr>
      </w:pPr>
    </w:p>
    <w:p w:rsidR="00ED303D" w:rsidRPr="007C1D50" w:rsidRDefault="00ED303D" w:rsidP="00ED303D">
      <w:pPr>
        <w:autoSpaceDE w:val="0"/>
        <w:autoSpaceDN w:val="0"/>
        <w:adjustRightInd w:val="0"/>
        <w:spacing w:after="240"/>
        <w:jc w:val="both"/>
        <w:rPr>
          <w:rFonts w:ascii="Arial" w:hAnsi="Arial" w:cs="Arial"/>
          <w:b/>
          <w:bCs/>
          <w:color w:val="000000"/>
          <w:sz w:val="20"/>
          <w:szCs w:val="20"/>
        </w:rPr>
      </w:pPr>
      <w:r w:rsidRPr="007C1D50">
        <w:rPr>
          <w:rFonts w:ascii="Arial" w:hAnsi="Arial" w:cs="Arial"/>
          <w:b/>
          <w:bCs/>
          <w:color w:val="000000"/>
          <w:sz w:val="20"/>
          <w:szCs w:val="20"/>
        </w:rPr>
        <w:t>XIII.</w:t>
      </w:r>
      <w:r w:rsidRPr="007C1D50">
        <w:rPr>
          <w:rFonts w:ascii="Arial" w:hAnsi="Arial" w:cs="Arial"/>
          <w:b/>
          <w:bCs/>
          <w:color w:val="000000"/>
          <w:sz w:val="20"/>
          <w:szCs w:val="20"/>
        </w:rPr>
        <w:tab/>
        <w:t>TRAINING</w:t>
      </w:r>
    </w:p>
    <w:p w:rsidR="00ED303D" w:rsidRDefault="00ED303D" w:rsidP="00ED303D">
      <w:pPr>
        <w:autoSpaceDE w:val="0"/>
        <w:autoSpaceDN w:val="0"/>
        <w:adjustRightInd w:val="0"/>
        <w:spacing w:after="240"/>
        <w:ind w:left="720"/>
        <w:jc w:val="both"/>
        <w:rPr>
          <w:rFonts w:ascii="Arial" w:hAnsi="Arial" w:cs="Arial"/>
          <w:sz w:val="20"/>
        </w:rPr>
      </w:pPr>
    </w:p>
    <w:tbl>
      <w:tblPr>
        <w:tblW w:w="0" w:type="auto"/>
        <w:jc w:val="center"/>
        <w:tblLook w:val="01E0" w:firstRow="1" w:lastRow="1" w:firstColumn="1" w:lastColumn="1" w:noHBand="0" w:noVBand="0"/>
      </w:tblPr>
      <w:tblGrid>
        <w:gridCol w:w="1638"/>
        <w:gridCol w:w="2183"/>
      </w:tblGrid>
      <w:tr w:rsidR="00ED303D" w:rsidRPr="007C57E2"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b/>
                <w:sz w:val="20"/>
                <w:szCs w:val="20"/>
              </w:rPr>
            </w:pPr>
            <w:r w:rsidRPr="00E35AAC">
              <w:rPr>
                <w:rFonts w:ascii="Arial" w:hAnsi="Arial" w:cs="Arial"/>
                <w:b/>
                <w:sz w:val="20"/>
                <w:szCs w:val="20"/>
              </w:rPr>
              <w:t>Role</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b/>
                <w:sz w:val="20"/>
                <w:szCs w:val="20"/>
              </w:rPr>
            </w:pPr>
            <w:r w:rsidRPr="00E35AAC">
              <w:rPr>
                <w:rFonts w:ascii="Arial" w:hAnsi="Arial" w:cs="Arial"/>
                <w:b/>
                <w:sz w:val="20"/>
                <w:szCs w:val="20"/>
              </w:rPr>
              <w:t>Training Needed</w:t>
            </w:r>
          </w:p>
        </w:tc>
      </w:tr>
      <w:tr w:rsidR="00ED303D" w:rsidRPr="00E35AAC"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Management</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Read procedure</w:t>
            </w:r>
          </w:p>
        </w:tc>
      </w:tr>
      <w:tr w:rsidR="00ED303D" w:rsidRPr="00E35AAC" w:rsidTr="00DE6319">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Employees</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D303D" w:rsidRPr="00E35AAC" w:rsidRDefault="00ED303D" w:rsidP="00DE6319">
            <w:pPr>
              <w:rPr>
                <w:rFonts w:ascii="Arial" w:hAnsi="Arial" w:cs="Arial"/>
                <w:sz w:val="20"/>
                <w:szCs w:val="20"/>
              </w:rPr>
            </w:pPr>
            <w:r w:rsidRPr="00E35AAC">
              <w:rPr>
                <w:rFonts w:ascii="Arial" w:hAnsi="Arial" w:cs="Arial"/>
                <w:sz w:val="20"/>
                <w:szCs w:val="20"/>
              </w:rPr>
              <w:t>Read procedure</w:t>
            </w:r>
          </w:p>
        </w:tc>
      </w:tr>
    </w:tbl>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4A0E0E" w:rsidRDefault="004A0E0E" w:rsidP="00ED303D">
      <w:pPr>
        <w:autoSpaceDE w:val="0"/>
        <w:autoSpaceDN w:val="0"/>
        <w:adjustRightInd w:val="0"/>
        <w:spacing w:after="240"/>
        <w:jc w:val="both"/>
        <w:rPr>
          <w:rFonts w:ascii="Arial" w:hAnsi="Arial" w:cs="Arial"/>
          <w:sz w:val="20"/>
        </w:rPr>
      </w:pPr>
      <w:bookmarkStart w:id="0" w:name="_GoBack"/>
      <w:bookmarkEnd w:id="0"/>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autoSpaceDE w:val="0"/>
        <w:autoSpaceDN w:val="0"/>
        <w:adjustRightInd w:val="0"/>
        <w:spacing w:after="240"/>
        <w:jc w:val="both"/>
        <w:rPr>
          <w:rFonts w:ascii="Arial" w:hAnsi="Arial" w:cs="Arial"/>
          <w:sz w:val="20"/>
        </w:rPr>
      </w:pPr>
    </w:p>
    <w:p w:rsidR="00ED303D" w:rsidRDefault="00ED303D" w:rsidP="00ED303D">
      <w:pPr>
        <w:pStyle w:val="Second-OrderHeading"/>
        <w:numPr>
          <w:ilvl w:val="0"/>
          <w:numId w:val="0"/>
        </w:numPr>
        <w:tabs>
          <w:tab w:val="left" w:pos="6630"/>
        </w:tabs>
        <w:ind w:left="720" w:hanging="720"/>
        <w:rPr>
          <w:rFonts w:ascii="Arial" w:hAnsi="Arial" w:cs="Arial"/>
          <w:b/>
          <w:sz w:val="20"/>
        </w:rPr>
      </w:pPr>
      <w:r w:rsidRPr="007C1D50">
        <w:rPr>
          <w:rFonts w:ascii="Arial" w:hAnsi="Arial" w:cs="Arial"/>
          <w:b/>
          <w:sz w:val="20"/>
        </w:rPr>
        <w:lastRenderedPageBreak/>
        <w:t xml:space="preserve">IVX. </w:t>
      </w:r>
      <w:r w:rsidRPr="007C1D50">
        <w:rPr>
          <w:rFonts w:ascii="Arial" w:hAnsi="Arial" w:cs="Arial"/>
          <w:b/>
          <w:sz w:val="20"/>
        </w:rPr>
        <w:tab/>
        <w:t>REFERENCES</w:t>
      </w:r>
    </w:p>
    <w:p w:rsidR="00ED303D" w:rsidRDefault="00ED303D" w:rsidP="00ED303D">
      <w:pPr>
        <w:pStyle w:val="Second-OrderHeading"/>
        <w:numPr>
          <w:ilvl w:val="0"/>
          <w:numId w:val="0"/>
        </w:numPr>
        <w:tabs>
          <w:tab w:val="left" w:pos="6630"/>
        </w:tabs>
        <w:ind w:left="720" w:hanging="720"/>
        <w:rPr>
          <w:rFonts w:ascii="Arial" w:hAnsi="Arial" w:cs="Arial"/>
          <w:b/>
          <w:sz w:val="20"/>
        </w:rPr>
      </w:pPr>
    </w:p>
    <w:p w:rsidR="009B2A5D" w:rsidRPr="009717B7" w:rsidRDefault="003D3CF2" w:rsidP="009717B7">
      <w:pPr>
        <w:pStyle w:val="Second-OrderHeading"/>
        <w:numPr>
          <w:ilvl w:val="0"/>
          <w:numId w:val="0"/>
        </w:numPr>
        <w:tabs>
          <w:tab w:val="left" w:pos="6630"/>
        </w:tabs>
        <w:ind w:left="720" w:hanging="720"/>
        <w:rPr>
          <w:rFonts w:ascii="Arial" w:hAnsi="Arial" w:cs="Arial"/>
          <w:b/>
          <w:sz w:val="20"/>
        </w:rPr>
      </w:pPr>
      <w:r>
        <w:rPr>
          <w:noProof/>
        </w:rPr>
        <w:drawing>
          <wp:inline distT="0" distB="0" distL="0" distR="0" wp14:anchorId="1924E461" wp14:editId="1631834B">
            <wp:extent cx="3810000" cy="425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10000" cy="4257675"/>
                    </a:xfrm>
                    <a:prstGeom prst="rect">
                      <a:avLst/>
                    </a:prstGeom>
                  </pic:spPr>
                </pic:pic>
              </a:graphicData>
            </a:graphic>
          </wp:inline>
        </w:drawing>
      </w:r>
    </w:p>
    <w:sectPr w:rsidR="009B2A5D" w:rsidRPr="009717B7" w:rsidSect="005D32A9">
      <w:headerReference w:type="default" r:id="rId13"/>
      <w:footerReference w:type="default" r:id="rId14"/>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45" w:rsidRDefault="00904945" w:rsidP="0020707A">
      <w:r>
        <w:separator/>
      </w:r>
    </w:p>
  </w:endnote>
  <w:endnote w:type="continuationSeparator" w:id="0">
    <w:p w:rsidR="00904945" w:rsidRDefault="00904945" w:rsidP="0020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803399"/>
      <w:docPartObj>
        <w:docPartGallery w:val="Page Numbers (Bottom of Page)"/>
        <w:docPartUnique/>
      </w:docPartObj>
    </w:sdtPr>
    <w:sdtEndPr/>
    <w:sdtContent>
      <w:sdt>
        <w:sdtPr>
          <w:id w:val="860082579"/>
          <w:docPartObj>
            <w:docPartGallery w:val="Page Numbers (Top of Page)"/>
            <w:docPartUnique/>
          </w:docPartObj>
        </w:sdtPr>
        <w:sdtEndPr/>
        <w:sdtContent>
          <w:p w:rsidR="000D227F" w:rsidRDefault="000D227F">
            <w:pPr>
              <w:pStyle w:val="Footer"/>
              <w:jc w:val="right"/>
            </w:pPr>
            <w:r>
              <w:t xml:space="preserve">Page </w:t>
            </w:r>
            <w:r>
              <w:rPr>
                <w:b/>
                <w:bCs/>
              </w:rPr>
              <w:fldChar w:fldCharType="begin"/>
            </w:r>
            <w:r>
              <w:rPr>
                <w:b/>
                <w:bCs/>
              </w:rPr>
              <w:instrText xml:space="preserve"> PAGE </w:instrText>
            </w:r>
            <w:r>
              <w:rPr>
                <w:b/>
                <w:bCs/>
              </w:rPr>
              <w:fldChar w:fldCharType="separate"/>
            </w:r>
            <w:r w:rsidR="004A0E0E">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4A0E0E">
              <w:rPr>
                <w:b/>
                <w:bCs/>
                <w:noProof/>
              </w:rPr>
              <w:t>8</w:t>
            </w:r>
            <w:r>
              <w:rPr>
                <w:b/>
                <w:bCs/>
              </w:rPr>
              <w:fldChar w:fldCharType="end"/>
            </w:r>
          </w:p>
        </w:sdtContent>
      </w:sdt>
    </w:sdtContent>
  </w:sdt>
  <w:p w:rsidR="000C0F10" w:rsidRDefault="00D401B8" w:rsidP="0020707A">
    <w:pPr>
      <w:pStyle w:val="Footer"/>
    </w:pPr>
    <w:r>
      <w:t>DEPARTMENT OF PAHOLOGY &amp; LABORATORY MEDICINE</w:t>
    </w:r>
    <w:r>
      <w:tab/>
      <w:t>SW.CP.GL.lab.01</w:t>
    </w:r>
    <w:r w:rsidR="00B22825">
      <w:t>41</w:t>
    </w:r>
    <w:r>
      <w:t>.000</w:t>
    </w:r>
    <w:r w:rsidR="009717B7">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45" w:rsidRPr="00716900" w:rsidRDefault="00904945" w:rsidP="00716900">
      <w:pPr>
        <w:pStyle w:val="Footer"/>
      </w:pPr>
    </w:p>
  </w:footnote>
  <w:footnote w:type="continuationSeparator" w:id="0">
    <w:p w:rsidR="00904945" w:rsidRDefault="00904945" w:rsidP="00207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87" w:rsidRDefault="002B7A87" w:rsidP="002B7A87">
    <w:pPr>
      <w:pStyle w:val="Header"/>
    </w:pPr>
    <w:r>
      <w:t>URMC LABS AT STRONG WEST</w:t>
    </w:r>
    <w:r>
      <w:tab/>
    </w:r>
    <w:r>
      <w:tab/>
      <w:t>SW.CP.GL.lab.0</w:t>
    </w:r>
    <w:r w:rsidR="009717B7">
      <w:t>14</w:t>
    </w:r>
    <w:r w:rsidR="00B22825">
      <w:t>1</w:t>
    </w:r>
    <w:r w:rsidR="00BD0B01">
      <w:t>.000</w:t>
    </w:r>
    <w:r w:rsidR="009717B7">
      <w:t>1</w:t>
    </w:r>
  </w:p>
  <w:p w:rsidR="002B7A87" w:rsidRDefault="002B7A87" w:rsidP="002B7A87">
    <w:pPr>
      <w:pStyle w:val="Header"/>
    </w:pPr>
    <w:r>
      <w:t>156 WEST AVE.</w:t>
    </w:r>
    <w:r>
      <w:tab/>
    </w:r>
    <w:r>
      <w:tab/>
      <w:t xml:space="preserve">ROCHE </w:t>
    </w:r>
    <w:r w:rsidR="00347E67">
      <w:t>e411</w:t>
    </w:r>
    <w:r>
      <w:t xml:space="preserve"> PROCEDURE</w:t>
    </w:r>
  </w:p>
  <w:p w:rsidR="0020707A" w:rsidRPr="002B7A87" w:rsidRDefault="002B7A87" w:rsidP="002B7A87">
    <w:pPr>
      <w:pStyle w:val="Header"/>
    </w:pPr>
    <w:r>
      <w:t>BROCKPORT, NY 14420</w:t>
    </w:r>
    <w:r>
      <w:tab/>
    </w:r>
    <w:r>
      <w:tab/>
    </w:r>
    <w:r w:rsidR="00B22825">
      <w:t>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32FCFA"/>
    <w:lvl w:ilvl="0">
      <w:start w:val="1"/>
      <w:numFmt w:val="bullet"/>
      <w:lvlText w:val=""/>
      <w:lvlJc w:val="left"/>
      <w:pPr>
        <w:tabs>
          <w:tab w:val="num" w:pos="360"/>
        </w:tabs>
        <w:ind w:left="360" w:hanging="360"/>
      </w:pPr>
      <w:rPr>
        <w:rFonts w:ascii="Symbol" w:hAnsi="Symbol" w:hint="default"/>
      </w:rPr>
    </w:lvl>
  </w:abstractNum>
  <w:abstractNum w:abstractNumId="1">
    <w:nsid w:val="084E5173"/>
    <w:multiLevelType w:val="hybridMultilevel"/>
    <w:tmpl w:val="6CF2EEFC"/>
    <w:lvl w:ilvl="0" w:tplc="D9E4A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282AC2"/>
    <w:multiLevelType w:val="hybridMultilevel"/>
    <w:tmpl w:val="30E66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EA6301"/>
    <w:multiLevelType w:val="hybridMultilevel"/>
    <w:tmpl w:val="DFE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90B91"/>
    <w:multiLevelType w:val="hybridMultilevel"/>
    <w:tmpl w:val="981279A6"/>
    <w:lvl w:ilvl="0" w:tplc="4B6023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920222"/>
    <w:multiLevelType w:val="hybridMultilevel"/>
    <w:tmpl w:val="08786584"/>
    <w:lvl w:ilvl="0" w:tplc="B9C8A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77966"/>
    <w:multiLevelType w:val="hybridMultilevel"/>
    <w:tmpl w:val="26E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DF78DB"/>
    <w:multiLevelType w:val="hybridMultilevel"/>
    <w:tmpl w:val="6F0CA592"/>
    <w:lvl w:ilvl="0" w:tplc="6BA2AA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7BA1527"/>
    <w:multiLevelType w:val="hybridMultilevel"/>
    <w:tmpl w:val="459E20D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nsid w:val="3F9D190F"/>
    <w:multiLevelType w:val="hybridMultilevel"/>
    <w:tmpl w:val="23E6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5F31C6"/>
    <w:multiLevelType w:val="hybridMultilevel"/>
    <w:tmpl w:val="6ABAFB34"/>
    <w:lvl w:ilvl="0" w:tplc="A3E61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14409BD"/>
    <w:multiLevelType w:val="hybridMultilevel"/>
    <w:tmpl w:val="B5421C28"/>
    <w:lvl w:ilvl="0" w:tplc="8B50EAAE">
      <w:start w:val="1"/>
      <w:numFmt w:val="decimal"/>
      <w:pStyle w:val="NcclsReference"/>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453D0158"/>
    <w:multiLevelType w:val="hybridMultilevel"/>
    <w:tmpl w:val="0A4EB1B4"/>
    <w:lvl w:ilvl="0" w:tplc="BE4E31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5A1FAF"/>
    <w:multiLevelType w:val="hybridMultilevel"/>
    <w:tmpl w:val="F1DAE3EE"/>
    <w:lvl w:ilvl="0" w:tplc="18CE0D5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BFB18BE"/>
    <w:multiLevelType w:val="hybridMultilevel"/>
    <w:tmpl w:val="0EF8BE00"/>
    <w:lvl w:ilvl="0" w:tplc="C0028D52">
      <w:start w:val="8"/>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nsid w:val="4FD42E92"/>
    <w:multiLevelType w:val="hybridMultilevel"/>
    <w:tmpl w:val="9470FE1C"/>
    <w:lvl w:ilvl="0" w:tplc="87B005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3CA42F3"/>
    <w:multiLevelType w:val="multilevel"/>
    <w:tmpl w:val="6218B8F0"/>
    <w:lvl w:ilvl="0">
      <w:start w:val="1"/>
      <w:numFmt w:val="upperRoman"/>
      <w:pStyle w:val="First-OrderHeading"/>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Times New Roman" w:hAnsi="Times New Roman" w:hint="default"/>
        <w:b w:val="0"/>
        <w:i w:val="0"/>
        <w:sz w:val="24"/>
      </w:rPr>
    </w:lvl>
    <w:lvl w:ilvl="2">
      <w:start w:val="1"/>
      <w:numFmt w:val="decimal"/>
      <w:pStyle w:val="Third-OrderHeading"/>
      <w:lvlText w:val="%3."/>
      <w:lvlJc w:val="left"/>
      <w:pPr>
        <w:tabs>
          <w:tab w:val="num" w:pos="0"/>
        </w:tabs>
        <w:ind w:left="2160" w:hanging="720"/>
      </w:p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7">
    <w:nsid w:val="6D0C3994"/>
    <w:multiLevelType w:val="hybridMultilevel"/>
    <w:tmpl w:val="4A66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486213"/>
    <w:multiLevelType w:val="hybridMultilevel"/>
    <w:tmpl w:val="894A5FEC"/>
    <w:lvl w:ilvl="0" w:tplc="B9C8A5D4">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763BD4"/>
    <w:multiLevelType w:val="hybridMultilevel"/>
    <w:tmpl w:val="DE6A130A"/>
    <w:lvl w:ilvl="0" w:tplc="4CA85A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622922"/>
    <w:multiLevelType w:val="hybridMultilevel"/>
    <w:tmpl w:val="65C4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370455"/>
    <w:multiLevelType w:val="hybridMultilevel"/>
    <w:tmpl w:val="CFF8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5"/>
  </w:num>
  <w:num w:numId="4">
    <w:abstractNumId w:val="8"/>
  </w:num>
  <w:num w:numId="5">
    <w:abstractNumId w:val="6"/>
  </w:num>
  <w:num w:numId="6">
    <w:abstractNumId w:val="3"/>
  </w:num>
  <w:num w:numId="7">
    <w:abstractNumId w:val="17"/>
  </w:num>
  <w:num w:numId="8">
    <w:abstractNumId w:val="9"/>
  </w:num>
  <w:num w:numId="9">
    <w:abstractNumId w:val="2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7"/>
  </w:num>
  <w:num w:numId="14">
    <w:abstractNumId w:val="15"/>
  </w:num>
  <w:num w:numId="15">
    <w:abstractNumId w:val="12"/>
  </w:num>
  <w:num w:numId="16">
    <w:abstractNumId w:val="11"/>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num>
  <w:num w:numId="21">
    <w:abstractNumId w:val="19"/>
  </w:num>
  <w:num w:numId="22">
    <w:abstractNumId w:val="14"/>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BB"/>
    <w:rsid w:val="000326C3"/>
    <w:rsid w:val="000A28E5"/>
    <w:rsid w:val="000A5018"/>
    <w:rsid w:val="000C0F10"/>
    <w:rsid w:val="000D227F"/>
    <w:rsid w:val="000E3FDD"/>
    <w:rsid w:val="001240F8"/>
    <w:rsid w:val="00125CFD"/>
    <w:rsid w:val="00141FF8"/>
    <w:rsid w:val="001A4F38"/>
    <w:rsid w:val="001D5336"/>
    <w:rsid w:val="001F6E10"/>
    <w:rsid w:val="0020707A"/>
    <w:rsid w:val="002373E4"/>
    <w:rsid w:val="00257BA4"/>
    <w:rsid w:val="00293E9B"/>
    <w:rsid w:val="002B7A87"/>
    <w:rsid w:val="002D1D00"/>
    <w:rsid w:val="002D3CF1"/>
    <w:rsid w:val="002D546C"/>
    <w:rsid w:val="002E60A3"/>
    <w:rsid w:val="003213C6"/>
    <w:rsid w:val="00330B26"/>
    <w:rsid w:val="00347E67"/>
    <w:rsid w:val="00375408"/>
    <w:rsid w:val="003B28D0"/>
    <w:rsid w:val="003D3CF2"/>
    <w:rsid w:val="00415C02"/>
    <w:rsid w:val="0044166A"/>
    <w:rsid w:val="00474172"/>
    <w:rsid w:val="00486DB6"/>
    <w:rsid w:val="004A0E0E"/>
    <w:rsid w:val="004B16BB"/>
    <w:rsid w:val="00502D0E"/>
    <w:rsid w:val="005365A2"/>
    <w:rsid w:val="00544BE3"/>
    <w:rsid w:val="00555556"/>
    <w:rsid w:val="005A3CC9"/>
    <w:rsid w:val="005B6878"/>
    <w:rsid w:val="005D32A9"/>
    <w:rsid w:val="005E72BC"/>
    <w:rsid w:val="00601380"/>
    <w:rsid w:val="00607686"/>
    <w:rsid w:val="00672CEB"/>
    <w:rsid w:val="00673E28"/>
    <w:rsid w:val="006B0BA0"/>
    <w:rsid w:val="006D799D"/>
    <w:rsid w:val="00716900"/>
    <w:rsid w:val="0073412B"/>
    <w:rsid w:val="0074443F"/>
    <w:rsid w:val="00771B42"/>
    <w:rsid w:val="007D44C0"/>
    <w:rsid w:val="007D6836"/>
    <w:rsid w:val="008044B0"/>
    <w:rsid w:val="00814379"/>
    <w:rsid w:val="00842E38"/>
    <w:rsid w:val="00857273"/>
    <w:rsid w:val="008B4BB0"/>
    <w:rsid w:val="008D0C9A"/>
    <w:rsid w:val="008D791C"/>
    <w:rsid w:val="008E7A72"/>
    <w:rsid w:val="00904945"/>
    <w:rsid w:val="009717B7"/>
    <w:rsid w:val="009809CA"/>
    <w:rsid w:val="00983126"/>
    <w:rsid w:val="009A3D11"/>
    <w:rsid w:val="009A4964"/>
    <w:rsid w:val="009B04C2"/>
    <w:rsid w:val="009B2A5D"/>
    <w:rsid w:val="009E6960"/>
    <w:rsid w:val="00A0683B"/>
    <w:rsid w:val="00A344FC"/>
    <w:rsid w:val="00A36065"/>
    <w:rsid w:val="00A53EC8"/>
    <w:rsid w:val="00AA16D9"/>
    <w:rsid w:val="00AA5DEB"/>
    <w:rsid w:val="00AD77B4"/>
    <w:rsid w:val="00AF09F2"/>
    <w:rsid w:val="00AF4E76"/>
    <w:rsid w:val="00B049A9"/>
    <w:rsid w:val="00B22825"/>
    <w:rsid w:val="00B42D05"/>
    <w:rsid w:val="00B565FE"/>
    <w:rsid w:val="00BA024A"/>
    <w:rsid w:val="00BB54F3"/>
    <w:rsid w:val="00BD0B01"/>
    <w:rsid w:val="00C02CC8"/>
    <w:rsid w:val="00C327FD"/>
    <w:rsid w:val="00C43197"/>
    <w:rsid w:val="00CC7D43"/>
    <w:rsid w:val="00CD345E"/>
    <w:rsid w:val="00CE29B4"/>
    <w:rsid w:val="00D0020F"/>
    <w:rsid w:val="00D210F8"/>
    <w:rsid w:val="00D21128"/>
    <w:rsid w:val="00D36B38"/>
    <w:rsid w:val="00D401B8"/>
    <w:rsid w:val="00D63971"/>
    <w:rsid w:val="00DA18F3"/>
    <w:rsid w:val="00E219C5"/>
    <w:rsid w:val="00ED303D"/>
    <w:rsid w:val="00EF4DC2"/>
    <w:rsid w:val="00F47F58"/>
    <w:rsid w:val="00F80EC0"/>
    <w:rsid w:val="00F9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0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303D"/>
    <w:pPr>
      <w:keepNext/>
      <w:outlineLvl w:val="0"/>
    </w:pPr>
    <w:rPr>
      <w:b/>
      <w:bCs/>
    </w:rPr>
  </w:style>
  <w:style w:type="paragraph" w:styleId="Heading3">
    <w:name w:val="heading 3"/>
    <w:basedOn w:val="Normal"/>
    <w:next w:val="Normal"/>
    <w:link w:val="Heading3Char"/>
    <w:qFormat/>
    <w:rsid w:val="00ED30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BB"/>
    <w:pPr>
      <w:ind w:left="720"/>
      <w:contextualSpacing/>
    </w:pPr>
  </w:style>
  <w:style w:type="paragraph" w:styleId="Header">
    <w:name w:val="header"/>
    <w:basedOn w:val="Normal"/>
    <w:link w:val="HeaderChar"/>
    <w:uiPriority w:val="99"/>
    <w:unhideWhenUsed/>
    <w:rsid w:val="0020707A"/>
    <w:pPr>
      <w:tabs>
        <w:tab w:val="center" w:pos="4680"/>
        <w:tab w:val="right" w:pos="9360"/>
      </w:tabs>
    </w:pPr>
  </w:style>
  <w:style w:type="character" w:customStyle="1" w:styleId="HeaderChar">
    <w:name w:val="Header Char"/>
    <w:basedOn w:val="DefaultParagraphFont"/>
    <w:link w:val="Header"/>
    <w:uiPriority w:val="99"/>
    <w:rsid w:val="0020707A"/>
  </w:style>
  <w:style w:type="paragraph" w:styleId="Footer">
    <w:name w:val="footer"/>
    <w:basedOn w:val="Normal"/>
    <w:link w:val="FooterChar"/>
    <w:uiPriority w:val="99"/>
    <w:unhideWhenUsed/>
    <w:rsid w:val="0020707A"/>
    <w:pPr>
      <w:tabs>
        <w:tab w:val="center" w:pos="4680"/>
        <w:tab w:val="right" w:pos="9360"/>
      </w:tabs>
    </w:pPr>
  </w:style>
  <w:style w:type="character" w:customStyle="1" w:styleId="FooterChar">
    <w:name w:val="Footer Char"/>
    <w:basedOn w:val="DefaultParagraphFont"/>
    <w:link w:val="Footer"/>
    <w:uiPriority w:val="99"/>
    <w:rsid w:val="0020707A"/>
  </w:style>
  <w:style w:type="paragraph" w:customStyle="1" w:styleId="NcclsPara">
    <w:name w:val="NcclsPara"/>
    <w:basedOn w:val="Normal"/>
    <w:rsid w:val="00D63971"/>
    <w:pPr>
      <w:snapToGrid w:val="0"/>
      <w:spacing w:before="100" w:beforeAutospacing="1" w:after="100" w:afterAutospacing="1"/>
      <w:contextualSpacing/>
    </w:pPr>
  </w:style>
  <w:style w:type="paragraph" w:styleId="NoSpacing">
    <w:name w:val="No Spacing"/>
    <w:uiPriority w:val="1"/>
    <w:qFormat/>
    <w:rsid w:val="00B049A9"/>
    <w:pPr>
      <w:spacing w:after="0" w:line="240" w:lineRule="auto"/>
    </w:pPr>
  </w:style>
  <w:style w:type="paragraph" w:customStyle="1" w:styleId="txt">
    <w:name w:val="txt"/>
    <w:basedOn w:val="Normal"/>
    <w:link w:val="txtChar"/>
    <w:rsid w:val="000326C3"/>
    <w:pPr>
      <w:spacing w:after="120"/>
      <w:ind w:left="274"/>
    </w:pPr>
  </w:style>
  <w:style w:type="character" w:customStyle="1" w:styleId="txtChar">
    <w:name w:val="txt Char"/>
    <w:basedOn w:val="DefaultParagraphFont"/>
    <w:link w:val="txt"/>
    <w:rsid w:val="000326C3"/>
    <w:rPr>
      <w:rFonts w:ascii="Times New Roman" w:eastAsia="Times New Roman" w:hAnsi="Times New Roman" w:cs="Times New Roman"/>
      <w:szCs w:val="24"/>
    </w:rPr>
  </w:style>
  <w:style w:type="paragraph" w:customStyle="1" w:styleId="NcclsReference">
    <w:name w:val="NcclsReference"/>
    <w:basedOn w:val="Normal"/>
    <w:rsid w:val="00D36B38"/>
    <w:pPr>
      <w:numPr>
        <w:numId w:val="10"/>
      </w:numPr>
      <w:snapToGrid w:val="0"/>
      <w:spacing w:before="100" w:beforeAutospacing="1" w:after="100" w:afterAutospacing="1"/>
      <w:contextualSpacing/>
    </w:pPr>
  </w:style>
  <w:style w:type="table" w:styleId="TableGrid">
    <w:name w:val="Table Grid"/>
    <w:basedOn w:val="TableNormal"/>
    <w:rsid w:val="009E6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clsLabel">
    <w:name w:val="NcclsLabel"/>
    <w:basedOn w:val="NcclsPara"/>
    <w:rsid w:val="002D3CF1"/>
    <w:rPr>
      <w:b/>
    </w:rPr>
  </w:style>
  <w:style w:type="paragraph" w:styleId="BalloonText">
    <w:name w:val="Balloon Text"/>
    <w:basedOn w:val="Normal"/>
    <w:link w:val="BalloonTextChar"/>
    <w:uiPriority w:val="99"/>
    <w:semiHidden/>
    <w:unhideWhenUsed/>
    <w:rsid w:val="005E72BC"/>
    <w:rPr>
      <w:rFonts w:ascii="Tahoma" w:hAnsi="Tahoma" w:cs="Tahoma"/>
      <w:sz w:val="16"/>
      <w:szCs w:val="16"/>
    </w:rPr>
  </w:style>
  <w:style w:type="character" w:customStyle="1" w:styleId="BalloonTextChar">
    <w:name w:val="Balloon Text Char"/>
    <w:basedOn w:val="DefaultParagraphFont"/>
    <w:link w:val="BalloonText"/>
    <w:uiPriority w:val="99"/>
    <w:semiHidden/>
    <w:rsid w:val="005E72BC"/>
    <w:rPr>
      <w:rFonts w:ascii="Tahoma" w:hAnsi="Tahoma" w:cs="Tahoma"/>
      <w:sz w:val="16"/>
      <w:szCs w:val="16"/>
    </w:rPr>
  </w:style>
  <w:style w:type="paragraph" w:styleId="FootnoteText">
    <w:name w:val="footnote text"/>
    <w:basedOn w:val="Normal"/>
    <w:link w:val="FootnoteTextChar"/>
    <w:semiHidden/>
    <w:rsid w:val="002D1D00"/>
    <w:rPr>
      <w:szCs w:val="20"/>
    </w:rPr>
  </w:style>
  <w:style w:type="character" w:customStyle="1" w:styleId="FootnoteTextChar">
    <w:name w:val="Footnote Text Char"/>
    <w:basedOn w:val="DefaultParagraphFont"/>
    <w:link w:val="FootnoteText"/>
    <w:semiHidden/>
    <w:rsid w:val="002D1D00"/>
    <w:rPr>
      <w:rFonts w:ascii="Times New Roman" w:eastAsia="Times New Roman" w:hAnsi="Times New Roman" w:cs="Times New Roman"/>
      <w:szCs w:val="20"/>
    </w:rPr>
  </w:style>
  <w:style w:type="paragraph" w:styleId="ListBullet">
    <w:name w:val="List Bullet"/>
    <w:basedOn w:val="Normal"/>
    <w:autoRedefine/>
    <w:rsid w:val="00AF4E76"/>
    <w:pPr>
      <w:ind w:left="1170"/>
    </w:pPr>
    <w:rPr>
      <w:sz w:val="18"/>
      <w:szCs w:val="18"/>
    </w:rPr>
  </w:style>
  <w:style w:type="paragraph" w:styleId="BodyTextIndent">
    <w:name w:val="Body Text Indent"/>
    <w:basedOn w:val="Normal"/>
    <w:link w:val="BodyTextIndentChar"/>
    <w:uiPriority w:val="99"/>
    <w:semiHidden/>
    <w:unhideWhenUsed/>
    <w:rsid w:val="00AF4E76"/>
    <w:pPr>
      <w:spacing w:after="120"/>
      <w:ind w:left="360"/>
    </w:pPr>
  </w:style>
  <w:style w:type="character" w:customStyle="1" w:styleId="BodyTextIndentChar">
    <w:name w:val="Body Text Indent Char"/>
    <w:basedOn w:val="DefaultParagraphFont"/>
    <w:link w:val="BodyTextIndent"/>
    <w:uiPriority w:val="99"/>
    <w:semiHidden/>
    <w:rsid w:val="00AF4E76"/>
  </w:style>
  <w:style w:type="paragraph" w:styleId="BodyTextFirstIndent2">
    <w:name w:val="Body Text First Indent 2"/>
    <w:basedOn w:val="Normal"/>
    <w:link w:val="BodyTextFirstIndent2Char"/>
    <w:rsid w:val="00AF4E76"/>
    <w:pPr>
      <w:shd w:val="clear" w:color="000000" w:fill="FFFFFF"/>
      <w:spacing w:after="120"/>
      <w:ind w:left="360" w:firstLine="106"/>
    </w:pPr>
    <w:rPr>
      <w:color w:val="000000"/>
      <w:szCs w:val="20"/>
    </w:rPr>
  </w:style>
  <w:style w:type="character" w:customStyle="1" w:styleId="BodyTextFirstIndent2Char">
    <w:name w:val="Body Text First Indent 2 Char"/>
    <w:basedOn w:val="BodyTextIndentChar"/>
    <w:link w:val="BodyTextFirstIndent2"/>
    <w:rsid w:val="00AF4E76"/>
    <w:rPr>
      <w:rFonts w:ascii="Times New Roman" w:eastAsia="Times New Roman" w:hAnsi="Times New Roman" w:cs="Times New Roman"/>
      <w:color w:val="000000"/>
      <w:sz w:val="24"/>
      <w:szCs w:val="20"/>
      <w:shd w:val="clear" w:color="000000" w:fill="FFFFFF"/>
    </w:rPr>
  </w:style>
  <w:style w:type="paragraph" w:styleId="BodyText">
    <w:name w:val="Body Text"/>
    <w:basedOn w:val="Normal"/>
    <w:link w:val="BodyTextChar"/>
    <w:uiPriority w:val="99"/>
    <w:semiHidden/>
    <w:unhideWhenUsed/>
    <w:rsid w:val="00ED303D"/>
    <w:pPr>
      <w:spacing w:after="120"/>
    </w:pPr>
  </w:style>
  <w:style w:type="character" w:customStyle="1" w:styleId="BodyTextChar">
    <w:name w:val="Body Text Char"/>
    <w:basedOn w:val="DefaultParagraphFont"/>
    <w:link w:val="BodyText"/>
    <w:uiPriority w:val="99"/>
    <w:semiHidden/>
    <w:rsid w:val="00ED303D"/>
  </w:style>
  <w:style w:type="character" w:customStyle="1" w:styleId="Heading1Char">
    <w:name w:val="Heading 1 Char"/>
    <w:basedOn w:val="DefaultParagraphFont"/>
    <w:link w:val="Heading1"/>
    <w:rsid w:val="00ED303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D303D"/>
    <w:rPr>
      <w:rFonts w:ascii="Arial" w:eastAsia="Times New Roman" w:hAnsi="Arial" w:cs="Arial"/>
      <w:b/>
      <w:bCs/>
      <w:sz w:val="26"/>
      <w:szCs w:val="26"/>
    </w:rPr>
  </w:style>
  <w:style w:type="paragraph" w:customStyle="1" w:styleId="First-OrderHeading">
    <w:name w:val="First-Order Heading"/>
    <w:basedOn w:val="Normal"/>
    <w:rsid w:val="00ED303D"/>
    <w:pPr>
      <w:numPr>
        <w:numId w:val="20"/>
      </w:numPr>
      <w:spacing w:before="240" w:after="240"/>
    </w:pPr>
    <w:rPr>
      <w:b/>
      <w:caps/>
      <w:szCs w:val="20"/>
    </w:rPr>
  </w:style>
  <w:style w:type="paragraph" w:customStyle="1" w:styleId="Second-OrderHeading">
    <w:name w:val="Second-Order Heading"/>
    <w:basedOn w:val="First-OrderHeading"/>
    <w:link w:val="Second-OrderHeadingChar"/>
    <w:rsid w:val="00ED303D"/>
    <w:pPr>
      <w:numPr>
        <w:ilvl w:val="1"/>
      </w:numPr>
      <w:spacing w:before="0"/>
    </w:pPr>
    <w:rPr>
      <w:b w:val="0"/>
      <w:caps w:val="0"/>
    </w:rPr>
  </w:style>
  <w:style w:type="paragraph" w:customStyle="1" w:styleId="Third-OrderHeading">
    <w:name w:val="Third-Order Heading"/>
    <w:basedOn w:val="Second-OrderHeading"/>
    <w:rsid w:val="00ED303D"/>
    <w:pPr>
      <w:numPr>
        <w:ilvl w:val="2"/>
      </w:numPr>
      <w:tabs>
        <w:tab w:val="clear" w:pos="0"/>
      </w:tabs>
      <w:ind w:left="2880" w:hanging="180"/>
    </w:pPr>
  </w:style>
  <w:style w:type="paragraph" w:customStyle="1" w:styleId="Fourth-OrderHeading">
    <w:name w:val="Fourth-Order Heading"/>
    <w:basedOn w:val="Third-OrderHeading"/>
    <w:rsid w:val="00ED303D"/>
    <w:pPr>
      <w:numPr>
        <w:ilvl w:val="3"/>
      </w:numPr>
      <w:tabs>
        <w:tab w:val="clear" w:pos="0"/>
      </w:tabs>
      <w:ind w:left="3600" w:hanging="360"/>
    </w:pPr>
  </w:style>
  <w:style w:type="paragraph" w:customStyle="1" w:styleId="Fifth-OrderHeading">
    <w:name w:val="Fifth-Order Heading"/>
    <w:basedOn w:val="Fourth-OrderHeading"/>
    <w:rsid w:val="00ED303D"/>
    <w:pPr>
      <w:numPr>
        <w:ilvl w:val="4"/>
      </w:numPr>
      <w:tabs>
        <w:tab w:val="clear" w:pos="0"/>
      </w:tabs>
      <w:ind w:left="4320" w:hanging="360"/>
    </w:pPr>
  </w:style>
  <w:style w:type="paragraph" w:customStyle="1" w:styleId="Sixth-OrderHeading">
    <w:name w:val="Sixth-Order Heading"/>
    <w:basedOn w:val="Fifth-OrderHeading"/>
    <w:rsid w:val="00ED303D"/>
    <w:pPr>
      <w:numPr>
        <w:ilvl w:val="5"/>
      </w:numPr>
      <w:tabs>
        <w:tab w:val="clear" w:pos="0"/>
      </w:tabs>
      <w:ind w:left="5040" w:hanging="180"/>
    </w:pPr>
  </w:style>
  <w:style w:type="paragraph" w:customStyle="1" w:styleId="TableHeaderText">
    <w:name w:val="Table Header Text"/>
    <w:basedOn w:val="Normal"/>
    <w:rsid w:val="00ED303D"/>
    <w:pPr>
      <w:jc w:val="center"/>
    </w:pPr>
    <w:rPr>
      <w:b/>
      <w:szCs w:val="20"/>
    </w:rPr>
  </w:style>
  <w:style w:type="character" w:customStyle="1" w:styleId="Second-OrderHeadingChar">
    <w:name w:val="Second-Order Heading Char"/>
    <w:link w:val="Second-OrderHeading"/>
    <w:rsid w:val="00ED303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0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303D"/>
    <w:pPr>
      <w:keepNext/>
      <w:outlineLvl w:val="0"/>
    </w:pPr>
    <w:rPr>
      <w:b/>
      <w:bCs/>
    </w:rPr>
  </w:style>
  <w:style w:type="paragraph" w:styleId="Heading3">
    <w:name w:val="heading 3"/>
    <w:basedOn w:val="Normal"/>
    <w:next w:val="Normal"/>
    <w:link w:val="Heading3Char"/>
    <w:qFormat/>
    <w:rsid w:val="00ED30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BB"/>
    <w:pPr>
      <w:ind w:left="720"/>
      <w:contextualSpacing/>
    </w:pPr>
  </w:style>
  <w:style w:type="paragraph" w:styleId="Header">
    <w:name w:val="header"/>
    <w:basedOn w:val="Normal"/>
    <w:link w:val="HeaderChar"/>
    <w:uiPriority w:val="99"/>
    <w:unhideWhenUsed/>
    <w:rsid w:val="0020707A"/>
    <w:pPr>
      <w:tabs>
        <w:tab w:val="center" w:pos="4680"/>
        <w:tab w:val="right" w:pos="9360"/>
      </w:tabs>
    </w:pPr>
  </w:style>
  <w:style w:type="character" w:customStyle="1" w:styleId="HeaderChar">
    <w:name w:val="Header Char"/>
    <w:basedOn w:val="DefaultParagraphFont"/>
    <w:link w:val="Header"/>
    <w:uiPriority w:val="99"/>
    <w:rsid w:val="0020707A"/>
  </w:style>
  <w:style w:type="paragraph" w:styleId="Footer">
    <w:name w:val="footer"/>
    <w:basedOn w:val="Normal"/>
    <w:link w:val="FooterChar"/>
    <w:uiPriority w:val="99"/>
    <w:unhideWhenUsed/>
    <w:rsid w:val="0020707A"/>
    <w:pPr>
      <w:tabs>
        <w:tab w:val="center" w:pos="4680"/>
        <w:tab w:val="right" w:pos="9360"/>
      </w:tabs>
    </w:pPr>
  </w:style>
  <w:style w:type="character" w:customStyle="1" w:styleId="FooterChar">
    <w:name w:val="Footer Char"/>
    <w:basedOn w:val="DefaultParagraphFont"/>
    <w:link w:val="Footer"/>
    <w:uiPriority w:val="99"/>
    <w:rsid w:val="0020707A"/>
  </w:style>
  <w:style w:type="paragraph" w:customStyle="1" w:styleId="NcclsPara">
    <w:name w:val="NcclsPara"/>
    <w:basedOn w:val="Normal"/>
    <w:rsid w:val="00D63971"/>
    <w:pPr>
      <w:snapToGrid w:val="0"/>
      <w:spacing w:before="100" w:beforeAutospacing="1" w:after="100" w:afterAutospacing="1"/>
      <w:contextualSpacing/>
    </w:pPr>
  </w:style>
  <w:style w:type="paragraph" w:styleId="NoSpacing">
    <w:name w:val="No Spacing"/>
    <w:uiPriority w:val="1"/>
    <w:qFormat/>
    <w:rsid w:val="00B049A9"/>
    <w:pPr>
      <w:spacing w:after="0" w:line="240" w:lineRule="auto"/>
    </w:pPr>
  </w:style>
  <w:style w:type="paragraph" w:customStyle="1" w:styleId="txt">
    <w:name w:val="txt"/>
    <w:basedOn w:val="Normal"/>
    <w:link w:val="txtChar"/>
    <w:rsid w:val="000326C3"/>
    <w:pPr>
      <w:spacing w:after="120"/>
      <w:ind w:left="274"/>
    </w:pPr>
  </w:style>
  <w:style w:type="character" w:customStyle="1" w:styleId="txtChar">
    <w:name w:val="txt Char"/>
    <w:basedOn w:val="DefaultParagraphFont"/>
    <w:link w:val="txt"/>
    <w:rsid w:val="000326C3"/>
    <w:rPr>
      <w:rFonts w:ascii="Times New Roman" w:eastAsia="Times New Roman" w:hAnsi="Times New Roman" w:cs="Times New Roman"/>
      <w:szCs w:val="24"/>
    </w:rPr>
  </w:style>
  <w:style w:type="paragraph" w:customStyle="1" w:styleId="NcclsReference">
    <w:name w:val="NcclsReference"/>
    <w:basedOn w:val="Normal"/>
    <w:rsid w:val="00D36B38"/>
    <w:pPr>
      <w:numPr>
        <w:numId w:val="10"/>
      </w:numPr>
      <w:snapToGrid w:val="0"/>
      <w:spacing w:before="100" w:beforeAutospacing="1" w:after="100" w:afterAutospacing="1"/>
      <w:contextualSpacing/>
    </w:pPr>
  </w:style>
  <w:style w:type="table" w:styleId="TableGrid">
    <w:name w:val="Table Grid"/>
    <w:basedOn w:val="TableNormal"/>
    <w:rsid w:val="009E6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clsLabel">
    <w:name w:val="NcclsLabel"/>
    <w:basedOn w:val="NcclsPara"/>
    <w:rsid w:val="002D3CF1"/>
    <w:rPr>
      <w:b/>
    </w:rPr>
  </w:style>
  <w:style w:type="paragraph" w:styleId="BalloonText">
    <w:name w:val="Balloon Text"/>
    <w:basedOn w:val="Normal"/>
    <w:link w:val="BalloonTextChar"/>
    <w:uiPriority w:val="99"/>
    <w:semiHidden/>
    <w:unhideWhenUsed/>
    <w:rsid w:val="005E72BC"/>
    <w:rPr>
      <w:rFonts w:ascii="Tahoma" w:hAnsi="Tahoma" w:cs="Tahoma"/>
      <w:sz w:val="16"/>
      <w:szCs w:val="16"/>
    </w:rPr>
  </w:style>
  <w:style w:type="character" w:customStyle="1" w:styleId="BalloonTextChar">
    <w:name w:val="Balloon Text Char"/>
    <w:basedOn w:val="DefaultParagraphFont"/>
    <w:link w:val="BalloonText"/>
    <w:uiPriority w:val="99"/>
    <w:semiHidden/>
    <w:rsid w:val="005E72BC"/>
    <w:rPr>
      <w:rFonts w:ascii="Tahoma" w:hAnsi="Tahoma" w:cs="Tahoma"/>
      <w:sz w:val="16"/>
      <w:szCs w:val="16"/>
    </w:rPr>
  </w:style>
  <w:style w:type="paragraph" w:styleId="FootnoteText">
    <w:name w:val="footnote text"/>
    <w:basedOn w:val="Normal"/>
    <w:link w:val="FootnoteTextChar"/>
    <w:semiHidden/>
    <w:rsid w:val="002D1D00"/>
    <w:rPr>
      <w:szCs w:val="20"/>
    </w:rPr>
  </w:style>
  <w:style w:type="character" w:customStyle="1" w:styleId="FootnoteTextChar">
    <w:name w:val="Footnote Text Char"/>
    <w:basedOn w:val="DefaultParagraphFont"/>
    <w:link w:val="FootnoteText"/>
    <w:semiHidden/>
    <w:rsid w:val="002D1D00"/>
    <w:rPr>
      <w:rFonts w:ascii="Times New Roman" w:eastAsia="Times New Roman" w:hAnsi="Times New Roman" w:cs="Times New Roman"/>
      <w:szCs w:val="20"/>
    </w:rPr>
  </w:style>
  <w:style w:type="paragraph" w:styleId="ListBullet">
    <w:name w:val="List Bullet"/>
    <w:basedOn w:val="Normal"/>
    <w:autoRedefine/>
    <w:rsid w:val="00AF4E76"/>
    <w:pPr>
      <w:ind w:left="1170"/>
    </w:pPr>
    <w:rPr>
      <w:sz w:val="18"/>
      <w:szCs w:val="18"/>
    </w:rPr>
  </w:style>
  <w:style w:type="paragraph" w:styleId="BodyTextIndent">
    <w:name w:val="Body Text Indent"/>
    <w:basedOn w:val="Normal"/>
    <w:link w:val="BodyTextIndentChar"/>
    <w:uiPriority w:val="99"/>
    <w:semiHidden/>
    <w:unhideWhenUsed/>
    <w:rsid w:val="00AF4E76"/>
    <w:pPr>
      <w:spacing w:after="120"/>
      <w:ind w:left="360"/>
    </w:pPr>
  </w:style>
  <w:style w:type="character" w:customStyle="1" w:styleId="BodyTextIndentChar">
    <w:name w:val="Body Text Indent Char"/>
    <w:basedOn w:val="DefaultParagraphFont"/>
    <w:link w:val="BodyTextIndent"/>
    <w:uiPriority w:val="99"/>
    <w:semiHidden/>
    <w:rsid w:val="00AF4E76"/>
  </w:style>
  <w:style w:type="paragraph" w:styleId="BodyTextFirstIndent2">
    <w:name w:val="Body Text First Indent 2"/>
    <w:basedOn w:val="Normal"/>
    <w:link w:val="BodyTextFirstIndent2Char"/>
    <w:rsid w:val="00AF4E76"/>
    <w:pPr>
      <w:shd w:val="clear" w:color="000000" w:fill="FFFFFF"/>
      <w:spacing w:after="120"/>
      <w:ind w:left="360" w:firstLine="106"/>
    </w:pPr>
    <w:rPr>
      <w:color w:val="000000"/>
      <w:szCs w:val="20"/>
    </w:rPr>
  </w:style>
  <w:style w:type="character" w:customStyle="1" w:styleId="BodyTextFirstIndent2Char">
    <w:name w:val="Body Text First Indent 2 Char"/>
    <w:basedOn w:val="BodyTextIndentChar"/>
    <w:link w:val="BodyTextFirstIndent2"/>
    <w:rsid w:val="00AF4E76"/>
    <w:rPr>
      <w:rFonts w:ascii="Times New Roman" w:eastAsia="Times New Roman" w:hAnsi="Times New Roman" w:cs="Times New Roman"/>
      <w:color w:val="000000"/>
      <w:sz w:val="24"/>
      <w:szCs w:val="20"/>
      <w:shd w:val="clear" w:color="000000" w:fill="FFFFFF"/>
    </w:rPr>
  </w:style>
  <w:style w:type="paragraph" w:styleId="BodyText">
    <w:name w:val="Body Text"/>
    <w:basedOn w:val="Normal"/>
    <w:link w:val="BodyTextChar"/>
    <w:uiPriority w:val="99"/>
    <w:semiHidden/>
    <w:unhideWhenUsed/>
    <w:rsid w:val="00ED303D"/>
    <w:pPr>
      <w:spacing w:after="120"/>
    </w:pPr>
  </w:style>
  <w:style w:type="character" w:customStyle="1" w:styleId="BodyTextChar">
    <w:name w:val="Body Text Char"/>
    <w:basedOn w:val="DefaultParagraphFont"/>
    <w:link w:val="BodyText"/>
    <w:uiPriority w:val="99"/>
    <w:semiHidden/>
    <w:rsid w:val="00ED303D"/>
  </w:style>
  <w:style w:type="character" w:customStyle="1" w:styleId="Heading1Char">
    <w:name w:val="Heading 1 Char"/>
    <w:basedOn w:val="DefaultParagraphFont"/>
    <w:link w:val="Heading1"/>
    <w:rsid w:val="00ED303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D303D"/>
    <w:rPr>
      <w:rFonts w:ascii="Arial" w:eastAsia="Times New Roman" w:hAnsi="Arial" w:cs="Arial"/>
      <w:b/>
      <w:bCs/>
      <w:sz w:val="26"/>
      <w:szCs w:val="26"/>
    </w:rPr>
  </w:style>
  <w:style w:type="paragraph" w:customStyle="1" w:styleId="First-OrderHeading">
    <w:name w:val="First-Order Heading"/>
    <w:basedOn w:val="Normal"/>
    <w:rsid w:val="00ED303D"/>
    <w:pPr>
      <w:numPr>
        <w:numId w:val="20"/>
      </w:numPr>
      <w:spacing w:before="240" w:after="240"/>
    </w:pPr>
    <w:rPr>
      <w:b/>
      <w:caps/>
      <w:szCs w:val="20"/>
    </w:rPr>
  </w:style>
  <w:style w:type="paragraph" w:customStyle="1" w:styleId="Second-OrderHeading">
    <w:name w:val="Second-Order Heading"/>
    <w:basedOn w:val="First-OrderHeading"/>
    <w:link w:val="Second-OrderHeadingChar"/>
    <w:rsid w:val="00ED303D"/>
    <w:pPr>
      <w:numPr>
        <w:ilvl w:val="1"/>
      </w:numPr>
      <w:spacing w:before="0"/>
    </w:pPr>
    <w:rPr>
      <w:b w:val="0"/>
      <w:caps w:val="0"/>
    </w:rPr>
  </w:style>
  <w:style w:type="paragraph" w:customStyle="1" w:styleId="Third-OrderHeading">
    <w:name w:val="Third-Order Heading"/>
    <w:basedOn w:val="Second-OrderHeading"/>
    <w:rsid w:val="00ED303D"/>
    <w:pPr>
      <w:numPr>
        <w:ilvl w:val="2"/>
      </w:numPr>
      <w:tabs>
        <w:tab w:val="clear" w:pos="0"/>
      </w:tabs>
      <w:ind w:left="2880" w:hanging="180"/>
    </w:pPr>
  </w:style>
  <w:style w:type="paragraph" w:customStyle="1" w:styleId="Fourth-OrderHeading">
    <w:name w:val="Fourth-Order Heading"/>
    <w:basedOn w:val="Third-OrderHeading"/>
    <w:rsid w:val="00ED303D"/>
    <w:pPr>
      <w:numPr>
        <w:ilvl w:val="3"/>
      </w:numPr>
      <w:tabs>
        <w:tab w:val="clear" w:pos="0"/>
      </w:tabs>
      <w:ind w:left="3600" w:hanging="360"/>
    </w:pPr>
  </w:style>
  <w:style w:type="paragraph" w:customStyle="1" w:styleId="Fifth-OrderHeading">
    <w:name w:val="Fifth-Order Heading"/>
    <w:basedOn w:val="Fourth-OrderHeading"/>
    <w:rsid w:val="00ED303D"/>
    <w:pPr>
      <w:numPr>
        <w:ilvl w:val="4"/>
      </w:numPr>
      <w:tabs>
        <w:tab w:val="clear" w:pos="0"/>
      </w:tabs>
      <w:ind w:left="4320" w:hanging="360"/>
    </w:pPr>
  </w:style>
  <w:style w:type="paragraph" w:customStyle="1" w:styleId="Sixth-OrderHeading">
    <w:name w:val="Sixth-Order Heading"/>
    <w:basedOn w:val="Fifth-OrderHeading"/>
    <w:rsid w:val="00ED303D"/>
    <w:pPr>
      <w:numPr>
        <w:ilvl w:val="5"/>
      </w:numPr>
      <w:tabs>
        <w:tab w:val="clear" w:pos="0"/>
      </w:tabs>
      <w:ind w:left="5040" w:hanging="180"/>
    </w:pPr>
  </w:style>
  <w:style w:type="paragraph" w:customStyle="1" w:styleId="TableHeaderText">
    <w:name w:val="Table Header Text"/>
    <w:basedOn w:val="Normal"/>
    <w:rsid w:val="00ED303D"/>
    <w:pPr>
      <w:jc w:val="center"/>
    </w:pPr>
    <w:rPr>
      <w:b/>
      <w:szCs w:val="20"/>
    </w:rPr>
  </w:style>
  <w:style w:type="character" w:customStyle="1" w:styleId="Second-OrderHeadingChar">
    <w:name w:val="Second-Order Heading Char"/>
    <w:link w:val="Second-OrderHeading"/>
    <w:rsid w:val="00ED303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040">
      <w:bodyDiv w:val="1"/>
      <w:marLeft w:val="0"/>
      <w:marRight w:val="0"/>
      <w:marTop w:val="0"/>
      <w:marBottom w:val="0"/>
      <w:divBdr>
        <w:top w:val="none" w:sz="0" w:space="0" w:color="auto"/>
        <w:left w:val="none" w:sz="0" w:space="0" w:color="auto"/>
        <w:bottom w:val="none" w:sz="0" w:space="0" w:color="auto"/>
        <w:right w:val="none" w:sz="0" w:space="0" w:color="auto"/>
      </w:divBdr>
    </w:div>
    <w:div w:id="192812584">
      <w:bodyDiv w:val="1"/>
      <w:marLeft w:val="0"/>
      <w:marRight w:val="0"/>
      <w:marTop w:val="0"/>
      <w:marBottom w:val="0"/>
      <w:divBdr>
        <w:top w:val="none" w:sz="0" w:space="0" w:color="auto"/>
        <w:left w:val="none" w:sz="0" w:space="0" w:color="auto"/>
        <w:bottom w:val="none" w:sz="0" w:space="0" w:color="auto"/>
        <w:right w:val="none" w:sz="0" w:space="0" w:color="auto"/>
      </w:divBdr>
    </w:div>
    <w:div w:id="251210116">
      <w:bodyDiv w:val="1"/>
      <w:marLeft w:val="0"/>
      <w:marRight w:val="0"/>
      <w:marTop w:val="0"/>
      <w:marBottom w:val="0"/>
      <w:divBdr>
        <w:top w:val="none" w:sz="0" w:space="0" w:color="auto"/>
        <w:left w:val="none" w:sz="0" w:space="0" w:color="auto"/>
        <w:bottom w:val="none" w:sz="0" w:space="0" w:color="auto"/>
        <w:right w:val="none" w:sz="0" w:space="0" w:color="auto"/>
      </w:divBdr>
    </w:div>
    <w:div w:id="259526294">
      <w:bodyDiv w:val="1"/>
      <w:marLeft w:val="0"/>
      <w:marRight w:val="0"/>
      <w:marTop w:val="0"/>
      <w:marBottom w:val="0"/>
      <w:divBdr>
        <w:top w:val="none" w:sz="0" w:space="0" w:color="auto"/>
        <w:left w:val="none" w:sz="0" w:space="0" w:color="auto"/>
        <w:bottom w:val="none" w:sz="0" w:space="0" w:color="auto"/>
        <w:right w:val="none" w:sz="0" w:space="0" w:color="auto"/>
      </w:divBdr>
    </w:div>
    <w:div w:id="339356633">
      <w:bodyDiv w:val="1"/>
      <w:marLeft w:val="0"/>
      <w:marRight w:val="0"/>
      <w:marTop w:val="0"/>
      <w:marBottom w:val="0"/>
      <w:divBdr>
        <w:top w:val="none" w:sz="0" w:space="0" w:color="auto"/>
        <w:left w:val="none" w:sz="0" w:space="0" w:color="auto"/>
        <w:bottom w:val="none" w:sz="0" w:space="0" w:color="auto"/>
        <w:right w:val="none" w:sz="0" w:space="0" w:color="auto"/>
      </w:divBdr>
    </w:div>
    <w:div w:id="366177155">
      <w:bodyDiv w:val="1"/>
      <w:marLeft w:val="0"/>
      <w:marRight w:val="0"/>
      <w:marTop w:val="0"/>
      <w:marBottom w:val="0"/>
      <w:divBdr>
        <w:top w:val="none" w:sz="0" w:space="0" w:color="auto"/>
        <w:left w:val="none" w:sz="0" w:space="0" w:color="auto"/>
        <w:bottom w:val="none" w:sz="0" w:space="0" w:color="auto"/>
        <w:right w:val="none" w:sz="0" w:space="0" w:color="auto"/>
      </w:divBdr>
    </w:div>
    <w:div w:id="418404003">
      <w:bodyDiv w:val="1"/>
      <w:marLeft w:val="0"/>
      <w:marRight w:val="0"/>
      <w:marTop w:val="0"/>
      <w:marBottom w:val="0"/>
      <w:divBdr>
        <w:top w:val="none" w:sz="0" w:space="0" w:color="auto"/>
        <w:left w:val="none" w:sz="0" w:space="0" w:color="auto"/>
        <w:bottom w:val="none" w:sz="0" w:space="0" w:color="auto"/>
        <w:right w:val="none" w:sz="0" w:space="0" w:color="auto"/>
      </w:divBdr>
    </w:div>
    <w:div w:id="457453440">
      <w:bodyDiv w:val="1"/>
      <w:marLeft w:val="0"/>
      <w:marRight w:val="0"/>
      <w:marTop w:val="0"/>
      <w:marBottom w:val="0"/>
      <w:divBdr>
        <w:top w:val="none" w:sz="0" w:space="0" w:color="auto"/>
        <w:left w:val="none" w:sz="0" w:space="0" w:color="auto"/>
        <w:bottom w:val="none" w:sz="0" w:space="0" w:color="auto"/>
        <w:right w:val="none" w:sz="0" w:space="0" w:color="auto"/>
      </w:divBdr>
    </w:div>
    <w:div w:id="509954282">
      <w:bodyDiv w:val="1"/>
      <w:marLeft w:val="0"/>
      <w:marRight w:val="0"/>
      <w:marTop w:val="0"/>
      <w:marBottom w:val="0"/>
      <w:divBdr>
        <w:top w:val="none" w:sz="0" w:space="0" w:color="auto"/>
        <w:left w:val="none" w:sz="0" w:space="0" w:color="auto"/>
        <w:bottom w:val="none" w:sz="0" w:space="0" w:color="auto"/>
        <w:right w:val="none" w:sz="0" w:space="0" w:color="auto"/>
      </w:divBdr>
    </w:div>
    <w:div w:id="540090388">
      <w:bodyDiv w:val="1"/>
      <w:marLeft w:val="0"/>
      <w:marRight w:val="0"/>
      <w:marTop w:val="0"/>
      <w:marBottom w:val="0"/>
      <w:divBdr>
        <w:top w:val="none" w:sz="0" w:space="0" w:color="auto"/>
        <w:left w:val="none" w:sz="0" w:space="0" w:color="auto"/>
        <w:bottom w:val="none" w:sz="0" w:space="0" w:color="auto"/>
        <w:right w:val="none" w:sz="0" w:space="0" w:color="auto"/>
      </w:divBdr>
    </w:div>
    <w:div w:id="690955695">
      <w:bodyDiv w:val="1"/>
      <w:marLeft w:val="0"/>
      <w:marRight w:val="0"/>
      <w:marTop w:val="0"/>
      <w:marBottom w:val="0"/>
      <w:divBdr>
        <w:top w:val="none" w:sz="0" w:space="0" w:color="auto"/>
        <w:left w:val="none" w:sz="0" w:space="0" w:color="auto"/>
        <w:bottom w:val="none" w:sz="0" w:space="0" w:color="auto"/>
        <w:right w:val="none" w:sz="0" w:space="0" w:color="auto"/>
      </w:divBdr>
    </w:div>
    <w:div w:id="710810067">
      <w:bodyDiv w:val="1"/>
      <w:marLeft w:val="0"/>
      <w:marRight w:val="0"/>
      <w:marTop w:val="0"/>
      <w:marBottom w:val="0"/>
      <w:divBdr>
        <w:top w:val="none" w:sz="0" w:space="0" w:color="auto"/>
        <w:left w:val="none" w:sz="0" w:space="0" w:color="auto"/>
        <w:bottom w:val="none" w:sz="0" w:space="0" w:color="auto"/>
        <w:right w:val="none" w:sz="0" w:space="0" w:color="auto"/>
      </w:divBdr>
    </w:div>
    <w:div w:id="727849903">
      <w:bodyDiv w:val="1"/>
      <w:marLeft w:val="0"/>
      <w:marRight w:val="0"/>
      <w:marTop w:val="0"/>
      <w:marBottom w:val="0"/>
      <w:divBdr>
        <w:top w:val="none" w:sz="0" w:space="0" w:color="auto"/>
        <w:left w:val="none" w:sz="0" w:space="0" w:color="auto"/>
        <w:bottom w:val="none" w:sz="0" w:space="0" w:color="auto"/>
        <w:right w:val="none" w:sz="0" w:space="0" w:color="auto"/>
      </w:divBdr>
    </w:div>
    <w:div w:id="868177110">
      <w:bodyDiv w:val="1"/>
      <w:marLeft w:val="0"/>
      <w:marRight w:val="0"/>
      <w:marTop w:val="0"/>
      <w:marBottom w:val="0"/>
      <w:divBdr>
        <w:top w:val="none" w:sz="0" w:space="0" w:color="auto"/>
        <w:left w:val="none" w:sz="0" w:space="0" w:color="auto"/>
        <w:bottom w:val="none" w:sz="0" w:space="0" w:color="auto"/>
        <w:right w:val="none" w:sz="0" w:space="0" w:color="auto"/>
      </w:divBdr>
    </w:div>
    <w:div w:id="1026563520">
      <w:bodyDiv w:val="1"/>
      <w:marLeft w:val="0"/>
      <w:marRight w:val="0"/>
      <w:marTop w:val="0"/>
      <w:marBottom w:val="0"/>
      <w:divBdr>
        <w:top w:val="none" w:sz="0" w:space="0" w:color="auto"/>
        <w:left w:val="none" w:sz="0" w:space="0" w:color="auto"/>
        <w:bottom w:val="none" w:sz="0" w:space="0" w:color="auto"/>
        <w:right w:val="none" w:sz="0" w:space="0" w:color="auto"/>
      </w:divBdr>
    </w:div>
    <w:div w:id="1040059293">
      <w:bodyDiv w:val="1"/>
      <w:marLeft w:val="0"/>
      <w:marRight w:val="0"/>
      <w:marTop w:val="0"/>
      <w:marBottom w:val="0"/>
      <w:divBdr>
        <w:top w:val="none" w:sz="0" w:space="0" w:color="auto"/>
        <w:left w:val="none" w:sz="0" w:space="0" w:color="auto"/>
        <w:bottom w:val="none" w:sz="0" w:space="0" w:color="auto"/>
        <w:right w:val="none" w:sz="0" w:space="0" w:color="auto"/>
      </w:divBdr>
    </w:div>
    <w:div w:id="1047340902">
      <w:bodyDiv w:val="1"/>
      <w:marLeft w:val="0"/>
      <w:marRight w:val="0"/>
      <w:marTop w:val="0"/>
      <w:marBottom w:val="0"/>
      <w:divBdr>
        <w:top w:val="none" w:sz="0" w:space="0" w:color="auto"/>
        <w:left w:val="none" w:sz="0" w:space="0" w:color="auto"/>
        <w:bottom w:val="none" w:sz="0" w:space="0" w:color="auto"/>
        <w:right w:val="none" w:sz="0" w:space="0" w:color="auto"/>
      </w:divBdr>
    </w:div>
    <w:div w:id="1301611915">
      <w:bodyDiv w:val="1"/>
      <w:marLeft w:val="0"/>
      <w:marRight w:val="0"/>
      <w:marTop w:val="0"/>
      <w:marBottom w:val="0"/>
      <w:divBdr>
        <w:top w:val="none" w:sz="0" w:space="0" w:color="auto"/>
        <w:left w:val="none" w:sz="0" w:space="0" w:color="auto"/>
        <w:bottom w:val="none" w:sz="0" w:space="0" w:color="auto"/>
        <w:right w:val="none" w:sz="0" w:space="0" w:color="auto"/>
      </w:divBdr>
    </w:div>
    <w:div w:id="1408108054">
      <w:bodyDiv w:val="1"/>
      <w:marLeft w:val="0"/>
      <w:marRight w:val="0"/>
      <w:marTop w:val="0"/>
      <w:marBottom w:val="0"/>
      <w:divBdr>
        <w:top w:val="none" w:sz="0" w:space="0" w:color="auto"/>
        <w:left w:val="none" w:sz="0" w:space="0" w:color="auto"/>
        <w:bottom w:val="none" w:sz="0" w:space="0" w:color="auto"/>
        <w:right w:val="none" w:sz="0" w:space="0" w:color="auto"/>
      </w:divBdr>
    </w:div>
    <w:div w:id="1505708114">
      <w:bodyDiv w:val="1"/>
      <w:marLeft w:val="0"/>
      <w:marRight w:val="0"/>
      <w:marTop w:val="0"/>
      <w:marBottom w:val="0"/>
      <w:divBdr>
        <w:top w:val="none" w:sz="0" w:space="0" w:color="auto"/>
        <w:left w:val="none" w:sz="0" w:space="0" w:color="auto"/>
        <w:bottom w:val="none" w:sz="0" w:space="0" w:color="auto"/>
        <w:right w:val="none" w:sz="0" w:space="0" w:color="auto"/>
      </w:divBdr>
    </w:div>
    <w:div w:id="1601260306">
      <w:bodyDiv w:val="1"/>
      <w:marLeft w:val="0"/>
      <w:marRight w:val="0"/>
      <w:marTop w:val="0"/>
      <w:marBottom w:val="0"/>
      <w:divBdr>
        <w:top w:val="none" w:sz="0" w:space="0" w:color="auto"/>
        <w:left w:val="none" w:sz="0" w:space="0" w:color="auto"/>
        <w:bottom w:val="none" w:sz="0" w:space="0" w:color="auto"/>
        <w:right w:val="none" w:sz="0" w:space="0" w:color="auto"/>
      </w:divBdr>
    </w:div>
    <w:div w:id="1692761943">
      <w:bodyDiv w:val="1"/>
      <w:marLeft w:val="0"/>
      <w:marRight w:val="0"/>
      <w:marTop w:val="0"/>
      <w:marBottom w:val="0"/>
      <w:divBdr>
        <w:top w:val="none" w:sz="0" w:space="0" w:color="auto"/>
        <w:left w:val="none" w:sz="0" w:space="0" w:color="auto"/>
        <w:bottom w:val="none" w:sz="0" w:space="0" w:color="auto"/>
        <w:right w:val="none" w:sz="0" w:space="0" w:color="auto"/>
      </w:divBdr>
    </w:div>
    <w:div w:id="1718122108">
      <w:bodyDiv w:val="1"/>
      <w:marLeft w:val="0"/>
      <w:marRight w:val="0"/>
      <w:marTop w:val="0"/>
      <w:marBottom w:val="0"/>
      <w:divBdr>
        <w:top w:val="none" w:sz="0" w:space="0" w:color="auto"/>
        <w:left w:val="none" w:sz="0" w:space="0" w:color="auto"/>
        <w:bottom w:val="none" w:sz="0" w:space="0" w:color="auto"/>
        <w:right w:val="none" w:sz="0" w:space="0" w:color="auto"/>
      </w:divBdr>
    </w:div>
    <w:div w:id="1739203028">
      <w:bodyDiv w:val="1"/>
      <w:marLeft w:val="0"/>
      <w:marRight w:val="0"/>
      <w:marTop w:val="0"/>
      <w:marBottom w:val="0"/>
      <w:divBdr>
        <w:top w:val="none" w:sz="0" w:space="0" w:color="auto"/>
        <w:left w:val="none" w:sz="0" w:space="0" w:color="auto"/>
        <w:bottom w:val="none" w:sz="0" w:space="0" w:color="auto"/>
        <w:right w:val="none" w:sz="0" w:space="0" w:color="auto"/>
      </w:divBdr>
    </w:div>
    <w:div w:id="1984775777">
      <w:bodyDiv w:val="1"/>
      <w:marLeft w:val="0"/>
      <w:marRight w:val="0"/>
      <w:marTop w:val="0"/>
      <w:marBottom w:val="0"/>
      <w:divBdr>
        <w:top w:val="none" w:sz="0" w:space="0" w:color="auto"/>
        <w:left w:val="none" w:sz="0" w:space="0" w:color="auto"/>
        <w:bottom w:val="none" w:sz="0" w:space="0" w:color="auto"/>
        <w:right w:val="none" w:sz="0" w:space="0" w:color="auto"/>
      </w:divBdr>
    </w:div>
    <w:div w:id="19991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BE29C4A00FA4AA9B32D2EB1F7E192" ma:contentTypeVersion="0" ma:contentTypeDescription="Create a new document." ma:contentTypeScope="" ma:versionID="5e6091525808ca76fba1cb255e0939e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E447-4B9D-4BEE-A8AA-07BF1244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C33D6C-3C78-43BF-886C-6D1FF175B12B}">
  <ds:schemaRefs>
    <ds:schemaRef ds:uri="http://schemas.microsoft.com/sharepoint/v3/contenttype/forms"/>
  </ds:schemaRefs>
</ds:datastoreItem>
</file>

<file path=customXml/itemProps3.xml><?xml version="1.0" encoding="utf-8"?>
<ds:datastoreItem xmlns:ds="http://schemas.openxmlformats.org/officeDocument/2006/customXml" ds:itemID="{C8161ABB-F3FB-4A28-8328-A00CA257332E}">
  <ds:schemaRef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18F79B91-B875-482D-810C-CECBA7D2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Meiklejohn, Barbara</dc:creator>
  <cp:lastModifiedBy>Baker, Susan L</cp:lastModifiedBy>
  <cp:revision>4</cp:revision>
  <cp:lastPrinted>2019-03-05T16:01:00Z</cp:lastPrinted>
  <dcterms:created xsi:type="dcterms:W3CDTF">2019-03-05T16:40:00Z</dcterms:created>
  <dcterms:modified xsi:type="dcterms:W3CDTF">2019-03-05T16:44:00Z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0x0101001D0BE29C4A00FA4AA9B32D2EB1F7E192</vt:lpwstr>
  </property>
</Properties>
</file>