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3D" w:rsidRPr="007C1D50" w:rsidRDefault="00ED303D" w:rsidP="00ED303D">
      <w:pPr>
        <w:pStyle w:val="Header"/>
        <w:pBdr>
          <w:top w:val="single" w:sz="6" w:space="0" w:color="auto"/>
          <w:left w:val="single" w:sz="6" w:space="24" w:color="auto"/>
          <w:bottom w:val="single" w:sz="36" w:space="1" w:color="auto"/>
          <w:right w:val="single" w:sz="36" w:space="18" w:color="auto"/>
        </w:pBdr>
        <w:rPr>
          <w:rFonts w:ascii="Arial" w:hAnsi="Arial" w:cs="Arial"/>
          <w:sz w:val="20"/>
          <w:szCs w:val="20"/>
        </w:rPr>
      </w:pPr>
      <w:r w:rsidRPr="007C1D50">
        <w:rPr>
          <w:rFonts w:ascii="Arial" w:hAnsi="Arial" w:cs="Arial"/>
          <w:b/>
          <w:bCs/>
          <w:sz w:val="20"/>
          <w:szCs w:val="20"/>
        </w:rPr>
        <w:t>Title:</w:t>
      </w:r>
      <w:r w:rsidRPr="007C1D50">
        <w:rPr>
          <w:rFonts w:ascii="Arial" w:hAnsi="Arial" w:cs="Arial"/>
          <w:sz w:val="20"/>
          <w:szCs w:val="20"/>
        </w:rPr>
        <w:tab/>
      </w:r>
      <w:r w:rsidR="00D2333D">
        <w:rPr>
          <w:rFonts w:ascii="Arial" w:hAnsi="Arial" w:cs="Arial"/>
          <w:sz w:val="20"/>
          <w:szCs w:val="20"/>
        </w:rPr>
        <w:t>Folate</w:t>
      </w:r>
      <w:r w:rsidRPr="007C1D50">
        <w:rPr>
          <w:rFonts w:ascii="Arial" w:hAnsi="Arial" w:cs="Arial"/>
          <w:sz w:val="20"/>
          <w:szCs w:val="20"/>
        </w:rPr>
        <w:tab/>
      </w:r>
    </w:p>
    <w:p w:rsidR="00ED303D" w:rsidRPr="007C1D50" w:rsidRDefault="00ED303D" w:rsidP="00ED303D">
      <w:pPr>
        <w:pStyle w:val="Header"/>
        <w:rPr>
          <w:rFonts w:ascii="Arial" w:hAnsi="Arial" w:cs="Arial"/>
          <w:sz w:val="20"/>
          <w:szCs w:val="20"/>
        </w:rPr>
      </w:pPr>
    </w:p>
    <w:tbl>
      <w:tblPr>
        <w:tblW w:w="9720" w:type="dxa"/>
        <w:tblInd w:w="-432" w:type="dxa"/>
        <w:tblLayout w:type="fixed"/>
        <w:tblLook w:val="0000" w:firstRow="0" w:lastRow="0" w:firstColumn="0" w:lastColumn="0" w:noHBand="0" w:noVBand="0"/>
      </w:tblPr>
      <w:tblGrid>
        <w:gridCol w:w="3240"/>
        <w:gridCol w:w="3240"/>
        <w:gridCol w:w="3240"/>
      </w:tblGrid>
      <w:tr w:rsidR="00ED303D" w:rsidRPr="007C1D50" w:rsidTr="00DE6319">
        <w:trPr>
          <w:trHeight w:val="641"/>
        </w:trPr>
        <w:tc>
          <w:tcPr>
            <w:tcW w:w="324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lang w:val="nl-NL"/>
              </w:rPr>
              <w:t>Author:</w:t>
            </w:r>
          </w:p>
        </w:tc>
        <w:tc>
          <w:tcPr>
            <w:tcW w:w="3240" w:type="dxa"/>
            <w:tcBorders>
              <w:top w:val="single" w:sz="4" w:space="0" w:color="auto"/>
              <w:left w:val="single" w:sz="4" w:space="0" w:color="auto"/>
              <w:bottom w:val="single" w:sz="4" w:space="0" w:color="auto"/>
              <w:right w:val="single" w:sz="4" w:space="0" w:color="auto"/>
            </w:tcBorders>
          </w:tcPr>
          <w:p w:rsidR="00ED303D" w:rsidRDefault="00ED303D" w:rsidP="00DE6319">
            <w:pPr>
              <w:jc w:val="center"/>
              <w:rPr>
                <w:rFonts w:ascii="Arial" w:hAnsi="Arial" w:cs="Arial"/>
                <w:b/>
                <w:sz w:val="20"/>
                <w:szCs w:val="20"/>
              </w:rPr>
            </w:pPr>
            <w:r w:rsidRPr="007C1D50">
              <w:rPr>
                <w:rFonts w:ascii="Arial" w:hAnsi="Arial" w:cs="Arial"/>
                <w:b/>
                <w:sz w:val="20"/>
                <w:szCs w:val="20"/>
              </w:rPr>
              <w:t>Effective  Date:</w:t>
            </w:r>
          </w:p>
          <w:p w:rsidR="00ED303D" w:rsidRPr="007C1D50" w:rsidRDefault="00ED303D" w:rsidP="00DE6319">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c>
          <w:tcPr>
            <w:tcW w:w="324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Supersedes Procedure #</w:t>
            </w:r>
          </w:p>
        </w:tc>
      </w:tr>
      <w:tr w:rsidR="00ED303D" w:rsidRPr="007C1D50" w:rsidTr="00DE6319">
        <w:trPr>
          <w:trHeight w:val="497"/>
        </w:trPr>
        <w:tc>
          <w:tcPr>
            <w:tcW w:w="3240" w:type="dxa"/>
            <w:tcBorders>
              <w:top w:val="single" w:sz="4" w:space="0" w:color="auto"/>
              <w:left w:val="single" w:sz="6" w:space="0" w:color="auto"/>
              <w:bottom w:val="single" w:sz="36" w:space="0" w:color="auto"/>
              <w:right w:val="single" w:sz="6" w:space="0" w:color="auto"/>
            </w:tcBorders>
          </w:tcPr>
          <w:p w:rsidR="00ED303D" w:rsidRPr="009E7E76" w:rsidRDefault="009717B7" w:rsidP="00DE6319">
            <w:pPr>
              <w:pStyle w:val="Header"/>
              <w:rPr>
                <w:rFonts w:ascii="Arial" w:hAnsi="Arial" w:cs="Arial"/>
                <w:sz w:val="20"/>
                <w:szCs w:val="20"/>
              </w:rPr>
            </w:pPr>
            <w:r>
              <w:rPr>
                <w:rFonts w:ascii="Arial" w:hAnsi="Arial" w:cs="Arial"/>
                <w:sz w:val="20"/>
                <w:szCs w:val="20"/>
              </w:rPr>
              <w:t>Sue Baker</w:t>
            </w:r>
          </w:p>
        </w:tc>
        <w:tc>
          <w:tcPr>
            <w:tcW w:w="3240" w:type="dxa"/>
            <w:tcBorders>
              <w:top w:val="single" w:sz="4" w:space="0" w:color="auto"/>
              <w:left w:val="single" w:sz="6" w:space="0" w:color="auto"/>
              <w:bottom w:val="single" w:sz="36" w:space="0" w:color="auto"/>
              <w:right w:val="single" w:sz="6" w:space="0" w:color="auto"/>
            </w:tcBorders>
          </w:tcPr>
          <w:p w:rsidR="00ED303D" w:rsidRPr="007C1D50" w:rsidRDefault="00ED303D" w:rsidP="00DE6319">
            <w:pPr>
              <w:jc w:val="center"/>
              <w:rPr>
                <w:rFonts w:ascii="Arial" w:hAnsi="Arial" w:cs="Arial"/>
                <w:sz w:val="20"/>
                <w:szCs w:val="20"/>
              </w:rPr>
            </w:pPr>
          </w:p>
        </w:tc>
        <w:tc>
          <w:tcPr>
            <w:tcW w:w="3240" w:type="dxa"/>
            <w:tcBorders>
              <w:top w:val="single" w:sz="4" w:space="0" w:color="auto"/>
              <w:left w:val="single" w:sz="6" w:space="0" w:color="auto"/>
              <w:bottom w:val="single" w:sz="36" w:space="0" w:color="auto"/>
              <w:right w:val="single" w:sz="36" w:space="0" w:color="auto"/>
            </w:tcBorders>
          </w:tcPr>
          <w:p w:rsidR="00ED303D" w:rsidRPr="007C1D50" w:rsidRDefault="009717B7" w:rsidP="00DE6319">
            <w:pPr>
              <w:jc w:val="center"/>
              <w:rPr>
                <w:rFonts w:ascii="Arial" w:hAnsi="Arial" w:cs="Arial"/>
                <w:sz w:val="20"/>
                <w:szCs w:val="20"/>
              </w:rPr>
            </w:pPr>
            <w:r>
              <w:rPr>
                <w:rFonts w:ascii="Arial" w:hAnsi="Arial" w:cs="Arial"/>
                <w:sz w:val="20"/>
                <w:szCs w:val="20"/>
              </w:rPr>
              <w:t>NEW</w:t>
            </w:r>
          </w:p>
        </w:tc>
      </w:tr>
    </w:tbl>
    <w:p w:rsidR="00ED303D" w:rsidRPr="007C1D50" w:rsidRDefault="00ED303D" w:rsidP="00ED303D">
      <w:pPr>
        <w:jc w:val="both"/>
        <w:rPr>
          <w:rFonts w:ascii="Arial" w:hAnsi="Arial" w:cs="Arial"/>
          <w:sz w:val="20"/>
          <w:szCs w:val="20"/>
        </w:rPr>
      </w:pPr>
    </w:p>
    <w:p w:rsidR="00ED303D" w:rsidRPr="007C1D50" w:rsidRDefault="00ED303D" w:rsidP="00ED303D">
      <w:pPr>
        <w:pStyle w:val="Header"/>
        <w:rPr>
          <w:rFonts w:ascii="Arial" w:hAnsi="Arial" w:cs="Arial"/>
          <w:sz w:val="20"/>
          <w:szCs w:val="20"/>
        </w:rPr>
      </w:pPr>
    </w:p>
    <w:tbl>
      <w:tblPr>
        <w:tblW w:w="9720" w:type="dxa"/>
        <w:tblInd w:w="-432" w:type="dxa"/>
        <w:tblLayout w:type="fixed"/>
        <w:tblLook w:val="0000" w:firstRow="0" w:lastRow="0" w:firstColumn="0" w:lastColumn="0" w:noHBand="0" w:noVBand="0"/>
      </w:tblPr>
      <w:tblGrid>
        <w:gridCol w:w="3240"/>
        <w:gridCol w:w="3240"/>
        <w:gridCol w:w="3240"/>
      </w:tblGrid>
      <w:tr w:rsidR="00ED303D" w:rsidRPr="007C1D50" w:rsidTr="00DE6319">
        <w:trPr>
          <w:trHeight w:val="782"/>
        </w:trPr>
        <w:tc>
          <w:tcPr>
            <w:tcW w:w="324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lang w:val="nl-NL"/>
              </w:rPr>
              <w:t>Revised By:</w:t>
            </w:r>
          </w:p>
        </w:tc>
        <w:tc>
          <w:tcPr>
            <w:tcW w:w="324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Date Revised</w:t>
            </w:r>
          </w:p>
        </w:tc>
        <w:tc>
          <w:tcPr>
            <w:tcW w:w="3240" w:type="dxa"/>
            <w:tcBorders>
              <w:top w:val="single" w:sz="4" w:space="0" w:color="auto"/>
              <w:left w:val="single" w:sz="4" w:space="0" w:color="auto"/>
              <w:bottom w:val="single" w:sz="4" w:space="0" w:color="auto"/>
              <w:right w:val="single" w:sz="4" w:space="0" w:color="auto"/>
            </w:tcBorders>
          </w:tcPr>
          <w:p w:rsidR="00ED303D" w:rsidRDefault="00ED303D" w:rsidP="00DE6319">
            <w:pPr>
              <w:jc w:val="center"/>
              <w:rPr>
                <w:rFonts w:ascii="Arial" w:hAnsi="Arial" w:cs="Arial"/>
                <w:b/>
                <w:sz w:val="20"/>
                <w:szCs w:val="20"/>
              </w:rPr>
            </w:pPr>
            <w:r w:rsidRPr="007C1D50">
              <w:rPr>
                <w:rFonts w:ascii="Arial" w:hAnsi="Arial" w:cs="Arial"/>
                <w:b/>
                <w:sz w:val="20"/>
                <w:szCs w:val="20"/>
              </w:rPr>
              <w:t>Effective (adopted) Date:</w:t>
            </w:r>
          </w:p>
          <w:p w:rsidR="00ED303D" w:rsidRPr="007C1D50" w:rsidRDefault="00ED303D" w:rsidP="00DE6319">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r>
      <w:tr w:rsidR="00ED303D" w:rsidRPr="007C1D50" w:rsidTr="00DE6319">
        <w:trPr>
          <w:trHeight w:val="497"/>
        </w:trPr>
        <w:tc>
          <w:tcPr>
            <w:tcW w:w="3240" w:type="dxa"/>
            <w:tcBorders>
              <w:top w:val="single" w:sz="4" w:space="0" w:color="auto"/>
              <w:left w:val="single" w:sz="6" w:space="0" w:color="auto"/>
              <w:bottom w:val="single" w:sz="36" w:space="0" w:color="auto"/>
              <w:right w:val="single" w:sz="6" w:space="0" w:color="auto"/>
            </w:tcBorders>
          </w:tcPr>
          <w:p w:rsidR="00ED303D" w:rsidRPr="007C1D50" w:rsidRDefault="00ED303D" w:rsidP="00DE6319">
            <w:pPr>
              <w:rPr>
                <w:rFonts w:ascii="Arial" w:hAnsi="Arial" w:cs="Arial"/>
                <w:sz w:val="20"/>
                <w:szCs w:val="20"/>
              </w:rPr>
            </w:pPr>
          </w:p>
        </w:tc>
        <w:tc>
          <w:tcPr>
            <w:tcW w:w="3240" w:type="dxa"/>
            <w:tcBorders>
              <w:top w:val="single" w:sz="4" w:space="0" w:color="auto"/>
              <w:left w:val="single" w:sz="6" w:space="0" w:color="auto"/>
              <w:bottom w:val="single" w:sz="36" w:space="0" w:color="auto"/>
              <w:right w:val="single" w:sz="6" w:space="0" w:color="auto"/>
            </w:tcBorders>
          </w:tcPr>
          <w:p w:rsidR="00ED303D" w:rsidRPr="007C1D50" w:rsidRDefault="00ED303D" w:rsidP="00DE6319">
            <w:pPr>
              <w:jc w:val="center"/>
              <w:rPr>
                <w:rFonts w:ascii="Arial" w:hAnsi="Arial" w:cs="Arial"/>
                <w:sz w:val="20"/>
                <w:szCs w:val="20"/>
              </w:rPr>
            </w:pPr>
          </w:p>
        </w:tc>
        <w:tc>
          <w:tcPr>
            <w:tcW w:w="3240" w:type="dxa"/>
            <w:tcBorders>
              <w:top w:val="single" w:sz="4" w:space="0" w:color="auto"/>
              <w:left w:val="single" w:sz="6" w:space="0" w:color="auto"/>
              <w:bottom w:val="single" w:sz="36" w:space="0" w:color="auto"/>
              <w:right w:val="single" w:sz="36" w:space="0" w:color="auto"/>
            </w:tcBorders>
          </w:tcPr>
          <w:p w:rsidR="00ED303D" w:rsidRPr="007C1D50" w:rsidRDefault="00ED303D" w:rsidP="00DE6319">
            <w:pPr>
              <w:jc w:val="center"/>
              <w:rPr>
                <w:rFonts w:ascii="Arial" w:hAnsi="Arial" w:cs="Arial"/>
                <w:sz w:val="20"/>
                <w:szCs w:val="20"/>
              </w:rPr>
            </w:pPr>
          </w:p>
        </w:tc>
      </w:tr>
    </w:tbl>
    <w:p w:rsidR="00ED303D" w:rsidRPr="007C1D50" w:rsidRDefault="00ED303D" w:rsidP="00ED303D">
      <w:pPr>
        <w:jc w:val="both"/>
        <w:rPr>
          <w:rFonts w:ascii="Arial" w:hAnsi="Arial" w:cs="Arial"/>
          <w:sz w:val="20"/>
          <w:szCs w:val="20"/>
        </w:rPr>
      </w:pPr>
    </w:p>
    <w:p w:rsidR="00ED303D" w:rsidRPr="007C1D50" w:rsidRDefault="00ED303D" w:rsidP="00ED303D">
      <w:pPr>
        <w:jc w:val="both"/>
        <w:rPr>
          <w:rFonts w:ascii="Arial" w:hAnsi="Arial" w:cs="Arial"/>
          <w:sz w:val="20"/>
          <w:szCs w:val="20"/>
        </w:rPr>
      </w:pPr>
    </w:p>
    <w:tbl>
      <w:tblPr>
        <w:tblW w:w="9630" w:type="dxa"/>
        <w:jc w:val="center"/>
        <w:tblLayout w:type="fixed"/>
        <w:tblLook w:val="0000" w:firstRow="0" w:lastRow="0" w:firstColumn="0" w:lastColumn="0" w:noHBand="0" w:noVBand="0"/>
      </w:tblPr>
      <w:tblGrid>
        <w:gridCol w:w="5760"/>
        <w:gridCol w:w="3870"/>
      </w:tblGrid>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4" w:space="0" w:color="auto"/>
            </w:tcBorders>
            <w:vAlign w:val="center"/>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Approval Signature</w:t>
            </w:r>
          </w:p>
        </w:tc>
        <w:tc>
          <w:tcPr>
            <w:tcW w:w="3870" w:type="dxa"/>
            <w:tcBorders>
              <w:top w:val="single" w:sz="6" w:space="0" w:color="auto"/>
              <w:left w:val="single" w:sz="4"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Approval Date</w:t>
            </w: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ED303D" w:rsidRPr="00404A72" w:rsidRDefault="00ED303D" w:rsidP="00DE6319">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ED303D" w:rsidRPr="00404A72" w:rsidRDefault="00ED303D" w:rsidP="00DE6319">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404A72" w:rsidRDefault="009717B7" w:rsidP="00DE6319">
            <w:pPr>
              <w:jc w:val="center"/>
              <w:rPr>
                <w:rFonts w:ascii="Arial" w:hAnsi="Arial" w:cs="Arial"/>
                <w:sz w:val="20"/>
                <w:szCs w:val="20"/>
              </w:rPr>
            </w:pPr>
            <w:r>
              <w:rPr>
                <w:rFonts w:ascii="Arial" w:hAnsi="Arial" w:cs="Arial"/>
                <w:sz w:val="20"/>
                <w:szCs w:val="20"/>
              </w:rPr>
              <w:t>Dr. Xiaolan Ou, Medical Director</w:t>
            </w: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EF2C76" w:rsidRDefault="00ED303D" w:rsidP="00DE6319">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4222CB" w:rsidRDefault="00ED303D" w:rsidP="00DE6319">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EF2C76" w:rsidRDefault="009717B7" w:rsidP="00DE6319">
            <w:pPr>
              <w:jc w:val="center"/>
              <w:rPr>
                <w:rFonts w:ascii="Arial" w:hAnsi="Arial" w:cs="Arial"/>
                <w:sz w:val="20"/>
                <w:szCs w:val="20"/>
              </w:rPr>
            </w:pPr>
            <w:r>
              <w:rPr>
                <w:rFonts w:ascii="Arial" w:hAnsi="Arial" w:cs="Arial"/>
                <w:sz w:val="20"/>
                <w:szCs w:val="20"/>
              </w:rPr>
              <w:t>Mary Johnson, Chief Supervisor</w:t>
            </w: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404A72" w:rsidRDefault="00ED303D" w:rsidP="00DE6319">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ED303D" w:rsidRPr="00404A72" w:rsidRDefault="00ED303D" w:rsidP="00DE6319">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ED303D" w:rsidRPr="00404A72" w:rsidRDefault="009717B7" w:rsidP="00DE6319">
            <w:pPr>
              <w:jc w:val="center"/>
              <w:rPr>
                <w:rFonts w:ascii="Arial" w:hAnsi="Arial" w:cs="Arial"/>
                <w:sz w:val="20"/>
                <w:szCs w:val="20"/>
              </w:rPr>
            </w:pPr>
            <w:r>
              <w:rPr>
                <w:rFonts w:ascii="Arial" w:hAnsi="Arial" w:cs="Arial"/>
                <w:sz w:val="20"/>
                <w:szCs w:val="20"/>
              </w:rPr>
              <w:t>Susan Baker, Assistant Supervisor</w:t>
            </w:r>
          </w:p>
        </w:tc>
        <w:tc>
          <w:tcPr>
            <w:tcW w:w="3870" w:type="dxa"/>
            <w:tcBorders>
              <w:top w:val="single" w:sz="6" w:space="0" w:color="auto"/>
              <w:left w:val="nil"/>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36" w:space="0" w:color="auto"/>
              <w:right w:val="single" w:sz="6" w:space="0" w:color="auto"/>
            </w:tcBorders>
            <w:vAlign w:val="center"/>
          </w:tcPr>
          <w:p w:rsidR="00ED303D" w:rsidRPr="006877B5" w:rsidRDefault="00ED303D" w:rsidP="00DE6319">
            <w:pPr>
              <w:jc w:val="center"/>
              <w:rPr>
                <w:rFonts w:ascii="Arial" w:hAnsi="Arial" w:cs="Arial"/>
                <w:sz w:val="20"/>
                <w:szCs w:val="20"/>
              </w:rPr>
            </w:pPr>
          </w:p>
        </w:tc>
        <w:tc>
          <w:tcPr>
            <w:tcW w:w="3870" w:type="dxa"/>
            <w:tcBorders>
              <w:top w:val="single" w:sz="6" w:space="0" w:color="auto"/>
              <w:left w:val="nil"/>
              <w:bottom w:val="single" w:sz="3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bl>
    <w:p w:rsidR="00ED303D" w:rsidRPr="007C1D50" w:rsidRDefault="00ED303D" w:rsidP="00ED303D">
      <w:pPr>
        <w:rPr>
          <w:rFonts w:ascii="Arial" w:hAnsi="Arial" w:cs="Arial"/>
          <w:sz w:val="20"/>
          <w:szCs w:val="20"/>
        </w:rPr>
      </w:pPr>
    </w:p>
    <w:p w:rsidR="00ED303D" w:rsidRPr="007C1D50" w:rsidRDefault="00ED303D" w:rsidP="00ED303D">
      <w:pPr>
        <w:jc w:val="both"/>
        <w:rPr>
          <w:rFonts w:ascii="Arial" w:hAnsi="Arial" w:cs="Arial"/>
          <w:sz w:val="20"/>
          <w:szCs w:val="20"/>
        </w:rPr>
      </w:pPr>
    </w:p>
    <w:p w:rsidR="00ED303D" w:rsidRPr="007C1D50" w:rsidRDefault="00ED303D" w:rsidP="00ED303D">
      <w:pPr>
        <w:rPr>
          <w:rFonts w:ascii="Arial" w:hAnsi="Arial" w:cs="Arial"/>
          <w:sz w:val="20"/>
          <w:szCs w:val="20"/>
        </w:rPr>
      </w:pPr>
    </w:p>
    <w:tbl>
      <w:tblPr>
        <w:tblW w:w="9837" w:type="dxa"/>
        <w:tblInd w:w="-432" w:type="dxa"/>
        <w:tblLayout w:type="fixed"/>
        <w:tblLook w:val="0000" w:firstRow="0" w:lastRow="0" w:firstColumn="0" w:lastColumn="0" w:noHBand="0" w:noVBand="0"/>
      </w:tblPr>
      <w:tblGrid>
        <w:gridCol w:w="4002"/>
        <w:gridCol w:w="1260"/>
        <w:gridCol w:w="3360"/>
        <w:gridCol w:w="1215"/>
      </w:tblGrid>
      <w:tr w:rsidR="00ED303D" w:rsidRPr="007C1D50" w:rsidTr="00DE6319">
        <w:tc>
          <w:tcPr>
            <w:tcW w:w="4002"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p>
          <w:p w:rsidR="00ED303D" w:rsidRPr="007C1D50" w:rsidRDefault="00ED303D" w:rsidP="00DE6319">
            <w:pPr>
              <w:jc w:val="center"/>
              <w:rPr>
                <w:rFonts w:ascii="Arial" w:hAnsi="Arial" w:cs="Arial"/>
                <w:b/>
                <w:sz w:val="20"/>
                <w:szCs w:val="20"/>
              </w:rPr>
            </w:pPr>
            <w:r w:rsidRPr="007C1D50">
              <w:rPr>
                <w:rFonts w:ascii="Arial" w:hAnsi="Arial" w:cs="Arial"/>
                <w:b/>
                <w:sz w:val="20"/>
                <w:szCs w:val="20"/>
              </w:rPr>
              <w:t>Distributed to</w:t>
            </w:r>
          </w:p>
        </w:tc>
        <w:tc>
          <w:tcPr>
            <w:tcW w:w="126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 of Copies</w:t>
            </w:r>
          </w:p>
        </w:tc>
        <w:tc>
          <w:tcPr>
            <w:tcW w:w="336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p>
          <w:p w:rsidR="00ED303D" w:rsidRPr="007C1D50" w:rsidRDefault="00ED303D" w:rsidP="00DE6319">
            <w:pPr>
              <w:jc w:val="center"/>
              <w:rPr>
                <w:rFonts w:ascii="Arial" w:hAnsi="Arial" w:cs="Arial"/>
                <w:b/>
                <w:sz w:val="20"/>
                <w:szCs w:val="20"/>
              </w:rPr>
            </w:pPr>
            <w:r w:rsidRPr="007C1D50">
              <w:rPr>
                <w:rFonts w:ascii="Arial" w:hAnsi="Arial" w:cs="Arial"/>
                <w:b/>
                <w:sz w:val="20"/>
                <w:szCs w:val="20"/>
              </w:rPr>
              <w:t>Distributed to</w:t>
            </w:r>
          </w:p>
        </w:tc>
        <w:tc>
          <w:tcPr>
            <w:tcW w:w="1215"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 of Copies</w:t>
            </w:r>
          </w:p>
        </w:tc>
      </w:tr>
      <w:tr w:rsidR="00ED303D" w:rsidRPr="007C1D50" w:rsidTr="00DE6319">
        <w:tc>
          <w:tcPr>
            <w:tcW w:w="4002" w:type="dxa"/>
            <w:tcBorders>
              <w:top w:val="single" w:sz="4" w:space="0" w:color="auto"/>
              <w:left w:val="single" w:sz="6" w:space="0" w:color="auto"/>
              <w:bottom w:val="single" w:sz="6" w:space="0" w:color="auto"/>
              <w:right w:val="single" w:sz="6" w:space="0" w:color="auto"/>
            </w:tcBorders>
          </w:tcPr>
          <w:p w:rsidR="00ED303D" w:rsidRPr="00C0498C" w:rsidRDefault="009717B7" w:rsidP="00DE6319">
            <w:pPr>
              <w:jc w:val="center"/>
              <w:rPr>
                <w:rFonts w:ascii="Arial" w:hAnsi="Arial" w:cs="Arial"/>
                <w:sz w:val="20"/>
                <w:szCs w:val="20"/>
              </w:rPr>
            </w:pPr>
            <w:r>
              <w:rPr>
                <w:rFonts w:ascii="Arial" w:hAnsi="Arial" w:cs="Arial"/>
                <w:sz w:val="20"/>
                <w:szCs w:val="20"/>
              </w:rPr>
              <w:t>Lab</w:t>
            </w:r>
          </w:p>
        </w:tc>
        <w:tc>
          <w:tcPr>
            <w:tcW w:w="1260" w:type="dxa"/>
            <w:tcBorders>
              <w:top w:val="single" w:sz="4" w:space="0" w:color="auto"/>
              <w:left w:val="single" w:sz="6" w:space="0" w:color="auto"/>
              <w:bottom w:val="single" w:sz="6" w:space="0" w:color="auto"/>
              <w:right w:val="single" w:sz="6" w:space="0" w:color="auto"/>
            </w:tcBorders>
          </w:tcPr>
          <w:p w:rsidR="00ED303D" w:rsidRPr="007C1D50" w:rsidRDefault="009717B7" w:rsidP="00DE6319">
            <w:pPr>
              <w:jc w:val="center"/>
              <w:rPr>
                <w:rFonts w:ascii="Arial" w:hAnsi="Arial" w:cs="Arial"/>
                <w:b/>
                <w:sz w:val="20"/>
                <w:szCs w:val="20"/>
              </w:rPr>
            </w:pPr>
            <w:r>
              <w:rPr>
                <w:rFonts w:ascii="Arial" w:hAnsi="Arial" w:cs="Arial"/>
                <w:b/>
                <w:sz w:val="20"/>
                <w:szCs w:val="20"/>
              </w:rPr>
              <w:t>1</w:t>
            </w:r>
          </w:p>
        </w:tc>
        <w:tc>
          <w:tcPr>
            <w:tcW w:w="3360" w:type="dxa"/>
            <w:tcBorders>
              <w:top w:val="single" w:sz="4"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4"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r w:rsidR="00ED303D" w:rsidRPr="007C1D50" w:rsidTr="00DE6319">
        <w:tc>
          <w:tcPr>
            <w:tcW w:w="4002" w:type="dxa"/>
            <w:tcBorders>
              <w:top w:val="single" w:sz="6" w:space="0" w:color="auto"/>
              <w:left w:val="single" w:sz="6" w:space="0" w:color="auto"/>
              <w:bottom w:val="single" w:sz="6" w:space="0" w:color="auto"/>
              <w:right w:val="single" w:sz="6" w:space="0" w:color="auto"/>
            </w:tcBorders>
          </w:tcPr>
          <w:p w:rsidR="00ED303D" w:rsidRPr="00C0498C" w:rsidRDefault="009717B7" w:rsidP="00DE6319">
            <w:pPr>
              <w:jc w:val="center"/>
              <w:rPr>
                <w:rFonts w:ascii="Arial" w:hAnsi="Arial" w:cs="Arial"/>
                <w:sz w:val="20"/>
                <w:szCs w:val="20"/>
              </w:rPr>
            </w:pPr>
            <w:r>
              <w:rPr>
                <w:rFonts w:ascii="Arial" w:hAnsi="Arial" w:cs="Arial"/>
                <w:sz w:val="20"/>
                <w:szCs w:val="20"/>
              </w:rPr>
              <w:t>Office</w:t>
            </w:r>
          </w:p>
        </w:tc>
        <w:tc>
          <w:tcPr>
            <w:tcW w:w="1260" w:type="dxa"/>
            <w:tcBorders>
              <w:top w:val="single" w:sz="6" w:space="0" w:color="auto"/>
              <w:left w:val="single" w:sz="6" w:space="0" w:color="auto"/>
              <w:bottom w:val="single" w:sz="6" w:space="0" w:color="auto"/>
              <w:right w:val="single" w:sz="6" w:space="0" w:color="auto"/>
            </w:tcBorders>
          </w:tcPr>
          <w:p w:rsidR="00ED303D" w:rsidRPr="007C1D50" w:rsidRDefault="009717B7" w:rsidP="00DE6319">
            <w:pPr>
              <w:jc w:val="center"/>
              <w:rPr>
                <w:rFonts w:ascii="Arial" w:hAnsi="Arial" w:cs="Arial"/>
                <w:b/>
                <w:sz w:val="20"/>
                <w:szCs w:val="20"/>
              </w:rPr>
            </w:pPr>
            <w:r>
              <w:rPr>
                <w:rFonts w:ascii="Arial" w:hAnsi="Arial" w:cs="Arial"/>
                <w:b/>
                <w:sz w:val="20"/>
                <w:szCs w:val="20"/>
              </w:rPr>
              <w:t>1</w:t>
            </w:r>
          </w:p>
        </w:tc>
        <w:tc>
          <w:tcPr>
            <w:tcW w:w="33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r w:rsidR="00ED303D" w:rsidRPr="007C1D50" w:rsidTr="00DE6319">
        <w:tc>
          <w:tcPr>
            <w:tcW w:w="4002" w:type="dxa"/>
            <w:tcBorders>
              <w:top w:val="single" w:sz="6" w:space="0" w:color="auto"/>
              <w:left w:val="single" w:sz="6" w:space="0" w:color="auto"/>
              <w:bottom w:val="single" w:sz="6" w:space="0" w:color="auto"/>
              <w:right w:val="single" w:sz="6" w:space="0" w:color="auto"/>
            </w:tcBorders>
          </w:tcPr>
          <w:p w:rsidR="00ED303D" w:rsidRPr="00C0498C" w:rsidRDefault="00ED303D" w:rsidP="00DE6319">
            <w:pPr>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r w:rsidR="00ED303D" w:rsidRPr="007C1D50" w:rsidTr="00DE6319">
        <w:tc>
          <w:tcPr>
            <w:tcW w:w="4002" w:type="dxa"/>
            <w:tcBorders>
              <w:top w:val="single" w:sz="6" w:space="0" w:color="auto"/>
              <w:left w:val="single" w:sz="6" w:space="0" w:color="auto"/>
              <w:bottom w:val="single" w:sz="6" w:space="0" w:color="auto"/>
              <w:right w:val="single" w:sz="6" w:space="0" w:color="auto"/>
            </w:tcBorders>
          </w:tcPr>
          <w:p w:rsidR="00ED303D" w:rsidRPr="00C0498C" w:rsidRDefault="00ED303D" w:rsidP="00DE6319">
            <w:pPr>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r w:rsidR="00ED303D" w:rsidRPr="007C1D50" w:rsidTr="00DE6319">
        <w:tc>
          <w:tcPr>
            <w:tcW w:w="4002"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bl>
    <w:p w:rsidR="00ED303D" w:rsidRPr="007C1D50" w:rsidRDefault="00ED303D" w:rsidP="00ED303D">
      <w:pPr>
        <w:pStyle w:val="Heading1"/>
        <w:rPr>
          <w:rFonts w:ascii="Arial" w:hAnsi="Arial" w:cs="Arial"/>
          <w:sz w:val="20"/>
          <w:szCs w:val="20"/>
        </w:rPr>
      </w:pPr>
    </w:p>
    <w:p w:rsidR="00ED303D" w:rsidRPr="007C1D50" w:rsidRDefault="00ED303D" w:rsidP="00ED303D">
      <w:pPr>
        <w:pStyle w:val="Heading1"/>
        <w:rPr>
          <w:rFonts w:ascii="Arial" w:hAnsi="Arial" w:cs="Arial"/>
          <w:sz w:val="20"/>
          <w:szCs w:val="20"/>
        </w:rPr>
      </w:pPr>
    </w:p>
    <w:p w:rsidR="00ED303D" w:rsidRPr="007C1D50" w:rsidRDefault="00ED303D" w:rsidP="00ED303D">
      <w:pPr>
        <w:pStyle w:val="Heading1"/>
        <w:rPr>
          <w:rFonts w:ascii="Arial" w:hAnsi="Arial" w:cs="Arial"/>
          <w:sz w:val="20"/>
          <w:szCs w:val="20"/>
        </w:rPr>
      </w:pPr>
    </w:p>
    <w:p w:rsidR="00ED303D" w:rsidRPr="007C1D50" w:rsidRDefault="00ED303D" w:rsidP="00ED303D">
      <w:pPr>
        <w:pStyle w:val="Heading1"/>
        <w:rPr>
          <w:rFonts w:ascii="Arial" w:hAnsi="Arial" w:cs="Arial"/>
          <w:sz w:val="20"/>
          <w:szCs w:val="20"/>
        </w:rPr>
      </w:pPr>
    </w:p>
    <w:p w:rsidR="00ED303D" w:rsidRPr="007C1D50" w:rsidRDefault="00ED303D" w:rsidP="00ED303D">
      <w:pPr>
        <w:pStyle w:val="Heading1"/>
        <w:rPr>
          <w:rFonts w:ascii="Arial" w:hAnsi="Arial" w:cs="Arial"/>
          <w:sz w:val="20"/>
          <w:szCs w:val="20"/>
        </w:rPr>
      </w:pPr>
    </w:p>
    <w:p w:rsidR="00ED303D" w:rsidRDefault="00ED303D" w:rsidP="00ED303D">
      <w:pPr>
        <w:rPr>
          <w:rFonts w:ascii="Arial" w:hAnsi="Arial" w:cs="Arial"/>
          <w:sz w:val="20"/>
          <w:szCs w:val="20"/>
        </w:rPr>
      </w:pPr>
    </w:p>
    <w:p w:rsidR="00ED303D" w:rsidRDefault="00ED303D" w:rsidP="00ED303D">
      <w:pPr>
        <w:rPr>
          <w:rFonts w:ascii="Arial" w:hAnsi="Arial" w:cs="Arial"/>
          <w:sz w:val="20"/>
          <w:szCs w:val="20"/>
        </w:rPr>
      </w:pPr>
    </w:p>
    <w:p w:rsidR="00ED303D" w:rsidRDefault="00ED303D" w:rsidP="00ED303D">
      <w:pPr>
        <w:rPr>
          <w:rFonts w:ascii="Arial" w:hAnsi="Arial" w:cs="Arial"/>
          <w:sz w:val="20"/>
          <w:szCs w:val="20"/>
        </w:rPr>
      </w:pPr>
    </w:p>
    <w:p w:rsidR="00ED303D" w:rsidRDefault="00ED303D" w:rsidP="00ED303D">
      <w:pPr>
        <w:rPr>
          <w:rFonts w:ascii="Arial" w:hAnsi="Arial" w:cs="Arial"/>
          <w:b/>
          <w:sz w:val="20"/>
          <w:szCs w:val="20"/>
        </w:rPr>
      </w:pPr>
      <w:r>
        <w:rPr>
          <w:rFonts w:ascii="Arial" w:hAnsi="Arial" w:cs="Arial"/>
          <w:sz w:val="20"/>
          <w:szCs w:val="20"/>
        </w:rPr>
        <w:br w:type="page"/>
      </w:r>
      <w:r w:rsidRPr="00D234FD">
        <w:rPr>
          <w:rFonts w:ascii="Arial" w:hAnsi="Arial" w:cs="Arial"/>
          <w:b/>
          <w:sz w:val="20"/>
          <w:szCs w:val="20"/>
        </w:rPr>
        <w:lastRenderedPageBreak/>
        <w:t>REVISION HISTORY</w:t>
      </w:r>
    </w:p>
    <w:p w:rsidR="00ED303D" w:rsidRDefault="00ED303D" w:rsidP="00ED303D">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265"/>
        <w:gridCol w:w="4557"/>
      </w:tblGrid>
      <w:tr w:rsidR="00ED303D" w:rsidRPr="00520F5D" w:rsidTr="00DE6319">
        <w:trPr>
          <w:trHeight w:val="263"/>
          <w:jc w:val="center"/>
        </w:trPr>
        <w:tc>
          <w:tcPr>
            <w:tcW w:w="1738" w:type="dxa"/>
            <w:tcBorders>
              <w:top w:val="single" w:sz="4" w:space="0" w:color="auto"/>
            </w:tcBorders>
            <w:shd w:val="clear" w:color="auto" w:fill="auto"/>
          </w:tcPr>
          <w:p w:rsidR="00ED303D" w:rsidRPr="00520F5D" w:rsidRDefault="00ED303D" w:rsidP="00DE6319">
            <w:pPr>
              <w:pStyle w:val="Header"/>
              <w:jc w:val="center"/>
              <w:rPr>
                <w:rFonts w:ascii="Arial" w:hAnsi="Arial" w:cs="Arial"/>
                <w:b/>
                <w:sz w:val="20"/>
                <w:szCs w:val="20"/>
              </w:rPr>
            </w:pPr>
            <w:r w:rsidRPr="00520F5D">
              <w:rPr>
                <w:rFonts w:ascii="Arial" w:hAnsi="Arial" w:cs="Arial"/>
                <w:b/>
                <w:sz w:val="20"/>
                <w:szCs w:val="20"/>
              </w:rPr>
              <w:t>Procedure #</w:t>
            </w:r>
          </w:p>
        </w:tc>
        <w:tc>
          <w:tcPr>
            <w:tcW w:w="1265" w:type="dxa"/>
            <w:tcBorders>
              <w:top w:val="single" w:sz="4" w:space="0" w:color="auto"/>
            </w:tcBorders>
            <w:shd w:val="clear" w:color="auto" w:fill="auto"/>
          </w:tcPr>
          <w:p w:rsidR="00ED303D" w:rsidRPr="00520F5D" w:rsidRDefault="00ED303D" w:rsidP="00DE6319">
            <w:pPr>
              <w:pStyle w:val="Header"/>
              <w:jc w:val="center"/>
              <w:rPr>
                <w:rFonts w:ascii="Arial" w:hAnsi="Arial" w:cs="Arial"/>
                <w:b/>
                <w:sz w:val="20"/>
                <w:szCs w:val="20"/>
              </w:rPr>
            </w:pPr>
            <w:r w:rsidRPr="00520F5D">
              <w:rPr>
                <w:rFonts w:ascii="Arial" w:hAnsi="Arial" w:cs="Arial"/>
                <w:b/>
                <w:sz w:val="20"/>
                <w:szCs w:val="20"/>
              </w:rPr>
              <w:t>Revision Date</w:t>
            </w:r>
          </w:p>
        </w:tc>
        <w:tc>
          <w:tcPr>
            <w:tcW w:w="4557" w:type="dxa"/>
            <w:tcBorders>
              <w:top w:val="single" w:sz="4" w:space="0" w:color="auto"/>
              <w:right w:val="single" w:sz="24" w:space="0" w:color="auto"/>
            </w:tcBorders>
            <w:shd w:val="clear" w:color="auto" w:fill="auto"/>
          </w:tcPr>
          <w:p w:rsidR="00ED303D" w:rsidRPr="00520F5D" w:rsidRDefault="00ED303D" w:rsidP="00DE6319">
            <w:pPr>
              <w:pStyle w:val="Header"/>
              <w:jc w:val="center"/>
              <w:rPr>
                <w:rFonts w:ascii="Arial" w:hAnsi="Arial" w:cs="Arial"/>
                <w:b/>
                <w:sz w:val="20"/>
                <w:szCs w:val="20"/>
              </w:rPr>
            </w:pPr>
            <w:r w:rsidRPr="00520F5D">
              <w:rPr>
                <w:rFonts w:ascii="Arial" w:hAnsi="Arial" w:cs="Arial"/>
                <w:b/>
                <w:sz w:val="20"/>
                <w:szCs w:val="20"/>
              </w:rPr>
              <w:t>Reason for Revision</w:t>
            </w:r>
          </w:p>
        </w:tc>
      </w:tr>
      <w:tr w:rsidR="00ED303D" w:rsidRPr="00520F5D" w:rsidTr="00DE6319">
        <w:trPr>
          <w:trHeight w:val="263"/>
          <w:jc w:val="center"/>
        </w:trPr>
        <w:tc>
          <w:tcPr>
            <w:tcW w:w="1738" w:type="dxa"/>
            <w:tcBorders>
              <w:top w:val="single" w:sz="4" w:space="0" w:color="auto"/>
            </w:tcBorders>
            <w:shd w:val="clear" w:color="auto" w:fill="auto"/>
          </w:tcPr>
          <w:p w:rsidR="00ED303D" w:rsidRPr="007A2997" w:rsidRDefault="00ED303D" w:rsidP="00DE6319">
            <w:pPr>
              <w:pStyle w:val="Header"/>
              <w:tabs>
                <w:tab w:val="left" w:pos="2997"/>
              </w:tabs>
              <w:jc w:val="right"/>
              <w:rPr>
                <w:rFonts w:ascii="Arial" w:hAnsi="Arial" w:cs="Arial"/>
                <w:b/>
                <w:sz w:val="20"/>
                <w:szCs w:val="20"/>
              </w:rPr>
            </w:pPr>
          </w:p>
        </w:tc>
        <w:tc>
          <w:tcPr>
            <w:tcW w:w="1265" w:type="dxa"/>
            <w:tcBorders>
              <w:top w:val="single" w:sz="4" w:space="0" w:color="auto"/>
            </w:tcBorders>
            <w:shd w:val="clear" w:color="auto" w:fill="auto"/>
          </w:tcPr>
          <w:p w:rsidR="00ED303D" w:rsidRPr="007A2997" w:rsidRDefault="00ED303D" w:rsidP="00DE6319">
            <w:pPr>
              <w:pStyle w:val="Header"/>
              <w:jc w:val="center"/>
              <w:rPr>
                <w:rFonts w:ascii="Arial" w:hAnsi="Arial" w:cs="Arial"/>
                <w:sz w:val="20"/>
                <w:szCs w:val="20"/>
              </w:rPr>
            </w:pPr>
          </w:p>
        </w:tc>
        <w:tc>
          <w:tcPr>
            <w:tcW w:w="4557" w:type="dxa"/>
            <w:tcBorders>
              <w:top w:val="single" w:sz="4" w:space="0" w:color="auto"/>
              <w:right w:val="single" w:sz="24" w:space="0" w:color="auto"/>
            </w:tcBorders>
            <w:shd w:val="clear" w:color="auto" w:fill="auto"/>
          </w:tcPr>
          <w:p w:rsidR="00ED303D" w:rsidRPr="007A2997" w:rsidRDefault="00ED303D" w:rsidP="00DE6319">
            <w:pPr>
              <w:pStyle w:val="Header"/>
              <w:rPr>
                <w:rFonts w:ascii="Arial" w:hAnsi="Arial" w:cs="Arial"/>
                <w:b/>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bl>
    <w:p w:rsidR="00ED303D" w:rsidRDefault="00ED303D" w:rsidP="00ED303D">
      <w:pPr>
        <w:jc w:val="center"/>
        <w:rPr>
          <w:rFonts w:ascii="Arial" w:hAnsi="Arial" w:cs="Arial"/>
          <w:b/>
          <w:sz w:val="20"/>
          <w:szCs w:val="20"/>
        </w:rPr>
      </w:pPr>
    </w:p>
    <w:p w:rsidR="00ED303D" w:rsidRDefault="00ED303D" w:rsidP="00ED303D">
      <w:pPr>
        <w:jc w:val="center"/>
        <w:rPr>
          <w:rFonts w:ascii="Arial" w:hAnsi="Arial" w:cs="Arial"/>
          <w:b/>
          <w:sz w:val="20"/>
          <w:szCs w:val="20"/>
        </w:rPr>
      </w:pPr>
    </w:p>
    <w:p w:rsidR="00ED303D" w:rsidRPr="007C1D50" w:rsidRDefault="00ED303D" w:rsidP="00ED303D">
      <w:pPr>
        <w:rPr>
          <w:rFonts w:ascii="Arial" w:hAnsi="Arial" w:cs="Arial"/>
          <w:sz w:val="20"/>
          <w:szCs w:val="20"/>
        </w:rPr>
      </w:pPr>
      <w:r>
        <w:rPr>
          <w:rFonts w:ascii="Arial" w:hAnsi="Arial" w:cs="Arial"/>
          <w:b/>
          <w:sz w:val="20"/>
          <w:szCs w:val="20"/>
        </w:rPr>
        <w:br w:type="page"/>
      </w:r>
    </w:p>
    <w:p w:rsidR="00ED303D" w:rsidRPr="007C1D50" w:rsidRDefault="00ED303D" w:rsidP="00ED303D">
      <w:pPr>
        <w:pStyle w:val="Heading1"/>
        <w:rPr>
          <w:rFonts w:ascii="Arial" w:hAnsi="Arial" w:cs="Arial"/>
          <w:sz w:val="20"/>
          <w:szCs w:val="20"/>
        </w:rPr>
      </w:pPr>
      <w:r w:rsidRPr="007C1D50">
        <w:rPr>
          <w:rFonts w:ascii="Arial" w:hAnsi="Arial" w:cs="Arial"/>
          <w:sz w:val="20"/>
          <w:szCs w:val="20"/>
        </w:rPr>
        <w:lastRenderedPageBreak/>
        <w:t xml:space="preserve">TITLE: </w:t>
      </w:r>
    </w:p>
    <w:p w:rsidR="00ED303D" w:rsidRPr="007C1D50" w:rsidRDefault="00ED303D" w:rsidP="00ED303D">
      <w:pPr>
        <w:rPr>
          <w:rFonts w:ascii="Arial" w:hAnsi="Arial" w:cs="Arial"/>
          <w:sz w:val="20"/>
          <w:szCs w:val="20"/>
        </w:rPr>
      </w:pPr>
    </w:p>
    <w:p w:rsidR="00ED303D" w:rsidRDefault="00ED303D" w:rsidP="00ED303D">
      <w:pPr>
        <w:pStyle w:val="First-OrderHeading"/>
        <w:numPr>
          <w:ilvl w:val="0"/>
          <w:numId w:val="21"/>
        </w:numPr>
        <w:tabs>
          <w:tab w:val="clear" w:pos="1080"/>
          <w:tab w:val="num" w:pos="0"/>
        </w:tabs>
        <w:ind w:left="0" w:firstLine="0"/>
        <w:rPr>
          <w:rFonts w:ascii="Arial" w:hAnsi="Arial" w:cs="Arial"/>
          <w:sz w:val="20"/>
        </w:rPr>
      </w:pPr>
      <w:r w:rsidRPr="007C1D50">
        <w:rPr>
          <w:rFonts w:ascii="Arial" w:hAnsi="Arial" w:cs="Arial"/>
          <w:sz w:val="20"/>
        </w:rPr>
        <w:t>Purpose</w:t>
      </w:r>
    </w:p>
    <w:p w:rsidR="006B4327" w:rsidRPr="00CA6893" w:rsidRDefault="006B4327" w:rsidP="006B4327">
      <w:pPr>
        <w:pStyle w:val="First-OrderHeading"/>
        <w:numPr>
          <w:ilvl w:val="0"/>
          <w:numId w:val="0"/>
        </w:numPr>
        <w:ind w:left="720"/>
        <w:rPr>
          <w:rFonts w:ascii="Arial" w:hAnsi="Arial" w:cs="Arial"/>
          <w:b w:val="0"/>
          <w:caps w:val="0"/>
          <w:sz w:val="20"/>
          <w:vertAlign w:val="superscript"/>
        </w:rPr>
      </w:pPr>
      <w:r>
        <w:rPr>
          <w:rFonts w:ascii="Arial" w:hAnsi="Arial" w:cs="Arial"/>
          <w:b w:val="0"/>
          <w:caps w:val="0"/>
          <w:sz w:val="20"/>
        </w:rPr>
        <w:t xml:space="preserve">Nutritional and macrocytic anemias can be caused by a deficiency of folate.  This deficiency can result for </w:t>
      </w:r>
      <w:r w:rsidR="00A858A5">
        <w:rPr>
          <w:rFonts w:ascii="Arial" w:hAnsi="Arial" w:cs="Arial"/>
          <w:b w:val="0"/>
          <w:caps w:val="0"/>
          <w:sz w:val="20"/>
        </w:rPr>
        <w:t>diets</w:t>
      </w:r>
      <w:r>
        <w:rPr>
          <w:rFonts w:ascii="Arial" w:hAnsi="Arial" w:cs="Arial"/>
          <w:b w:val="0"/>
          <w:caps w:val="0"/>
          <w:sz w:val="20"/>
        </w:rPr>
        <w:t xml:space="preserve"> devoid of raw fruits, vegetables or other foods rich in folic acid, as may be the case with chronic alcoholics, drug addicts, the elderly or persons of low socioeconomic status, etc.  In addition, low serum folate during pregnancy has been associated with neural tube defects in the fetus.</w:t>
      </w:r>
      <w:r>
        <w:rPr>
          <w:rFonts w:ascii="Arial" w:hAnsi="Arial" w:cs="Arial"/>
          <w:b w:val="0"/>
          <w:caps w:val="0"/>
          <w:sz w:val="20"/>
          <w:vertAlign w:val="superscript"/>
        </w:rPr>
        <w:t>1</w:t>
      </w:r>
      <w:r>
        <w:rPr>
          <w:rFonts w:ascii="Arial" w:hAnsi="Arial" w:cs="Arial"/>
          <w:b w:val="0"/>
          <w:caps w:val="0"/>
          <w:sz w:val="20"/>
        </w:rPr>
        <w:t>Dietary deficiency and malabsorption are the major causes of folate deficiency in humans.</w:t>
      </w:r>
      <w:r>
        <w:rPr>
          <w:rFonts w:ascii="Arial" w:hAnsi="Arial" w:cs="Arial"/>
          <w:b w:val="0"/>
          <w:caps w:val="0"/>
          <w:sz w:val="20"/>
          <w:vertAlign w:val="superscript"/>
        </w:rPr>
        <w:t>2</w:t>
      </w:r>
      <w:r>
        <w:rPr>
          <w:rFonts w:ascii="Arial" w:hAnsi="Arial" w:cs="Arial"/>
          <w:b w:val="0"/>
          <w:caps w:val="0"/>
          <w:sz w:val="20"/>
        </w:rPr>
        <w:t xml:space="preserve">  Folate is necessary for normal metabolism, DNA synthesis and red blood cell regeneration.  Untreated deficiencies may lead to megaloblastic </w:t>
      </w:r>
      <w:r w:rsidR="00A858A5">
        <w:rPr>
          <w:rFonts w:ascii="Arial" w:hAnsi="Arial" w:cs="Arial"/>
          <w:b w:val="0"/>
          <w:caps w:val="0"/>
          <w:sz w:val="20"/>
        </w:rPr>
        <w:t>anemia;</w:t>
      </w:r>
      <w:r>
        <w:rPr>
          <w:rFonts w:ascii="Arial" w:hAnsi="Arial" w:cs="Arial"/>
          <w:b w:val="0"/>
          <w:caps w:val="0"/>
          <w:sz w:val="20"/>
        </w:rPr>
        <w:t xml:space="preserve"> it is advisable to determine the concentration of both vitamin B</w:t>
      </w:r>
      <w:r>
        <w:rPr>
          <w:rFonts w:ascii="Arial" w:hAnsi="Arial" w:cs="Arial"/>
          <w:b w:val="0"/>
          <w:caps w:val="0"/>
          <w:sz w:val="20"/>
          <w:vertAlign w:val="subscript"/>
        </w:rPr>
        <w:t>12</w:t>
      </w:r>
      <w:r>
        <w:rPr>
          <w:rFonts w:ascii="Arial" w:hAnsi="Arial" w:cs="Arial"/>
          <w:b w:val="0"/>
          <w:caps w:val="0"/>
          <w:sz w:val="20"/>
        </w:rPr>
        <w:t xml:space="preserve"> and folate in order to properly diagnose the etiology of anemia.  Radioassays were first reported for folate in 1973</w:t>
      </w:r>
      <w:r>
        <w:rPr>
          <w:rFonts w:ascii="Arial" w:hAnsi="Arial" w:cs="Arial"/>
          <w:b w:val="0"/>
          <w:caps w:val="0"/>
          <w:sz w:val="20"/>
          <w:vertAlign w:val="superscript"/>
        </w:rPr>
        <w:t>3,4,5,6</w:t>
      </w:r>
    </w:p>
    <w:p w:rsidR="006B4327" w:rsidRDefault="006B4327" w:rsidP="006B4327">
      <w:pPr>
        <w:pStyle w:val="First-OrderHeading"/>
        <w:numPr>
          <w:ilvl w:val="0"/>
          <w:numId w:val="0"/>
        </w:numPr>
        <w:ind w:left="720"/>
        <w:rPr>
          <w:rFonts w:ascii="Arial" w:hAnsi="Arial" w:cs="Arial"/>
          <w:b w:val="0"/>
          <w:caps w:val="0"/>
          <w:sz w:val="20"/>
        </w:rPr>
      </w:pPr>
      <w:r>
        <w:rPr>
          <w:rFonts w:ascii="Arial" w:hAnsi="Arial" w:cs="Arial"/>
          <w:b w:val="0"/>
          <w:caps w:val="0"/>
          <w:sz w:val="20"/>
        </w:rPr>
        <w:t>The majority utilize</w:t>
      </w:r>
      <w:r>
        <w:rPr>
          <w:rFonts w:ascii="Arial" w:hAnsi="Arial" w:cs="Arial"/>
          <w:b w:val="0"/>
          <w:sz w:val="20"/>
        </w:rPr>
        <w:t xml:space="preserve"> </w:t>
      </w:r>
      <w:r>
        <w:rPr>
          <w:rFonts w:ascii="Arial" w:hAnsi="Arial" w:cs="Arial"/>
          <w:b w:val="0"/>
          <w:sz w:val="20"/>
          <w:vertAlign w:val="superscript"/>
        </w:rPr>
        <w:t>125</w:t>
      </w:r>
      <w:r>
        <w:rPr>
          <w:rFonts w:ascii="Arial" w:hAnsi="Arial" w:cs="Arial"/>
          <w:b w:val="0"/>
          <w:caps w:val="0"/>
          <w:sz w:val="20"/>
        </w:rPr>
        <w:t xml:space="preserve">i-folate radiolabeled tracers and natural binding proteins (milk binding protein, folate binding protein).  The various commercial assays differ in their free versus bound separation techniques and choice of specimen pretreatment.  The Elecsys Folate assay employs a competitive test principle using natural folate binding protein (FBP) specific for folate.  Folate in the sample competes with the added folate (labeled with biotin) for the binding sites on </w:t>
      </w:r>
      <w:r w:rsidR="00A858A5">
        <w:rPr>
          <w:rFonts w:ascii="Arial" w:hAnsi="Arial" w:cs="Arial"/>
          <w:b w:val="0"/>
          <w:caps w:val="0"/>
          <w:sz w:val="20"/>
        </w:rPr>
        <w:t>FBP (</w:t>
      </w:r>
      <w:r>
        <w:rPr>
          <w:rFonts w:ascii="Arial" w:hAnsi="Arial" w:cs="Arial"/>
          <w:b w:val="0"/>
          <w:caps w:val="0"/>
          <w:sz w:val="20"/>
        </w:rPr>
        <w:t xml:space="preserve">labeled with ruthenium </w:t>
      </w:r>
      <w:proofErr w:type="spellStart"/>
      <w:r>
        <w:rPr>
          <w:rFonts w:ascii="Arial" w:hAnsi="Arial" w:cs="Arial"/>
          <w:b w:val="0"/>
          <w:caps w:val="0"/>
          <w:sz w:val="20"/>
        </w:rPr>
        <w:t>complex</w:t>
      </w:r>
      <w:r>
        <w:rPr>
          <w:rFonts w:ascii="Arial" w:hAnsi="Arial" w:cs="Arial"/>
          <w:b w:val="0"/>
          <w:caps w:val="0"/>
          <w:sz w:val="20"/>
          <w:vertAlign w:val="superscript"/>
        </w:rPr>
        <w:t>a</w:t>
      </w:r>
      <w:proofErr w:type="spellEnd"/>
      <w:r>
        <w:rPr>
          <w:rFonts w:ascii="Arial" w:hAnsi="Arial" w:cs="Arial"/>
          <w:b w:val="0"/>
          <w:caps w:val="0"/>
          <w:sz w:val="20"/>
          <w:vertAlign w:val="superscript"/>
        </w:rPr>
        <w:t>)</w:t>
      </w:r>
      <w:r>
        <w:rPr>
          <w:rFonts w:ascii="Arial" w:hAnsi="Arial" w:cs="Arial"/>
          <w:b w:val="0"/>
          <w:caps w:val="0"/>
          <w:sz w:val="20"/>
        </w:rPr>
        <w:t>)</w:t>
      </w:r>
    </w:p>
    <w:p w:rsidR="006B4327" w:rsidRPr="00CA6893" w:rsidRDefault="006B4327" w:rsidP="006B4327">
      <w:pPr>
        <w:pStyle w:val="First-OrderHeading"/>
        <w:numPr>
          <w:ilvl w:val="0"/>
          <w:numId w:val="21"/>
        </w:numPr>
        <w:rPr>
          <w:rFonts w:ascii="Arial" w:hAnsi="Arial" w:cs="Arial"/>
          <w:b w:val="0"/>
          <w:sz w:val="20"/>
          <w:vertAlign w:val="superscript"/>
        </w:rPr>
      </w:pPr>
      <w:r>
        <w:rPr>
          <w:rFonts w:ascii="Arial" w:hAnsi="Arial" w:cs="Arial"/>
          <w:b w:val="0"/>
          <w:caps w:val="0"/>
          <w:sz w:val="20"/>
          <w:vertAlign w:val="superscript"/>
        </w:rPr>
        <w:t>Tris(2,2’-bipyridyl)ruthenium(II)-complex(Ru(bpy)</w:t>
      </w:r>
      <w:r>
        <w:rPr>
          <w:rFonts w:ascii="Arial" w:hAnsi="Arial" w:cs="Arial"/>
          <w:b w:val="0"/>
          <w:caps w:val="0"/>
          <w:sz w:val="20"/>
          <w:vertAlign w:val="subscript"/>
        </w:rPr>
        <w:t>3</w:t>
      </w:r>
      <w:r>
        <w:rPr>
          <w:rFonts w:ascii="Arial" w:hAnsi="Arial" w:cs="Arial"/>
          <w:b w:val="0"/>
          <w:caps w:val="0"/>
          <w:sz w:val="20"/>
          <w:vertAlign w:val="superscript"/>
        </w:rPr>
        <w:t>2+)</w:t>
      </w:r>
    </w:p>
    <w:p w:rsidR="00ED303D" w:rsidRPr="00A9284B" w:rsidRDefault="00ED303D" w:rsidP="00ED303D">
      <w:pPr>
        <w:pStyle w:val="First-OrderHeading"/>
        <w:numPr>
          <w:ilvl w:val="0"/>
          <w:numId w:val="21"/>
        </w:numPr>
        <w:tabs>
          <w:tab w:val="clear" w:pos="1080"/>
          <w:tab w:val="num" w:pos="0"/>
        </w:tabs>
        <w:ind w:left="0" w:firstLine="0"/>
        <w:rPr>
          <w:rFonts w:ascii="Arial" w:hAnsi="Arial" w:cs="Arial"/>
          <w:sz w:val="20"/>
        </w:rPr>
      </w:pPr>
      <w:r>
        <w:rPr>
          <w:rFonts w:ascii="Arial" w:hAnsi="Arial" w:cs="Arial"/>
          <w:sz w:val="20"/>
        </w:rPr>
        <w:t>TEST PRINCIPLE</w:t>
      </w:r>
    </w:p>
    <w:p w:rsidR="00ED303D" w:rsidRDefault="00ED303D" w:rsidP="00ED303D">
      <w:pPr>
        <w:pStyle w:val="First-OrderHeading"/>
        <w:numPr>
          <w:ilvl w:val="0"/>
          <w:numId w:val="0"/>
        </w:numPr>
        <w:ind w:left="720"/>
        <w:rPr>
          <w:rFonts w:ascii="Arial" w:hAnsi="Arial" w:cs="Arial"/>
          <w:b w:val="0"/>
          <w:caps w:val="0"/>
          <w:sz w:val="20"/>
        </w:rPr>
      </w:pPr>
      <w:r>
        <w:rPr>
          <w:rFonts w:ascii="Arial" w:hAnsi="Arial" w:cs="Arial"/>
          <w:b w:val="0"/>
          <w:caps w:val="0"/>
          <w:sz w:val="20"/>
        </w:rPr>
        <w:t>Competition principle.  Total durati</w:t>
      </w:r>
      <w:r w:rsidR="00D2333D">
        <w:rPr>
          <w:rFonts w:ascii="Arial" w:hAnsi="Arial" w:cs="Arial"/>
          <w:b w:val="0"/>
          <w:caps w:val="0"/>
          <w:sz w:val="20"/>
        </w:rPr>
        <w:t>on of assay: 27</w:t>
      </w:r>
      <w:r>
        <w:rPr>
          <w:rFonts w:ascii="Arial" w:hAnsi="Arial" w:cs="Arial"/>
          <w:b w:val="0"/>
          <w:caps w:val="0"/>
          <w:sz w:val="20"/>
        </w:rPr>
        <w:t xml:space="preserve"> minutes.</w:t>
      </w:r>
    </w:p>
    <w:p w:rsidR="00ED303D" w:rsidRDefault="00ED303D" w:rsidP="00ED303D">
      <w:pPr>
        <w:pStyle w:val="First-OrderHeading"/>
        <w:numPr>
          <w:ilvl w:val="0"/>
          <w:numId w:val="23"/>
        </w:numPr>
        <w:rPr>
          <w:rFonts w:ascii="Arial" w:hAnsi="Arial" w:cs="Arial"/>
          <w:b w:val="0"/>
          <w:caps w:val="0"/>
          <w:sz w:val="20"/>
        </w:rPr>
      </w:pPr>
      <w:r>
        <w:rPr>
          <w:rFonts w:ascii="Arial" w:hAnsi="Arial" w:cs="Arial"/>
          <w:b w:val="0"/>
          <w:caps w:val="0"/>
          <w:sz w:val="20"/>
        </w:rPr>
        <w:t>1</w:t>
      </w:r>
      <w:r>
        <w:rPr>
          <w:rFonts w:ascii="Arial" w:hAnsi="Arial" w:cs="Arial"/>
          <w:b w:val="0"/>
          <w:caps w:val="0"/>
          <w:sz w:val="20"/>
          <w:vertAlign w:val="superscript"/>
        </w:rPr>
        <w:t>st</w:t>
      </w:r>
      <w:r>
        <w:rPr>
          <w:rFonts w:ascii="Arial" w:hAnsi="Arial" w:cs="Arial"/>
          <w:b w:val="0"/>
          <w:caps w:val="0"/>
          <w:sz w:val="20"/>
        </w:rPr>
        <w:t xml:space="preserve"> incubation: </w:t>
      </w:r>
      <w:r w:rsidR="0042783E">
        <w:rPr>
          <w:rFonts w:ascii="Arial" w:hAnsi="Arial" w:cs="Arial"/>
          <w:b w:val="0"/>
          <w:caps w:val="0"/>
          <w:sz w:val="20"/>
        </w:rPr>
        <w:t>2</w:t>
      </w:r>
      <w:r w:rsidR="00AD25B2">
        <w:rPr>
          <w:rFonts w:ascii="Arial" w:hAnsi="Arial" w:cs="Arial"/>
          <w:b w:val="0"/>
          <w:caps w:val="0"/>
          <w:sz w:val="20"/>
        </w:rPr>
        <w:t xml:space="preserve">5 uL of sample </w:t>
      </w:r>
      <w:r w:rsidR="0042783E">
        <w:rPr>
          <w:rFonts w:ascii="Arial" w:hAnsi="Arial" w:cs="Arial"/>
          <w:b w:val="0"/>
          <w:caps w:val="0"/>
          <w:sz w:val="20"/>
        </w:rPr>
        <w:t>with the folate pretreatment reagents 1 and 2, bound folate is released from endogenous folate binding proteins.</w:t>
      </w:r>
    </w:p>
    <w:p w:rsidR="0042783E" w:rsidRDefault="00ED303D" w:rsidP="00B22825">
      <w:pPr>
        <w:pStyle w:val="First-OrderHeading"/>
        <w:numPr>
          <w:ilvl w:val="0"/>
          <w:numId w:val="23"/>
        </w:numPr>
        <w:rPr>
          <w:rFonts w:ascii="Arial" w:hAnsi="Arial" w:cs="Arial"/>
          <w:b w:val="0"/>
          <w:caps w:val="0"/>
          <w:sz w:val="20"/>
        </w:rPr>
      </w:pPr>
      <w:r>
        <w:rPr>
          <w:rFonts w:ascii="Arial" w:hAnsi="Arial" w:cs="Arial"/>
          <w:b w:val="0"/>
          <w:caps w:val="0"/>
          <w:sz w:val="20"/>
        </w:rPr>
        <w:t>2</w:t>
      </w:r>
      <w:r>
        <w:rPr>
          <w:rFonts w:ascii="Arial" w:hAnsi="Arial" w:cs="Arial"/>
          <w:b w:val="0"/>
          <w:caps w:val="0"/>
          <w:sz w:val="20"/>
          <w:vertAlign w:val="superscript"/>
        </w:rPr>
        <w:t>nd</w:t>
      </w:r>
      <w:r>
        <w:rPr>
          <w:rFonts w:ascii="Arial" w:hAnsi="Arial" w:cs="Arial"/>
          <w:b w:val="0"/>
          <w:caps w:val="0"/>
          <w:sz w:val="20"/>
        </w:rPr>
        <w:t xml:space="preserve"> incubation: </w:t>
      </w:r>
      <w:r w:rsidR="0042783E">
        <w:rPr>
          <w:rFonts w:ascii="Arial" w:hAnsi="Arial" w:cs="Arial"/>
          <w:b w:val="0"/>
          <w:caps w:val="0"/>
          <w:sz w:val="20"/>
        </w:rPr>
        <w:t>By incubating the pretreated sample with the ruthenium labeled folate binding protein, a folate complex is formed, the amount of which is dependent upon the analyte concentration in the sample.</w:t>
      </w:r>
    </w:p>
    <w:p w:rsidR="00B22825" w:rsidRDefault="0042783E" w:rsidP="00B22825">
      <w:pPr>
        <w:pStyle w:val="First-OrderHeading"/>
        <w:numPr>
          <w:ilvl w:val="0"/>
          <w:numId w:val="23"/>
        </w:numPr>
        <w:rPr>
          <w:rFonts w:ascii="Arial" w:hAnsi="Arial" w:cs="Arial"/>
          <w:b w:val="0"/>
          <w:caps w:val="0"/>
          <w:sz w:val="20"/>
        </w:rPr>
      </w:pPr>
      <w:r>
        <w:rPr>
          <w:rFonts w:ascii="Arial" w:hAnsi="Arial" w:cs="Arial"/>
          <w:b w:val="0"/>
          <w:caps w:val="0"/>
          <w:sz w:val="20"/>
        </w:rPr>
        <w:t>3</w:t>
      </w:r>
      <w:r>
        <w:rPr>
          <w:rFonts w:ascii="Arial" w:hAnsi="Arial" w:cs="Arial"/>
          <w:b w:val="0"/>
          <w:caps w:val="0"/>
          <w:sz w:val="20"/>
          <w:vertAlign w:val="superscript"/>
        </w:rPr>
        <w:t>rd</w:t>
      </w:r>
      <w:r>
        <w:rPr>
          <w:rFonts w:ascii="Arial" w:hAnsi="Arial" w:cs="Arial"/>
          <w:b w:val="0"/>
          <w:caps w:val="0"/>
          <w:sz w:val="20"/>
        </w:rPr>
        <w:t xml:space="preserve"> incubation: After addition of streptavidin-coated microparticles and folate labeled with biotin, the unbound sites of the ruthenium labeled folate binding protein become occupied, with formation of a ruthenium labeled folate binding protein-folate biotin complex.  The entire complex becomes bound to the solid phase via interaction of biotin and streptavidin.</w:t>
      </w:r>
    </w:p>
    <w:p w:rsidR="00ED303D" w:rsidRPr="00B22825" w:rsidRDefault="00ED303D" w:rsidP="00B22825">
      <w:pPr>
        <w:pStyle w:val="First-OrderHeading"/>
        <w:numPr>
          <w:ilvl w:val="0"/>
          <w:numId w:val="23"/>
        </w:numPr>
        <w:rPr>
          <w:rFonts w:ascii="Arial" w:hAnsi="Arial" w:cs="Arial"/>
          <w:b w:val="0"/>
          <w:caps w:val="0"/>
          <w:sz w:val="20"/>
        </w:rPr>
      </w:pPr>
      <w:r w:rsidRPr="00B22825">
        <w:rPr>
          <w:rFonts w:ascii="Arial" w:hAnsi="Arial" w:cs="Arial"/>
          <w:b w:val="0"/>
          <w:caps w:val="0"/>
          <w:sz w:val="20"/>
        </w:rPr>
        <w:t>The reaction mixture is aspirated into the measuring cell where the microparticles are magnetically captured onto the surface of the electrode.  Unbound substances are then removed with ProCell/ProCell M.  Application of a voltage to the electrode then induces chemiluminescent emission which is measured by a photomultiplier.</w:t>
      </w:r>
    </w:p>
    <w:p w:rsidR="00ED303D" w:rsidRDefault="00ED303D" w:rsidP="00ED303D">
      <w:pPr>
        <w:pStyle w:val="First-OrderHeading"/>
        <w:numPr>
          <w:ilvl w:val="0"/>
          <w:numId w:val="23"/>
        </w:numPr>
        <w:rPr>
          <w:rFonts w:ascii="Arial" w:hAnsi="Arial" w:cs="Arial"/>
          <w:b w:val="0"/>
          <w:caps w:val="0"/>
          <w:sz w:val="20"/>
        </w:rPr>
      </w:pPr>
      <w:r>
        <w:rPr>
          <w:rFonts w:ascii="Arial" w:hAnsi="Arial" w:cs="Arial"/>
          <w:b w:val="0"/>
          <w:caps w:val="0"/>
          <w:sz w:val="20"/>
        </w:rPr>
        <w:t xml:space="preserve">Results are determined via a calibration curve which is instrument-specifically generated by 2-point calibration and a master curve provided via the reagent barcode or e-barcode. </w:t>
      </w:r>
    </w:p>
    <w:p w:rsidR="00ED303D" w:rsidRPr="00A9284B" w:rsidRDefault="00ED303D" w:rsidP="00ED303D">
      <w:pPr>
        <w:pStyle w:val="First-OrderHeading"/>
        <w:numPr>
          <w:ilvl w:val="0"/>
          <w:numId w:val="21"/>
        </w:numPr>
        <w:tabs>
          <w:tab w:val="clear" w:pos="1080"/>
          <w:tab w:val="num" w:pos="0"/>
        </w:tabs>
        <w:ind w:left="0" w:firstLine="0"/>
        <w:rPr>
          <w:rFonts w:ascii="Arial" w:hAnsi="Arial" w:cs="Arial"/>
          <w:sz w:val="20"/>
        </w:rPr>
      </w:pPr>
      <w:r>
        <w:rPr>
          <w:rFonts w:ascii="Arial" w:hAnsi="Arial" w:cs="Arial"/>
          <w:sz w:val="20"/>
        </w:rPr>
        <w:t>SCOPE</w:t>
      </w:r>
    </w:p>
    <w:p w:rsidR="00B22825" w:rsidRPr="00B22825" w:rsidRDefault="0042783E" w:rsidP="0042783E">
      <w:pPr>
        <w:pStyle w:val="First-OrderHeading"/>
        <w:numPr>
          <w:ilvl w:val="0"/>
          <w:numId w:val="0"/>
        </w:numPr>
        <w:ind w:left="720"/>
        <w:rPr>
          <w:rFonts w:ascii="Arial" w:hAnsi="Arial" w:cs="Arial"/>
          <w:b w:val="0"/>
          <w:caps w:val="0"/>
          <w:sz w:val="20"/>
        </w:rPr>
      </w:pPr>
      <w:r>
        <w:rPr>
          <w:rFonts w:ascii="Arial" w:hAnsi="Arial" w:cs="Arial"/>
          <w:b w:val="0"/>
          <w:caps w:val="0"/>
          <w:sz w:val="20"/>
        </w:rPr>
        <w:t>Binding assay for the in vitro quantitative determination of folate in human serum</w:t>
      </w:r>
      <w:r w:rsidR="00AD25B2">
        <w:rPr>
          <w:rFonts w:ascii="Arial" w:hAnsi="Arial" w:cs="Arial"/>
          <w:b w:val="0"/>
          <w:caps w:val="0"/>
          <w:sz w:val="20"/>
        </w:rPr>
        <w:t>.</w:t>
      </w:r>
      <w:r>
        <w:rPr>
          <w:rFonts w:ascii="Arial" w:hAnsi="Arial" w:cs="Arial"/>
          <w:b w:val="0"/>
          <w:caps w:val="0"/>
          <w:sz w:val="20"/>
        </w:rPr>
        <w:t xml:space="preserve">  The binding assay is intended for use on Elecsys </w:t>
      </w:r>
      <w:r w:rsidR="00B22825">
        <w:rPr>
          <w:rFonts w:ascii="Arial" w:hAnsi="Arial" w:cs="Arial"/>
          <w:b w:val="0"/>
          <w:caps w:val="0"/>
          <w:sz w:val="20"/>
        </w:rPr>
        <w:t xml:space="preserve">and </w:t>
      </w:r>
      <w:r w:rsidR="00B22825">
        <w:rPr>
          <w:rFonts w:ascii="Arial" w:hAnsi="Arial" w:cs="Arial"/>
          <w:caps w:val="0"/>
          <w:sz w:val="20"/>
        </w:rPr>
        <w:t>cobas e</w:t>
      </w:r>
      <w:r w:rsidR="00B22825">
        <w:rPr>
          <w:rFonts w:ascii="Arial" w:hAnsi="Arial" w:cs="Arial"/>
          <w:b w:val="0"/>
          <w:caps w:val="0"/>
          <w:sz w:val="20"/>
        </w:rPr>
        <w:t xml:space="preserve"> immunoassay analyzers</w:t>
      </w:r>
      <w:r>
        <w:rPr>
          <w:rFonts w:ascii="Arial" w:hAnsi="Arial" w:cs="Arial"/>
          <w:b w:val="0"/>
          <w:caps w:val="0"/>
          <w:sz w:val="20"/>
        </w:rPr>
        <w:t>.  Folic acid measurements are used in the diagnosis and treatment of anemias.</w:t>
      </w:r>
    </w:p>
    <w:p w:rsidR="00ED303D" w:rsidRPr="00AD25B2" w:rsidRDefault="00ED303D" w:rsidP="00ED303D">
      <w:pPr>
        <w:pStyle w:val="First-OrderHeading"/>
        <w:numPr>
          <w:ilvl w:val="0"/>
          <w:numId w:val="21"/>
        </w:numPr>
        <w:tabs>
          <w:tab w:val="clear" w:pos="1080"/>
          <w:tab w:val="num" w:pos="0"/>
        </w:tabs>
        <w:ind w:left="0" w:firstLine="0"/>
        <w:rPr>
          <w:rFonts w:ascii="Arial" w:hAnsi="Arial" w:cs="Arial"/>
          <w:sz w:val="20"/>
        </w:rPr>
      </w:pPr>
      <w:r w:rsidRPr="00164355">
        <w:rPr>
          <w:rFonts w:ascii="Arial" w:hAnsi="Arial" w:cs="Arial"/>
          <w:sz w:val="20"/>
        </w:rPr>
        <w:lastRenderedPageBreak/>
        <w:t>RESPONSIBILITIES</w:t>
      </w: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310"/>
      </w:tblGrid>
      <w:tr w:rsidR="00ED303D" w:rsidRPr="0063785F" w:rsidTr="00DE6319">
        <w:tc>
          <w:tcPr>
            <w:tcW w:w="2808" w:type="dxa"/>
          </w:tcPr>
          <w:p w:rsidR="00ED303D" w:rsidRPr="0063785F" w:rsidRDefault="00ED303D" w:rsidP="00DE6319">
            <w:pPr>
              <w:rPr>
                <w:rFonts w:ascii="Arial" w:hAnsi="Arial" w:cs="Arial"/>
                <w:b/>
                <w:sz w:val="20"/>
                <w:szCs w:val="20"/>
              </w:rPr>
            </w:pPr>
            <w:r w:rsidRPr="0063785F">
              <w:rPr>
                <w:rFonts w:ascii="Arial" w:hAnsi="Arial" w:cs="Arial"/>
                <w:b/>
                <w:sz w:val="20"/>
                <w:szCs w:val="20"/>
              </w:rPr>
              <w:t>Roles</w:t>
            </w:r>
          </w:p>
        </w:tc>
        <w:tc>
          <w:tcPr>
            <w:tcW w:w="5310" w:type="dxa"/>
          </w:tcPr>
          <w:p w:rsidR="00ED303D" w:rsidRPr="0063785F" w:rsidRDefault="00ED303D" w:rsidP="00DE6319">
            <w:pPr>
              <w:rPr>
                <w:rFonts w:ascii="Arial" w:hAnsi="Arial" w:cs="Arial"/>
                <w:b/>
                <w:sz w:val="20"/>
                <w:szCs w:val="20"/>
              </w:rPr>
            </w:pPr>
            <w:r w:rsidRPr="0063785F">
              <w:rPr>
                <w:rFonts w:ascii="Arial" w:hAnsi="Arial" w:cs="Arial"/>
                <w:b/>
                <w:sz w:val="20"/>
                <w:szCs w:val="20"/>
              </w:rPr>
              <w:t>Responsibilities</w:t>
            </w:r>
          </w:p>
        </w:tc>
      </w:tr>
      <w:tr w:rsidR="00ED303D" w:rsidRPr="0063785F" w:rsidTr="00DE6319">
        <w:tc>
          <w:tcPr>
            <w:tcW w:w="2808" w:type="dxa"/>
          </w:tcPr>
          <w:p w:rsidR="00ED303D" w:rsidRPr="0063785F" w:rsidRDefault="00ED303D" w:rsidP="00DE6319">
            <w:pPr>
              <w:rPr>
                <w:rFonts w:ascii="Arial" w:hAnsi="Arial" w:cs="Arial"/>
                <w:sz w:val="20"/>
                <w:szCs w:val="20"/>
              </w:rPr>
            </w:pPr>
            <w:r w:rsidRPr="0063785F">
              <w:rPr>
                <w:rFonts w:ascii="Arial" w:hAnsi="Arial" w:cs="Arial"/>
                <w:sz w:val="20"/>
                <w:szCs w:val="20"/>
              </w:rPr>
              <w:t>Quality Assurance</w:t>
            </w:r>
          </w:p>
        </w:tc>
        <w:tc>
          <w:tcPr>
            <w:tcW w:w="5310" w:type="dxa"/>
          </w:tcPr>
          <w:p w:rsidR="00ED303D" w:rsidRPr="0063785F" w:rsidRDefault="00ED303D" w:rsidP="00DE6319">
            <w:pPr>
              <w:rPr>
                <w:rFonts w:ascii="Arial" w:hAnsi="Arial" w:cs="Arial"/>
                <w:sz w:val="20"/>
                <w:szCs w:val="20"/>
              </w:rPr>
            </w:pPr>
            <w:r w:rsidRPr="0063785F">
              <w:rPr>
                <w:rFonts w:ascii="Arial" w:hAnsi="Arial" w:cs="Arial"/>
                <w:sz w:val="20"/>
                <w:szCs w:val="20"/>
              </w:rPr>
              <w:t>Supports the process including provide leadership and/or assistance in support of the process.</w:t>
            </w:r>
          </w:p>
          <w:p w:rsidR="00ED303D" w:rsidRPr="0063785F" w:rsidRDefault="00ED303D" w:rsidP="00DE6319">
            <w:pPr>
              <w:rPr>
                <w:rFonts w:ascii="Arial" w:hAnsi="Arial" w:cs="Arial"/>
                <w:sz w:val="20"/>
                <w:szCs w:val="20"/>
              </w:rPr>
            </w:pPr>
            <w:r w:rsidRPr="0063785F">
              <w:rPr>
                <w:rFonts w:ascii="Arial" w:hAnsi="Arial" w:cs="Arial"/>
                <w:sz w:val="20"/>
                <w:szCs w:val="20"/>
              </w:rPr>
              <w:t xml:space="preserve">Review and approval of procedure </w:t>
            </w:r>
          </w:p>
        </w:tc>
      </w:tr>
      <w:tr w:rsidR="00ED303D" w:rsidRPr="0063785F" w:rsidTr="00DE6319">
        <w:tc>
          <w:tcPr>
            <w:tcW w:w="2808" w:type="dxa"/>
          </w:tcPr>
          <w:p w:rsidR="00ED303D" w:rsidRPr="0063785F" w:rsidRDefault="00ED303D" w:rsidP="00DE6319">
            <w:pPr>
              <w:rPr>
                <w:rFonts w:ascii="Arial" w:hAnsi="Arial" w:cs="Arial"/>
                <w:sz w:val="20"/>
                <w:szCs w:val="20"/>
              </w:rPr>
            </w:pPr>
            <w:r w:rsidRPr="0063785F">
              <w:rPr>
                <w:rFonts w:ascii="Arial" w:hAnsi="Arial" w:cs="Arial"/>
                <w:sz w:val="20"/>
                <w:szCs w:val="20"/>
              </w:rPr>
              <w:t>Medical Director</w:t>
            </w:r>
          </w:p>
        </w:tc>
        <w:tc>
          <w:tcPr>
            <w:tcW w:w="5310" w:type="dxa"/>
          </w:tcPr>
          <w:p w:rsidR="00ED303D" w:rsidRPr="0063785F" w:rsidRDefault="00ED303D" w:rsidP="00DE6319">
            <w:pPr>
              <w:rPr>
                <w:rFonts w:ascii="Arial" w:hAnsi="Arial" w:cs="Arial"/>
                <w:sz w:val="20"/>
                <w:szCs w:val="20"/>
              </w:rPr>
            </w:pPr>
            <w:r w:rsidRPr="0063785F">
              <w:rPr>
                <w:rFonts w:ascii="Arial" w:hAnsi="Arial" w:cs="Arial"/>
                <w:sz w:val="20"/>
                <w:szCs w:val="20"/>
              </w:rPr>
              <w:t>Supports the development of the document.</w:t>
            </w:r>
          </w:p>
          <w:p w:rsidR="00ED303D" w:rsidRPr="0063785F" w:rsidRDefault="00ED303D" w:rsidP="00DE6319">
            <w:pPr>
              <w:rPr>
                <w:rFonts w:ascii="Arial" w:hAnsi="Arial" w:cs="Arial"/>
                <w:sz w:val="20"/>
                <w:szCs w:val="20"/>
              </w:rPr>
            </w:pPr>
            <w:r w:rsidRPr="0063785F">
              <w:rPr>
                <w:rFonts w:ascii="Arial" w:hAnsi="Arial" w:cs="Arial"/>
                <w:sz w:val="20"/>
                <w:szCs w:val="20"/>
              </w:rPr>
              <w:t>Review and approval of the document.</w:t>
            </w:r>
          </w:p>
        </w:tc>
      </w:tr>
      <w:tr w:rsidR="00ED303D" w:rsidRPr="0063785F" w:rsidTr="00DE6319">
        <w:tc>
          <w:tcPr>
            <w:tcW w:w="2808" w:type="dxa"/>
          </w:tcPr>
          <w:p w:rsidR="00ED303D" w:rsidRPr="0063785F" w:rsidRDefault="00ED303D" w:rsidP="00DE6319">
            <w:pPr>
              <w:rPr>
                <w:rFonts w:ascii="Arial" w:hAnsi="Arial" w:cs="Arial"/>
                <w:sz w:val="20"/>
                <w:szCs w:val="20"/>
              </w:rPr>
            </w:pPr>
            <w:r w:rsidRPr="0063785F">
              <w:rPr>
                <w:rFonts w:ascii="Arial" w:hAnsi="Arial" w:cs="Arial"/>
                <w:sz w:val="20"/>
                <w:szCs w:val="20"/>
              </w:rPr>
              <w:t>Management</w:t>
            </w:r>
          </w:p>
        </w:tc>
        <w:tc>
          <w:tcPr>
            <w:tcW w:w="5310" w:type="dxa"/>
          </w:tcPr>
          <w:p w:rsidR="00ED303D" w:rsidRPr="0063785F" w:rsidRDefault="00ED303D" w:rsidP="00DE6319">
            <w:pPr>
              <w:rPr>
                <w:rFonts w:ascii="Arial" w:hAnsi="Arial" w:cs="Arial"/>
                <w:sz w:val="20"/>
                <w:szCs w:val="20"/>
              </w:rPr>
            </w:pPr>
            <w:r w:rsidRPr="0063785F">
              <w:rPr>
                <w:rFonts w:ascii="Arial" w:hAnsi="Arial" w:cs="Arial"/>
                <w:sz w:val="20"/>
                <w:szCs w:val="20"/>
              </w:rPr>
              <w:t>Review and approve the document.</w:t>
            </w:r>
          </w:p>
          <w:p w:rsidR="00ED303D" w:rsidRPr="0063785F" w:rsidRDefault="00ED303D" w:rsidP="00DE6319">
            <w:pPr>
              <w:rPr>
                <w:rFonts w:ascii="Arial" w:hAnsi="Arial" w:cs="Arial"/>
                <w:sz w:val="20"/>
                <w:szCs w:val="20"/>
              </w:rPr>
            </w:pPr>
            <w:r w:rsidRPr="0063785F">
              <w:rPr>
                <w:rFonts w:ascii="Arial" w:hAnsi="Arial" w:cs="Arial"/>
                <w:sz w:val="20"/>
                <w:szCs w:val="20"/>
              </w:rPr>
              <w:t>Ensure that procedure is followed.</w:t>
            </w:r>
          </w:p>
        </w:tc>
      </w:tr>
      <w:tr w:rsidR="00ED303D" w:rsidRPr="0063785F" w:rsidTr="00DE6319">
        <w:tc>
          <w:tcPr>
            <w:tcW w:w="2808" w:type="dxa"/>
          </w:tcPr>
          <w:p w:rsidR="00ED303D" w:rsidRPr="0063785F" w:rsidRDefault="00ED303D" w:rsidP="00DE6319">
            <w:pPr>
              <w:rPr>
                <w:rFonts w:ascii="Arial" w:hAnsi="Arial" w:cs="Arial"/>
                <w:sz w:val="20"/>
                <w:szCs w:val="20"/>
              </w:rPr>
            </w:pPr>
            <w:r w:rsidRPr="0063785F">
              <w:rPr>
                <w:rFonts w:ascii="Arial" w:hAnsi="Arial" w:cs="Arial"/>
                <w:sz w:val="20"/>
                <w:szCs w:val="20"/>
              </w:rPr>
              <w:t>Laboratory Technical staff</w:t>
            </w:r>
          </w:p>
        </w:tc>
        <w:tc>
          <w:tcPr>
            <w:tcW w:w="5310" w:type="dxa"/>
          </w:tcPr>
          <w:p w:rsidR="00ED303D" w:rsidRPr="0063785F" w:rsidRDefault="00ED303D" w:rsidP="00DE6319">
            <w:pPr>
              <w:rPr>
                <w:rFonts w:ascii="Arial" w:hAnsi="Arial" w:cs="Arial"/>
                <w:sz w:val="20"/>
                <w:szCs w:val="20"/>
              </w:rPr>
            </w:pPr>
            <w:r w:rsidRPr="0063785F">
              <w:rPr>
                <w:rFonts w:ascii="Arial" w:hAnsi="Arial" w:cs="Arial"/>
                <w:sz w:val="20"/>
                <w:szCs w:val="20"/>
              </w:rPr>
              <w:t>Follows procedure.</w:t>
            </w:r>
          </w:p>
        </w:tc>
      </w:tr>
    </w:tbl>
    <w:p w:rsidR="00ED303D" w:rsidRPr="00843DA9" w:rsidRDefault="00ED303D" w:rsidP="00ED303D">
      <w:pPr>
        <w:rPr>
          <w:rFonts w:ascii="Arial" w:hAnsi="Arial" w:cs="Arial"/>
          <w:sz w:val="20"/>
          <w:szCs w:val="20"/>
        </w:rPr>
      </w:pPr>
    </w:p>
    <w:p w:rsidR="00ED303D" w:rsidRPr="00862851" w:rsidRDefault="00ED303D" w:rsidP="00ED303D">
      <w:pPr>
        <w:pStyle w:val="Second-OrderHeading"/>
        <w:numPr>
          <w:ilvl w:val="0"/>
          <w:numId w:val="21"/>
        </w:numPr>
        <w:tabs>
          <w:tab w:val="clear" w:pos="1080"/>
          <w:tab w:val="num" w:pos="720"/>
        </w:tabs>
        <w:spacing w:before="240"/>
        <w:ind w:hanging="1080"/>
        <w:rPr>
          <w:rFonts w:ascii="Arial" w:hAnsi="Arial" w:cs="Arial"/>
          <w:b/>
          <w:sz w:val="20"/>
        </w:rPr>
      </w:pPr>
      <w:r>
        <w:rPr>
          <w:rFonts w:ascii="Arial" w:hAnsi="Arial" w:cs="Arial"/>
          <w:b/>
          <w:sz w:val="20"/>
        </w:rPr>
        <w:t>ACRONYMS/DEFINITIONS</w:t>
      </w:r>
    </w:p>
    <w:p w:rsidR="00ED303D" w:rsidRDefault="00ED303D" w:rsidP="00ED303D">
      <w:pPr>
        <w:pStyle w:val="Second-OrderHeading"/>
        <w:numPr>
          <w:ilvl w:val="0"/>
          <w:numId w:val="0"/>
        </w:numPr>
        <w:spacing w:after="0"/>
        <w:ind w:left="72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80"/>
      </w:tblGrid>
      <w:tr w:rsidR="00ED303D" w:rsidRPr="00CB5ABE" w:rsidTr="00DE6319">
        <w:trPr>
          <w:jc w:val="center"/>
        </w:trPr>
        <w:tc>
          <w:tcPr>
            <w:tcW w:w="1548" w:type="dxa"/>
          </w:tcPr>
          <w:p w:rsidR="00ED303D" w:rsidRPr="00CB5ABE" w:rsidRDefault="00ED303D" w:rsidP="00DE6319">
            <w:pPr>
              <w:rPr>
                <w:rFonts w:ascii="Arial" w:hAnsi="Arial" w:cs="Arial"/>
                <w:sz w:val="20"/>
                <w:szCs w:val="20"/>
              </w:rPr>
            </w:pPr>
            <w:r w:rsidRPr="00CB5ABE">
              <w:rPr>
                <w:rFonts w:ascii="Arial" w:hAnsi="Arial" w:cs="Arial"/>
                <w:sz w:val="20"/>
                <w:szCs w:val="20"/>
              </w:rPr>
              <w:t>URMC</w:t>
            </w:r>
          </w:p>
        </w:tc>
        <w:tc>
          <w:tcPr>
            <w:tcW w:w="5580" w:type="dxa"/>
          </w:tcPr>
          <w:p w:rsidR="00ED303D" w:rsidRPr="00CB5ABE" w:rsidRDefault="00ED303D" w:rsidP="00DE6319">
            <w:pPr>
              <w:rPr>
                <w:rFonts w:ascii="Arial" w:hAnsi="Arial" w:cs="Arial"/>
                <w:sz w:val="20"/>
                <w:szCs w:val="20"/>
              </w:rPr>
            </w:pPr>
            <w:r w:rsidRPr="00CB5ABE">
              <w:rPr>
                <w:rFonts w:ascii="Arial" w:hAnsi="Arial" w:cs="Arial"/>
                <w:sz w:val="20"/>
                <w:szCs w:val="20"/>
              </w:rPr>
              <w:t>University of Rochester Medical Center</w:t>
            </w:r>
          </w:p>
        </w:tc>
      </w:tr>
      <w:tr w:rsidR="00ED303D" w:rsidRPr="00CB5ABE" w:rsidTr="00DE6319">
        <w:trPr>
          <w:jc w:val="center"/>
        </w:trPr>
        <w:tc>
          <w:tcPr>
            <w:tcW w:w="1548" w:type="dxa"/>
          </w:tcPr>
          <w:p w:rsidR="00ED303D" w:rsidRPr="00CB5ABE" w:rsidRDefault="00ED303D" w:rsidP="00DE6319">
            <w:pPr>
              <w:rPr>
                <w:rFonts w:ascii="Arial" w:hAnsi="Arial" w:cs="Arial"/>
                <w:sz w:val="20"/>
                <w:szCs w:val="20"/>
              </w:rPr>
            </w:pPr>
            <w:r>
              <w:rPr>
                <w:rFonts w:ascii="Arial" w:hAnsi="Arial" w:cs="Arial"/>
                <w:sz w:val="20"/>
                <w:szCs w:val="20"/>
              </w:rPr>
              <w:t>VB12</w:t>
            </w:r>
          </w:p>
        </w:tc>
        <w:tc>
          <w:tcPr>
            <w:tcW w:w="5580" w:type="dxa"/>
          </w:tcPr>
          <w:p w:rsidR="00ED303D" w:rsidRPr="00B0633A" w:rsidRDefault="00ED303D" w:rsidP="00DE6319">
            <w:pPr>
              <w:rPr>
                <w:rFonts w:ascii="Arial" w:hAnsi="Arial" w:cs="Arial"/>
                <w:sz w:val="20"/>
                <w:szCs w:val="20"/>
                <w:vertAlign w:val="subscript"/>
              </w:rPr>
            </w:pPr>
            <w:r>
              <w:rPr>
                <w:rFonts w:ascii="Arial" w:hAnsi="Arial" w:cs="Arial"/>
                <w:sz w:val="20"/>
                <w:szCs w:val="20"/>
              </w:rPr>
              <w:t>Vitamin B</w:t>
            </w:r>
            <w:r>
              <w:rPr>
                <w:rFonts w:ascii="Arial" w:hAnsi="Arial" w:cs="Arial"/>
                <w:sz w:val="20"/>
                <w:szCs w:val="20"/>
                <w:vertAlign w:val="subscript"/>
              </w:rPr>
              <w:t>12</w:t>
            </w:r>
          </w:p>
        </w:tc>
      </w:tr>
      <w:tr w:rsidR="00ED303D" w:rsidRPr="00CB5ABE" w:rsidTr="00DE6319">
        <w:trPr>
          <w:jc w:val="center"/>
        </w:trPr>
        <w:tc>
          <w:tcPr>
            <w:tcW w:w="1548" w:type="dxa"/>
          </w:tcPr>
          <w:p w:rsidR="00ED303D" w:rsidRPr="00CB5ABE" w:rsidRDefault="00ED303D" w:rsidP="00DE6319">
            <w:pPr>
              <w:rPr>
                <w:rFonts w:ascii="Arial" w:hAnsi="Arial" w:cs="Arial"/>
                <w:sz w:val="20"/>
                <w:szCs w:val="20"/>
              </w:rPr>
            </w:pPr>
            <w:r>
              <w:rPr>
                <w:rFonts w:ascii="Arial" w:hAnsi="Arial" w:cs="Arial"/>
                <w:sz w:val="20"/>
                <w:szCs w:val="20"/>
              </w:rPr>
              <w:t>SW</w:t>
            </w:r>
          </w:p>
        </w:tc>
        <w:tc>
          <w:tcPr>
            <w:tcW w:w="5580" w:type="dxa"/>
          </w:tcPr>
          <w:p w:rsidR="00ED303D" w:rsidRPr="00CB5ABE" w:rsidRDefault="00ED303D" w:rsidP="00DE6319">
            <w:pPr>
              <w:rPr>
                <w:rFonts w:ascii="Arial" w:hAnsi="Arial" w:cs="Arial"/>
                <w:sz w:val="20"/>
                <w:szCs w:val="20"/>
              </w:rPr>
            </w:pPr>
            <w:r>
              <w:rPr>
                <w:rFonts w:ascii="Arial" w:hAnsi="Arial" w:cs="Arial"/>
                <w:sz w:val="20"/>
                <w:szCs w:val="20"/>
              </w:rPr>
              <w:t>Strong West</w:t>
            </w:r>
          </w:p>
        </w:tc>
      </w:tr>
      <w:tr w:rsidR="00ED303D" w:rsidRPr="00CB5ABE" w:rsidTr="00DE6319">
        <w:trPr>
          <w:jc w:val="center"/>
        </w:trPr>
        <w:tc>
          <w:tcPr>
            <w:tcW w:w="1548" w:type="dxa"/>
          </w:tcPr>
          <w:p w:rsidR="00ED303D" w:rsidRPr="00CB5ABE" w:rsidRDefault="00ED303D" w:rsidP="00DE6319">
            <w:pPr>
              <w:rPr>
                <w:rFonts w:ascii="Arial" w:hAnsi="Arial" w:cs="Arial"/>
                <w:sz w:val="20"/>
                <w:szCs w:val="20"/>
              </w:rPr>
            </w:pPr>
            <w:r w:rsidRPr="00CB5ABE">
              <w:rPr>
                <w:rFonts w:ascii="Arial" w:hAnsi="Arial" w:cs="Arial"/>
                <w:sz w:val="20"/>
                <w:szCs w:val="20"/>
              </w:rPr>
              <w:t>RR</w:t>
            </w:r>
          </w:p>
        </w:tc>
        <w:tc>
          <w:tcPr>
            <w:tcW w:w="5580" w:type="dxa"/>
          </w:tcPr>
          <w:p w:rsidR="00ED303D" w:rsidRPr="00CB5ABE" w:rsidRDefault="00ED303D" w:rsidP="00DE6319">
            <w:pPr>
              <w:rPr>
                <w:rFonts w:ascii="Arial" w:hAnsi="Arial" w:cs="Arial"/>
                <w:sz w:val="20"/>
                <w:szCs w:val="20"/>
              </w:rPr>
            </w:pPr>
            <w:r w:rsidRPr="00CB5ABE">
              <w:rPr>
                <w:rFonts w:ascii="Arial" w:hAnsi="Arial" w:cs="Arial"/>
                <w:sz w:val="20"/>
                <w:szCs w:val="20"/>
              </w:rPr>
              <w:t>Ridgeland Road Laboratory</w:t>
            </w:r>
          </w:p>
        </w:tc>
      </w:tr>
      <w:tr w:rsidR="00ED303D" w:rsidRPr="00CB5ABE" w:rsidTr="00DE6319">
        <w:trPr>
          <w:jc w:val="center"/>
        </w:trPr>
        <w:tc>
          <w:tcPr>
            <w:tcW w:w="1548" w:type="dxa"/>
          </w:tcPr>
          <w:p w:rsidR="00ED303D" w:rsidRPr="00CB5ABE" w:rsidRDefault="00ED303D" w:rsidP="00DE6319">
            <w:pPr>
              <w:rPr>
                <w:rFonts w:ascii="Arial" w:hAnsi="Arial" w:cs="Arial"/>
                <w:sz w:val="20"/>
                <w:szCs w:val="20"/>
              </w:rPr>
            </w:pPr>
            <w:r w:rsidRPr="00CB5ABE">
              <w:rPr>
                <w:rFonts w:ascii="Arial" w:hAnsi="Arial" w:cs="Arial"/>
                <w:sz w:val="20"/>
                <w:szCs w:val="20"/>
              </w:rPr>
              <w:t>SMH</w:t>
            </w:r>
          </w:p>
        </w:tc>
        <w:tc>
          <w:tcPr>
            <w:tcW w:w="5580" w:type="dxa"/>
          </w:tcPr>
          <w:p w:rsidR="00ED303D" w:rsidRPr="00CB5ABE" w:rsidRDefault="00ED303D" w:rsidP="00DE6319">
            <w:pPr>
              <w:rPr>
                <w:rFonts w:ascii="Arial" w:hAnsi="Arial" w:cs="Arial"/>
                <w:sz w:val="20"/>
                <w:szCs w:val="20"/>
              </w:rPr>
            </w:pPr>
            <w:r w:rsidRPr="00CB5ABE">
              <w:rPr>
                <w:rFonts w:ascii="Arial" w:hAnsi="Arial" w:cs="Arial"/>
                <w:sz w:val="20"/>
                <w:szCs w:val="20"/>
              </w:rPr>
              <w:t>Strong Memorial Hospital</w:t>
            </w:r>
          </w:p>
        </w:tc>
      </w:tr>
    </w:tbl>
    <w:p w:rsidR="00ED303D" w:rsidRDefault="00ED303D" w:rsidP="00ED303D">
      <w:pPr>
        <w:pStyle w:val="Second-OrderHeading"/>
        <w:numPr>
          <w:ilvl w:val="0"/>
          <w:numId w:val="21"/>
        </w:numPr>
        <w:tabs>
          <w:tab w:val="clear" w:pos="1080"/>
          <w:tab w:val="num" w:pos="720"/>
        </w:tabs>
        <w:spacing w:before="240"/>
        <w:ind w:hanging="1080"/>
        <w:rPr>
          <w:rFonts w:ascii="Arial" w:hAnsi="Arial" w:cs="Arial"/>
          <w:b/>
          <w:sz w:val="20"/>
        </w:rPr>
      </w:pPr>
      <w:r w:rsidRPr="007C1D50">
        <w:rPr>
          <w:rFonts w:ascii="Arial" w:hAnsi="Arial" w:cs="Arial"/>
          <w:b/>
          <w:sz w:val="20"/>
        </w:rPr>
        <w:t>SPECIMENS</w:t>
      </w:r>
    </w:p>
    <w:p w:rsidR="00ED303D" w:rsidRDefault="00ED303D" w:rsidP="00ED303D">
      <w:pPr>
        <w:pStyle w:val="Second-OrderHeading"/>
        <w:numPr>
          <w:ilvl w:val="0"/>
          <w:numId w:val="0"/>
        </w:numPr>
        <w:spacing w:before="240"/>
        <w:ind w:left="720"/>
        <w:rPr>
          <w:rFonts w:ascii="Arial" w:hAnsi="Arial" w:cs="Arial"/>
          <w:sz w:val="20"/>
        </w:rPr>
      </w:pPr>
      <w:r>
        <w:rPr>
          <w:rFonts w:ascii="Arial" w:hAnsi="Arial" w:cs="Arial"/>
          <w:sz w:val="20"/>
        </w:rPr>
        <w:t xml:space="preserve">For specimen collection and preparation only use suitable tubes or collection containers. </w:t>
      </w:r>
      <w:r>
        <w:rPr>
          <w:rFonts w:ascii="Arial" w:hAnsi="Arial" w:cs="Arial"/>
          <w:sz w:val="20"/>
        </w:rPr>
        <w:tab/>
        <w:t xml:space="preserve"> Only the specimens listed below were tested and found acceptable.  </w:t>
      </w:r>
    </w:p>
    <w:p w:rsidR="00ED303D" w:rsidRDefault="001313DB" w:rsidP="00ED303D">
      <w:pPr>
        <w:pStyle w:val="Second-OrderHeading"/>
        <w:numPr>
          <w:ilvl w:val="0"/>
          <w:numId w:val="0"/>
        </w:numPr>
        <w:spacing w:before="240"/>
        <w:ind w:firstLine="720"/>
        <w:rPr>
          <w:rFonts w:ascii="Arial" w:hAnsi="Arial" w:cs="Arial"/>
          <w:sz w:val="20"/>
        </w:rPr>
      </w:pPr>
      <w:r>
        <w:rPr>
          <w:rFonts w:ascii="Arial" w:hAnsi="Arial" w:cs="Arial"/>
          <w:sz w:val="20"/>
        </w:rPr>
        <w:t>S</w:t>
      </w:r>
      <w:r w:rsidR="00ED303D">
        <w:rPr>
          <w:rFonts w:ascii="Arial" w:hAnsi="Arial" w:cs="Arial"/>
          <w:sz w:val="20"/>
        </w:rPr>
        <w:t>erum</w:t>
      </w:r>
      <w:r w:rsidR="00B22825">
        <w:rPr>
          <w:rFonts w:ascii="Arial" w:hAnsi="Arial" w:cs="Arial"/>
          <w:sz w:val="20"/>
        </w:rPr>
        <w:t xml:space="preserve"> collected using standard sampling tubes or tubes containing separating gel.</w:t>
      </w:r>
    </w:p>
    <w:p w:rsidR="00B22825" w:rsidRDefault="00E378D8" w:rsidP="00ED303D">
      <w:pPr>
        <w:pStyle w:val="Second-OrderHeading"/>
        <w:numPr>
          <w:ilvl w:val="0"/>
          <w:numId w:val="0"/>
        </w:numPr>
        <w:spacing w:before="240"/>
        <w:ind w:left="720"/>
        <w:rPr>
          <w:rFonts w:ascii="Arial" w:hAnsi="Arial" w:cs="Arial"/>
          <w:sz w:val="20"/>
        </w:rPr>
      </w:pPr>
      <w:r>
        <w:rPr>
          <w:rFonts w:ascii="Arial" w:hAnsi="Arial" w:cs="Arial"/>
          <w:b/>
          <w:sz w:val="20"/>
        </w:rPr>
        <w:t xml:space="preserve">NOTE: Hemolysis may significantly increase folate values due to high concentrations of folate in red blood cells.  Therefore, hemolyzed samples are not suitable for use in this assay.  Samples for folate determinations should be collected from fasting persons.  </w:t>
      </w:r>
    </w:p>
    <w:p w:rsidR="00F428E5" w:rsidRDefault="00F428E5" w:rsidP="00F428E5">
      <w:pPr>
        <w:pStyle w:val="Second-OrderHeading"/>
        <w:numPr>
          <w:ilvl w:val="0"/>
          <w:numId w:val="0"/>
        </w:numPr>
        <w:spacing w:before="240"/>
        <w:ind w:left="720"/>
        <w:rPr>
          <w:rFonts w:ascii="Arial" w:hAnsi="Arial" w:cs="Arial"/>
          <w:sz w:val="20"/>
        </w:rPr>
      </w:pPr>
      <w:r>
        <w:rPr>
          <w:rFonts w:ascii="Arial" w:hAnsi="Arial" w:cs="Arial"/>
          <w:sz w:val="20"/>
        </w:rPr>
        <w:t>Serum: Stable for 2 hours at 15-25</w:t>
      </w:r>
      <w:r>
        <w:rPr>
          <w:rFonts w:ascii="Calibri" w:hAnsi="Calibri" w:cs="Arial"/>
          <w:sz w:val="20"/>
        </w:rPr>
        <w:t>°</w:t>
      </w:r>
      <w:r>
        <w:rPr>
          <w:rFonts w:ascii="Arial" w:hAnsi="Arial" w:cs="Arial"/>
          <w:sz w:val="20"/>
        </w:rPr>
        <w:t>C, 2 days at 2-8</w:t>
      </w:r>
      <w:r>
        <w:rPr>
          <w:rFonts w:ascii="Calibri" w:hAnsi="Calibri" w:cs="Arial"/>
          <w:sz w:val="20"/>
        </w:rPr>
        <w:t>°</w:t>
      </w:r>
      <w:r>
        <w:rPr>
          <w:rFonts w:ascii="Arial" w:hAnsi="Arial" w:cs="Arial"/>
          <w:sz w:val="20"/>
        </w:rPr>
        <w:t>C, 4 weeks at (-15)-(-25)</w:t>
      </w:r>
      <w:r>
        <w:rPr>
          <w:rFonts w:ascii="Calibri" w:hAnsi="Calibri" w:cs="Arial"/>
          <w:sz w:val="20"/>
        </w:rPr>
        <w:t>°</w:t>
      </w:r>
      <w:r>
        <w:rPr>
          <w:rFonts w:ascii="Arial" w:hAnsi="Arial" w:cs="Arial"/>
          <w:sz w:val="20"/>
        </w:rPr>
        <w:t>C.  Freeze only once.  Protect from light.  Store the samples at 2-8</w:t>
      </w:r>
      <w:r>
        <w:rPr>
          <w:rFonts w:ascii="Calibri" w:hAnsi="Calibri" w:cs="Arial"/>
          <w:sz w:val="20"/>
        </w:rPr>
        <w:t>°</w:t>
      </w:r>
      <w:r>
        <w:rPr>
          <w:rFonts w:ascii="Arial" w:hAnsi="Arial" w:cs="Arial"/>
          <w:sz w:val="20"/>
        </w:rPr>
        <w:t>C if they cannot be measured immediately.</w:t>
      </w:r>
    </w:p>
    <w:p w:rsidR="0057754F" w:rsidRDefault="0057754F" w:rsidP="00ED303D">
      <w:pPr>
        <w:pStyle w:val="Second-OrderHeading"/>
        <w:numPr>
          <w:ilvl w:val="0"/>
          <w:numId w:val="0"/>
        </w:numPr>
        <w:spacing w:before="240"/>
        <w:ind w:left="720"/>
        <w:rPr>
          <w:rFonts w:ascii="Arial" w:hAnsi="Arial" w:cs="Arial"/>
          <w:sz w:val="20"/>
        </w:rPr>
      </w:pPr>
      <w:r>
        <w:rPr>
          <w:rFonts w:ascii="Arial" w:hAnsi="Arial" w:cs="Arial"/>
          <w:sz w:val="20"/>
        </w:rPr>
        <w:t>Samples should not subsequently be altered with additives (biocides, anti-oxidants, or substances possibly changing the pH of the sample) in order to avoid erroneous folate recovery.</w:t>
      </w:r>
    </w:p>
    <w:p w:rsidR="00ED303D" w:rsidRDefault="00ED303D" w:rsidP="00ED303D">
      <w:pPr>
        <w:pStyle w:val="Second-OrderHeading"/>
        <w:numPr>
          <w:ilvl w:val="0"/>
          <w:numId w:val="0"/>
        </w:numPr>
        <w:spacing w:before="240"/>
        <w:ind w:left="720"/>
        <w:rPr>
          <w:rFonts w:ascii="Arial" w:hAnsi="Arial" w:cs="Arial"/>
          <w:sz w:val="20"/>
        </w:rPr>
      </w:pPr>
      <w:r>
        <w:rPr>
          <w:rFonts w:ascii="Arial" w:hAnsi="Arial" w:cs="Arial"/>
          <w:sz w:val="20"/>
        </w:rPr>
        <w:t xml:space="preserve">Centrifuge samples containing precipitates before performing the assy.  Do not use heat-inactivated samples.  </w:t>
      </w:r>
    </w:p>
    <w:p w:rsidR="00ED303D" w:rsidRDefault="00ED303D" w:rsidP="00ED303D">
      <w:pPr>
        <w:pStyle w:val="Second-OrderHeading"/>
        <w:numPr>
          <w:ilvl w:val="0"/>
          <w:numId w:val="0"/>
        </w:numPr>
        <w:spacing w:before="240"/>
        <w:ind w:left="720"/>
        <w:rPr>
          <w:rFonts w:ascii="Arial" w:hAnsi="Arial" w:cs="Arial"/>
          <w:sz w:val="20"/>
        </w:rPr>
      </w:pPr>
      <w:r>
        <w:rPr>
          <w:rFonts w:ascii="Arial" w:hAnsi="Arial" w:cs="Arial"/>
          <w:sz w:val="20"/>
        </w:rPr>
        <w:t>Ensure the samples, calibrators, and controls are at 20-25</w:t>
      </w:r>
      <w:r>
        <w:rPr>
          <w:rFonts w:ascii="Calibri" w:hAnsi="Calibri" w:cs="Arial"/>
          <w:sz w:val="20"/>
        </w:rPr>
        <w:t>°</w:t>
      </w:r>
      <w:r>
        <w:rPr>
          <w:rFonts w:ascii="Arial" w:hAnsi="Arial" w:cs="Arial"/>
          <w:sz w:val="20"/>
        </w:rPr>
        <w:t>C prior to measurement.  Due to possible evaporation effects, samples, calibrators, and controls on the analyzers should be analyzed/measured within 2 hours.</w:t>
      </w:r>
    </w:p>
    <w:p w:rsidR="00F428E5" w:rsidRDefault="00F428E5" w:rsidP="00ED303D">
      <w:pPr>
        <w:pStyle w:val="Second-OrderHeading"/>
        <w:numPr>
          <w:ilvl w:val="0"/>
          <w:numId w:val="0"/>
        </w:numPr>
        <w:spacing w:before="240"/>
        <w:ind w:left="720"/>
        <w:rPr>
          <w:rFonts w:ascii="Arial" w:hAnsi="Arial" w:cs="Arial"/>
          <w:sz w:val="20"/>
        </w:rPr>
      </w:pPr>
      <w:r>
        <w:rPr>
          <w:rFonts w:ascii="Arial" w:hAnsi="Arial" w:cs="Arial"/>
          <w:sz w:val="20"/>
        </w:rPr>
        <w:t xml:space="preserve">Due to possible evaporation effects, samples, calibrators and controls on the analyzers should be analyzed/measured within 2 hours.  </w:t>
      </w:r>
    </w:p>
    <w:p w:rsidR="0057754F" w:rsidRDefault="00ED303D" w:rsidP="0057754F">
      <w:pPr>
        <w:pStyle w:val="Second-OrderHeading"/>
        <w:numPr>
          <w:ilvl w:val="0"/>
          <w:numId w:val="0"/>
        </w:numPr>
        <w:spacing w:before="240"/>
        <w:ind w:firstLine="720"/>
        <w:rPr>
          <w:rFonts w:ascii="Arial" w:hAnsi="Arial" w:cs="Arial"/>
          <w:sz w:val="20"/>
        </w:rPr>
      </w:pPr>
      <w:r>
        <w:rPr>
          <w:rFonts w:ascii="Arial" w:hAnsi="Arial" w:cs="Arial"/>
          <w:sz w:val="20"/>
        </w:rPr>
        <w:t xml:space="preserve">Refer to SW.CP.GL.jad.0101 for sample stability. </w:t>
      </w:r>
    </w:p>
    <w:p w:rsidR="0057754F" w:rsidRDefault="00ED303D" w:rsidP="0057754F">
      <w:pPr>
        <w:pStyle w:val="Second-OrderHeading"/>
        <w:numPr>
          <w:ilvl w:val="0"/>
          <w:numId w:val="0"/>
        </w:numPr>
        <w:spacing w:before="240"/>
        <w:ind w:firstLine="720"/>
        <w:rPr>
          <w:rFonts w:ascii="Arial" w:hAnsi="Arial" w:cs="Arial"/>
          <w:sz w:val="20"/>
        </w:rPr>
      </w:pPr>
      <w:r>
        <w:rPr>
          <w:rFonts w:ascii="Arial" w:hAnsi="Arial" w:cs="Arial"/>
          <w:sz w:val="20"/>
        </w:rPr>
        <w:t xml:space="preserve"> </w:t>
      </w:r>
    </w:p>
    <w:p w:rsidR="00ED303D" w:rsidRDefault="00ED303D" w:rsidP="00ED303D">
      <w:pPr>
        <w:pStyle w:val="Second-OrderHeading"/>
        <w:numPr>
          <w:ilvl w:val="0"/>
          <w:numId w:val="21"/>
        </w:numPr>
        <w:tabs>
          <w:tab w:val="clear" w:pos="1080"/>
          <w:tab w:val="num" w:pos="720"/>
        </w:tabs>
        <w:ind w:hanging="1080"/>
        <w:rPr>
          <w:rFonts w:ascii="Arial" w:hAnsi="Arial" w:cs="Arial"/>
          <w:b/>
          <w:sz w:val="20"/>
        </w:rPr>
      </w:pPr>
      <w:r w:rsidRPr="007C1D50">
        <w:rPr>
          <w:rFonts w:ascii="Arial" w:hAnsi="Arial" w:cs="Arial"/>
          <w:b/>
          <w:sz w:val="20"/>
        </w:rPr>
        <w:lastRenderedPageBreak/>
        <w:t>QUALITY CONTROL</w:t>
      </w:r>
    </w:p>
    <w:p w:rsidR="00ED303D" w:rsidRDefault="00ED303D" w:rsidP="00ED303D">
      <w:pPr>
        <w:pStyle w:val="Second-OrderHeading"/>
        <w:numPr>
          <w:ilvl w:val="0"/>
          <w:numId w:val="0"/>
        </w:numPr>
        <w:ind w:left="720"/>
        <w:rPr>
          <w:rFonts w:ascii="Arial" w:hAnsi="Arial" w:cs="Arial"/>
          <w:sz w:val="20"/>
        </w:rPr>
      </w:pPr>
      <w:r>
        <w:rPr>
          <w:rFonts w:ascii="Arial" w:hAnsi="Arial" w:cs="Arial"/>
          <w:sz w:val="20"/>
        </w:rPr>
        <w:t>Analyze quality control materials as indicated on the Roche e411 analyzer set up form SW.CP.GL.frm.0102</w:t>
      </w:r>
    </w:p>
    <w:p w:rsidR="00ED303D" w:rsidRDefault="00ED303D" w:rsidP="00ED303D">
      <w:pPr>
        <w:pStyle w:val="Second-OrderHeading"/>
        <w:numPr>
          <w:ilvl w:val="0"/>
          <w:numId w:val="21"/>
        </w:numPr>
        <w:tabs>
          <w:tab w:val="clear" w:pos="1080"/>
          <w:tab w:val="num" w:pos="720"/>
        </w:tabs>
        <w:ind w:hanging="1080"/>
        <w:rPr>
          <w:rFonts w:ascii="Arial" w:hAnsi="Arial" w:cs="Arial"/>
          <w:b/>
          <w:sz w:val="20"/>
        </w:rPr>
      </w:pPr>
      <w:r w:rsidRPr="007C1D50">
        <w:rPr>
          <w:rFonts w:ascii="Arial" w:hAnsi="Arial" w:cs="Arial"/>
          <w:b/>
          <w:sz w:val="20"/>
        </w:rPr>
        <w:t xml:space="preserve">SPECIAL SAFETY PRECAUTIONS </w:t>
      </w:r>
    </w:p>
    <w:p w:rsidR="00ED303D" w:rsidRDefault="00ED303D" w:rsidP="00ED303D">
      <w:pPr>
        <w:pStyle w:val="NoSpacing"/>
        <w:ind w:left="720"/>
        <w:rPr>
          <w:rFonts w:ascii="Arial" w:hAnsi="Arial" w:cs="Arial"/>
          <w:sz w:val="20"/>
          <w:szCs w:val="20"/>
        </w:rPr>
      </w:pPr>
      <w:r w:rsidRPr="003B030D">
        <w:rPr>
          <w:rFonts w:ascii="Arial" w:hAnsi="Arial" w:cs="Arial"/>
          <w:sz w:val="20"/>
          <w:szCs w:val="20"/>
        </w:rPr>
        <w:t>Exercise the normal precautions required for handling all laboratory reagents and biohazardous patient samples.  Refer to Safety data sheets. Disposal of all waste material should be in accordance with local guidelines.  Refer to Safety procedure SW.CP.GL.adm.0005</w:t>
      </w:r>
    </w:p>
    <w:p w:rsidR="005B6878" w:rsidRPr="003B030D" w:rsidRDefault="005B6878" w:rsidP="00ED303D">
      <w:pPr>
        <w:pStyle w:val="NoSpacing"/>
        <w:ind w:left="720"/>
        <w:rPr>
          <w:rFonts w:ascii="Arial" w:hAnsi="Arial" w:cs="Arial"/>
          <w:sz w:val="20"/>
          <w:szCs w:val="20"/>
        </w:rPr>
      </w:pPr>
    </w:p>
    <w:p w:rsidR="00ED303D" w:rsidRPr="00E97BA6" w:rsidRDefault="00ED303D" w:rsidP="00ED303D">
      <w:pPr>
        <w:autoSpaceDE w:val="0"/>
        <w:autoSpaceDN w:val="0"/>
        <w:adjustRightInd w:val="0"/>
        <w:spacing w:after="240"/>
        <w:ind w:left="720" w:hanging="720"/>
        <w:jc w:val="both"/>
        <w:rPr>
          <w:rFonts w:ascii="Arial" w:hAnsi="Arial" w:cs="Arial"/>
          <w:bCs/>
          <w:color w:val="000000"/>
          <w:sz w:val="20"/>
          <w:szCs w:val="20"/>
        </w:rPr>
      </w:pPr>
      <w:r w:rsidRPr="007C1D50">
        <w:rPr>
          <w:rFonts w:ascii="Arial" w:hAnsi="Arial" w:cs="Arial"/>
          <w:b/>
          <w:bCs/>
          <w:color w:val="000000"/>
          <w:sz w:val="20"/>
          <w:szCs w:val="20"/>
        </w:rPr>
        <w:t>VII</w:t>
      </w:r>
      <w:r>
        <w:rPr>
          <w:rFonts w:ascii="Arial" w:hAnsi="Arial" w:cs="Arial"/>
          <w:b/>
          <w:bCs/>
          <w:color w:val="000000"/>
          <w:sz w:val="20"/>
          <w:szCs w:val="20"/>
        </w:rPr>
        <w:t>I</w:t>
      </w:r>
      <w:r w:rsidRPr="007C1D50">
        <w:rPr>
          <w:rFonts w:ascii="Arial" w:hAnsi="Arial" w:cs="Arial"/>
          <w:b/>
          <w:bCs/>
          <w:color w:val="000000"/>
          <w:sz w:val="20"/>
          <w:szCs w:val="20"/>
        </w:rPr>
        <w:t>.</w:t>
      </w:r>
      <w:r w:rsidRPr="007C1D50">
        <w:rPr>
          <w:rFonts w:ascii="Arial" w:hAnsi="Arial" w:cs="Arial"/>
          <w:b/>
          <w:bCs/>
          <w:color w:val="000000"/>
          <w:sz w:val="20"/>
          <w:szCs w:val="20"/>
        </w:rPr>
        <w:tab/>
        <w:t xml:space="preserve">MATERIALS </w:t>
      </w:r>
    </w:p>
    <w:p w:rsidR="00ED303D" w:rsidRPr="007C1D50" w:rsidRDefault="00ED303D" w:rsidP="00ED303D">
      <w:pPr>
        <w:autoSpaceDE w:val="0"/>
        <w:autoSpaceDN w:val="0"/>
        <w:adjustRightInd w:val="0"/>
        <w:spacing w:after="240"/>
        <w:ind w:left="720"/>
        <w:jc w:val="both"/>
        <w:rPr>
          <w:rFonts w:ascii="Arial" w:hAnsi="Arial" w:cs="Arial"/>
          <w:b/>
          <w:bCs/>
          <w:color w:val="000000"/>
          <w:sz w:val="20"/>
          <w:szCs w:val="20"/>
        </w:rPr>
      </w:pPr>
      <w:r w:rsidRPr="001C17C2">
        <w:rPr>
          <w:rFonts w:ascii="Arial" w:hAnsi="Arial" w:cs="Arial"/>
          <w:b/>
          <w:bCs/>
          <w:color w:val="000000"/>
          <w:sz w:val="20"/>
          <w:szCs w:val="20"/>
        </w:rPr>
        <w:t xml:space="preserve"> </w:t>
      </w:r>
      <w:r w:rsidRPr="007C1D50">
        <w:rPr>
          <w:rFonts w:ascii="Arial" w:hAnsi="Arial" w:cs="Arial"/>
          <w:b/>
          <w:bCs/>
          <w:color w:val="000000"/>
          <w:sz w:val="20"/>
          <w:szCs w:val="20"/>
        </w:rPr>
        <w:t>A.</w:t>
      </w:r>
      <w:r w:rsidRPr="007C1D50">
        <w:rPr>
          <w:rFonts w:ascii="Arial" w:hAnsi="Arial" w:cs="Arial"/>
          <w:b/>
          <w:bCs/>
          <w:color w:val="000000"/>
          <w:sz w:val="20"/>
          <w:szCs w:val="20"/>
        </w:rPr>
        <w:tab/>
        <w:t xml:space="preserve">Equipment </w:t>
      </w:r>
    </w:p>
    <w:p w:rsidR="00ED303D" w:rsidRDefault="00ED303D" w:rsidP="00ED303D">
      <w:pPr>
        <w:autoSpaceDE w:val="0"/>
        <w:autoSpaceDN w:val="0"/>
        <w:adjustRightInd w:val="0"/>
        <w:spacing w:after="120"/>
        <w:ind w:left="720"/>
        <w:jc w:val="both"/>
        <w:rPr>
          <w:rFonts w:ascii="Arial" w:hAnsi="Arial" w:cs="Arial"/>
          <w:bCs/>
          <w:color w:val="000000"/>
          <w:sz w:val="20"/>
          <w:szCs w:val="20"/>
        </w:rPr>
      </w:pPr>
      <w:r>
        <w:rPr>
          <w:rFonts w:ascii="Arial" w:hAnsi="Arial" w:cs="Arial"/>
          <w:b/>
          <w:bCs/>
          <w:color w:val="000000"/>
          <w:sz w:val="20"/>
          <w:szCs w:val="20"/>
        </w:rPr>
        <w:tab/>
      </w:r>
      <w:r>
        <w:rPr>
          <w:rFonts w:ascii="Arial" w:hAnsi="Arial" w:cs="Arial"/>
          <w:bCs/>
          <w:color w:val="000000"/>
          <w:sz w:val="20"/>
          <w:szCs w:val="20"/>
        </w:rPr>
        <w:t>Roche cobas e 411 analyzer</w:t>
      </w:r>
    </w:p>
    <w:p w:rsidR="00ED303D" w:rsidRDefault="00ED303D" w:rsidP="00ED303D">
      <w:pPr>
        <w:autoSpaceDE w:val="0"/>
        <w:autoSpaceDN w:val="0"/>
        <w:adjustRightInd w:val="0"/>
        <w:spacing w:after="120"/>
        <w:ind w:left="720"/>
        <w:jc w:val="both"/>
        <w:rPr>
          <w:rFonts w:ascii="Arial" w:hAnsi="Arial" w:cs="Arial"/>
          <w:bCs/>
          <w:color w:val="000000"/>
          <w:sz w:val="20"/>
          <w:szCs w:val="20"/>
        </w:rPr>
      </w:pPr>
      <w:r>
        <w:rPr>
          <w:rFonts w:ascii="Arial" w:hAnsi="Arial" w:cs="Arial"/>
          <w:bCs/>
          <w:color w:val="000000"/>
          <w:sz w:val="20"/>
          <w:szCs w:val="20"/>
        </w:rPr>
        <w:tab/>
        <w:t>Data Innovations Middleware</w:t>
      </w:r>
    </w:p>
    <w:p w:rsidR="00ED303D" w:rsidRPr="00E97BA6" w:rsidRDefault="00ED303D" w:rsidP="00ED303D">
      <w:pPr>
        <w:autoSpaceDE w:val="0"/>
        <w:autoSpaceDN w:val="0"/>
        <w:adjustRightInd w:val="0"/>
        <w:spacing w:after="120"/>
        <w:ind w:left="720"/>
        <w:jc w:val="both"/>
        <w:rPr>
          <w:rFonts w:ascii="Arial" w:hAnsi="Arial" w:cs="Arial"/>
          <w:bCs/>
          <w:color w:val="000000"/>
          <w:sz w:val="20"/>
          <w:szCs w:val="20"/>
        </w:rPr>
      </w:pPr>
      <w:r>
        <w:rPr>
          <w:rFonts w:ascii="Arial" w:hAnsi="Arial" w:cs="Arial"/>
          <w:bCs/>
          <w:color w:val="000000"/>
          <w:sz w:val="20"/>
          <w:szCs w:val="20"/>
        </w:rPr>
        <w:tab/>
        <w:t>Bio-Rad Unity Real Time QC Application</w:t>
      </w:r>
    </w:p>
    <w:p w:rsidR="00ED303D" w:rsidRDefault="00ED303D" w:rsidP="00ED303D">
      <w:pPr>
        <w:autoSpaceDE w:val="0"/>
        <w:autoSpaceDN w:val="0"/>
        <w:adjustRightInd w:val="0"/>
        <w:spacing w:after="120"/>
        <w:ind w:left="720"/>
        <w:jc w:val="both"/>
        <w:rPr>
          <w:rFonts w:ascii="Arial" w:hAnsi="Arial" w:cs="Arial"/>
          <w:b/>
          <w:bCs/>
          <w:color w:val="000000"/>
          <w:sz w:val="20"/>
          <w:szCs w:val="20"/>
        </w:rPr>
      </w:pPr>
      <w:r w:rsidRPr="007C1D50">
        <w:rPr>
          <w:rFonts w:ascii="Arial" w:hAnsi="Arial" w:cs="Arial"/>
          <w:b/>
          <w:bCs/>
          <w:color w:val="000000"/>
          <w:sz w:val="20"/>
          <w:szCs w:val="20"/>
        </w:rPr>
        <w:t>B.</w:t>
      </w:r>
      <w:r w:rsidRPr="007C1D50">
        <w:rPr>
          <w:rFonts w:ascii="Arial" w:hAnsi="Arial" w:cs="Arial"/>
          <w:b/>
          <w:bCs/>
          <w:color w:val="000000"/>
          <w:sz w:val="20"/>
          <w:szCs w:val="20"/>
        </w:rPr>
        <w:tab/>
        <w:t>Supplies</w:t>
      </w:r>
    </w:p>
    <w:p w:rsidR="00ED303D" w:rsidRPr="003B030D" w:rsidRDefault="00ED303D" w:rsidP="00ED303D">
      <w:pPr>
        <w:ind w:left="720" w:firstLine="720"/>
        <w:rPr>
          <w:rFonts w:ascii="Arial" w:hAnsi="Arial" w:cs="Arial"/>
          <w:sz w:val="20"/>
          <w:szCs w:val="20"/>
        </w:rPr>
      </w:pPr>
      <w:r w:rsidRPr="003B030D">
        <w:rPr>
          <w:rFonts w:ascii="Arial" w:hAnsi="Arial" w:cs="Arial"/>
          <w:sz w:val="20"/>
          <w:szCs w:val="20"/>
        </w:rPr>
        <w:t>Roche Sample cups</w:t>
      </w:r>
    </w:p>
    <w:p w:rsidR="00ED303D" w:rsidRPr="003B030D" w:rsidRDefault="00ED303D" w:rsidP="00ED303D">
      <w:pPr>
        <w:ind w:left="720" w:firstLine="720"/>
        <w:rPr>
          <w:rFonts w:ascii="Arial" w:hAnsi="Arial" w:cs="Arial"/>
          <w:sz w:val="20"/>
          <w:szCs w:val="20"/>
        </w:rPr>
      </w:pPr>
      <w:r w:rsidRPr="003B030D">
        <w:rPr>
          <w:rFonts w:ascii="Arial" w:hAnsi="Arial" w:cs="Arial"/>
          <w:sz w:val="20"/>
          <w:szCs w:val="20"/>
        </w:rPr>
        <w:t>Falcon tubes</w:t>
      </w:r>
    </w:p>
    <w:p w:rsidR="00ED303D" w:rsidRPr="003B030D" w:rsidRDefault="00ED303D" w:rsidP="00ED303D">
      <w:pPr>
        <w:ind w:left="720" w:firstLine="720"/>
        <w:rPr>
          <w:rFonts w:ascii="Arial" w:hAnsi="Arial" w:cs="Arial"/>
          <w:sz w:val="20"/>
          <w:szCs w:val="20"/>
        </w:rPr>
      </w:pPr>
      <w:r w:rsidRPr="003B030D">
        <w:rPr>
          <w:rFonts w:ascii="Arial" w:hAnsi="Arial" w:cs="Arial"/>
          <w:sz w:val="20"/>
          <w:szCs w:val="20"/>
        </w:rPr>
        <w:t>Pipets</w:t>
      </w:r>
    </w:p>
    <w:p w:rsidR="00ED303D" w:rsidRPr="003B030D" w:rsidRDefault="00ED303D" w:rsidP="00ED303D">
      <w:pPr>
        <w:ind w:left="720" w:firstLine="720"/>
        <w:rPr>
          <w:rFonts w:ascii="Arial" w:hAnsi="Arial" w:cs="Arial"/>
          <w:sz w:val="20"/>
          <w:szCs w:val="20"/>
        </w:rPr>
      </w:pPr>
      <w:r w:rsidRPr="003B030D">
        <w:rPr>
          <w:rFonts w:ascii="Arial" w:hAnsi="Arial" w:cs="Arial"/>
          <w:sz w:val="20"/>
          <w:szCs w:val="20"/>
        </w:rPr>
        <w:t>Pipet tips</w:t>
      </w:r>
    </w:p>
    <w:p w:rsidR="00ED303D" w:rsidRPr="007C1D50" w:rsidRDefault="00ED303D" w:rsidP="00ED303D">
      <w:pPr>
        <w:autoSpaceDE w:val="0"/>
        <w:autoSpaceDN w:val="0"/>
        <w:adjustRightInd w:val="0"/>
        <w:spacing w:after="120"/>
        <w:ind w:left="720"/>
        <w:jc w:val="both"/>
        <w:rPr>
          <w:rFonts w:ascii="Arial" w:hAnsi="Arial" w:cs="Arial"/>
          <w:bCs/>
          <w:color w:val="000000"/>
          <w:sz w:val="20"/>
          <w:szCs w:val="20"/>
        </w:rPr>
      </w:pPr>
      <w:r w:rsidRPr="007C1D50">
        <w:rPr>
          <w:rFonts w:ascii="Arial" w:hAnsi="Arial" w:cs="Arial"/>
          <w:bCs/>
          <w:color w:val="000000"/>
          <w:sz w:val="20"/>
          <w:szCs w:val="20"/>
        </w:rPr>
        <w:tab/>
        <w:t xml:space="preserve"> </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sidRPr="007C1D50">
        <w:rPr>
          <w:rFonts w:ascii="Arial" w:hAnsi="Arial" w:cs="Arial"/>
          <w:b/>
          <w:bCs/>
          <w:color w:val="000000"/>
          <w:sz w:val="20"/>
          <w:szCs w:val="20"/>
        </w:rPr>
        <w:t>C.</w:t>
      </w:r>
      <w:r w:rsidRPr="007C1D50">
        <w:rPr>
          <w:rFonts w:ascii="Arial" w:hAnsi="Arial" w:cs="Arial"/>
          <w:b/>
          <w:bCs/>
          <w:color w:val="000000"/>
          <w:sz w:val="20"/>
          <w:szCs w:val="20"/>
        </w:rPr>
        <w:tab/>
        <w:t>Reagents</w:t>
      </w:r>
    </w:p>
    <w:p w:rsidR="00ED303D" w:rsidRDefault="00ED303D" w:rsidP="00ED303D">
      <w:pPr>
        <w:autoSpaceDE w:val="0"/>
        <w:autoSpaceDN w:val="0"/>
        <w:adjustRightInd w:val="0"/>
        <w:spacing w:after="240"/>
        <w:ind w:left="720" w:firstLine="720"/>
        <w:jc w:val="both"/>
        <w:rPr>
          <w:rFonts w:ascii="Arial" w:hAnsi="Arial" w:cs="Arial"/>
          <w:bCs/>
          <w:color w:val="000000"/>
          <w:sz w:val="20"/>
          <w:szCs w:val="20"/>
        </w:rPr>
      </w:pPr>
      <w:r>
        <w:rPr>
          <w:rFonts w:ascii="Arial" w:hAnsi="Arial" w:cs="Arial"/>
          <w:bCs/>
          <w:color w:val="000000"/>
          <w:sz w:val="20"/>
          <w:szCs w:val="20"/>
        </w:rPr>
        <w:t xml:space="preserve">Elecsys </w:t>
      </w:r>
      <w:r w:rsidR="0057754F">
        <w:rPr>
          <w:rFonts w:ascii="Arial" w:hAnsi="Arial" w:cs="Arial"/>
          <w:bCs/>
          <w:color w:val="000000"/>
          <w:sz w:val="20"/>
          <w:szCs w:val="20"/>
        </w:rPr>
        <w:t>Folate III</w:t>
      </w:r>
      <w:r>
        <w:rPr>
          <w:rFonts w:ascii="Arial" w:hAnsi="Arial" w:cs="Arial"/>
          <w:bCs/>
          <w:color w:val="000000"/>
          <w:sz w:val="20"/>
          <w:szCs w:val="20"/>
        </w:rPr>
        <w:t xml:space="preserve"> </w:t>
      </w:r>
      <w:r w:rsidR="00BB54F3">
        <w:rPr>
          <w:rFonts w:ascii="Arial" w:hAnsi="Arial" w:cs="Arial"/>
          <w:bCs/>
          <w:color w:val="000000"/>
          <w:sz w:val="20"/>
          <w:szCs w:val="20"/>
        </w:rPr>
        <w:t>- (</w:t>
      </w:r>
      <w:r>
        <w:rPr>
          <w:rFonts w:ascii="Arial" w:hAnsi="Arial" w:cs="Arial"/>
          <w:bCs/>
          <w:color w:val="000000"/>
          <w:sz w:val="20"/>
          <w:szCs w:val="20"/>
        </w:rPr>
        <w:t xml:space="preserve">Ref # </w:t>
      </w:r>
      <w:r w:rsidR="0057754F">
        <w:rPr>
          <w:rFonts w:ascii="Arial" w:hAnsi="Arial" w:cs="Arial"/>
          <w:bCs/>
          <w:color w:val="000000"/>
          <w:sz w:val="20"/>
          <w:szCs w:val="20"/>
        </w:rPr>
        <w:t>07559992160</w:t>
      </w:r>
      <w:r>
        <w:rPr>
          <w:rFonts w:ascii="Arial" w:hAnsi="Arial" w:cs="Arial"/>
          <w:bCs/>
          <w:color w:val="000000"/>
          <w:sz w:val="20"/>
          <w:szCs w:val="20"/>
        </w:rPr>
        <w:t>) – ready for use</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ab/>
        <w:t>Components:</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The reagent pack </w:t>
      </w:r>
      <w:r w:rsidR="0057754F">
        <w:rPr>
          <w:rFonts w:ascii="Arial" w:hAnsi="Arial" w:cs="Arial"/>
          <w:bCs/>
          <w:color w:val="000000"/>
          <w:sz w:val="20"/>
          <w:szCs w:val="20"/>
        </w:rPr>
        <w:t>(M, R1, R2) and the pretreatment reagents (PT1, PT2) are labeled as FOL III</w:t>
      </w:r>
      <w:r>
        <w:rPr>
          <w:rFonts w:ascii="Arial" w:hAnsi="Arial" w:cs="Arial"/>
          <w:bCs/>
          <w:color w:val="000000"/>
          <w:sz w:val="20"/>
          <w:szCs w:val="20"/>
        </w:rPr>
        <w:t>.</w:t>
      </w:r>
    </w:p>
    <w:p w:rsidR="0057754F" w:rsidRDefault="0057754F"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PT1 – Pretreatment reagent 1 (white cap), 1 bottle, 4 mL: Sodium 2-mercaptpethanesulfonate (MESNA) 40 g/L, pH5.5.</w:t>
      </w:r>
    </w:p>
    <w:p w:rsidR="0057754F" w:rsidRDefault="0057754F"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PT2 – Pretreatment reagent 2 (gray cap), 1 bottle, 5 mL: Sodium hydroxide 25 g/L.</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M – Streptavidin-coated microparticles </w:t>
      </w:r>
      <w:r w:rsidR="0057754F">
        <w:rPr>
          <w:rFonts w:ascii="Arial" w:hAnsi="Arial" w:cs="Arial"/>
          <w:bCs/>
          <w:color w:val="000000"/>
          <w:sz w:val="20"/>
          <w:szCs w:val="20"/>
        </w:rPr>
        <w:t>(transparent cap), 1 bottle, 6.5</w:t>
      </w:r>
      <w:r>
        <w:rPr>
          <w:rFonts w:ascii="Arial" w:hAnsi="Arial" w:cs="Arial"/>
          <w:bCs/>
          <w:color w:val="000000"/>
          <w:sz w:val="20"/>
          <w:szCs w:val="20"/>
        </w:rPr>
        <w:t xml:space="preserve"> mL: Streptavidin-coated microparticles 0.72 mg/mL; preservative.</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R1 – </w:t>
      </w:r>
      <w:r w:rsidR="0057754F">
        <w:rPr>
          <w:rFonts w:ascii="Arial" w:hAnsi="Arial" w:cs="Arial"/>
          <w:bCs/>
          <w:color w:val="000000"/>
          <w:sz w:val="20"/>
          <w:szCs w:val="20"/>
        </w:rPr>
        <w:t>Folate binding protein</w:t>
      </w:r>
      <w:r>
        <w:rPr>
          <w:rFonts w:ascii="Arial" w:hAnsi="Arial" w:cs="Arial"/>
          <w:bCs/>
          <w:color w:val="000000"/>
          <w:sz w:val="20"/>
          <w:szCs w:val="20"/>
        </w:rPr>
        <w:t>~Ru(bpy)</w:t>
      </w:r>
      <w:r>
        <w:rPr>
          <w:rFonts w:ascii="Arial" w:hAnsi="Arial" w:cs="Arial"/>
          <w:bCs/>
          <w:color w:val="000000"/>
          <w:sz w:val="20"/>
          <w:szCs w:val="20"/>
          <w:vertAlign w:val="subscript"/>
        </w:rPr>
        <w:t>3</w:t>
      </w:r>
      <w:r>
        <w:rPr>
          <w:rFonts w:ascii="Arial" w:hAnsi="Arial" w:cs="Arial"/>
          <w:bCs/>
          <w:color w:val="000000"/>
          <w:sz w:val="20"/>
          <w:szCs w:val="20"/>
          <w:vertAlign w:val="superscript"/>
        </w:rPr>
        <w:t>2+</w:t>
      </w:r>
      <w:r w:rsidR="0057754F">
        <w:rPr>
          <w:rFonts w:ascii="Arial" w:hAnsi="Arial" w:cs="Arial"/>
          <w:bCs/>
          <w:color w:val="000000"/>
          <w:sz w:val="20"/>
          <w:szCs w:val="20"/>
        </w:rPr>
        <w:t xml:space="preserve"> (gray cap), 1 bottle, 9</w:t>
      </w:r>
      <w:r>
        <w:rPr>
          <w:rFonts w:ascii="Arial" w:hAnsi="Arial" w:cs="Arial"/>
          <w:bCs/>
          <w:color w:val="000000"/>
          <w:sz w:val="20"/>
          <w:szCs w:val="20"/>
        </w:rPr>
        <w:t xml:space="preserve"> mL: </w:t>
      </w:r>
      <w:r w:rsidR="0057754F">
        <w:rPr>
          <w:rFonts w:ascii="Arial" w:hAnsi="Arial" w:cs="Arial"/>
          <w:bCs/>
          <w:color w:val="000000"/>
          <w:sz w:val="20"/>
          <w:szCs w:val="20"/>
        </w:rPr>
        <w:t>Ruthenium labeled folate binding protein 75 ug/L; human serum albumin (stabilizer); borate/phosphate/citrate buffer 70 mmol/L, pH5.5; preservative.</w:t>
      </w:r>
    </w:p>
    <w:p w:rsidR="00ED303D" w:rsidRPr="001206FF"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R2 – </w:t>
      </w:r>
      <w:r w:rsidR="0057754F">
        <w:rPr>
          <w:rFonts w:ascii="Arial" w:hAnsi="Arial" w:cs="Arial"/>
          <w:bCs/>
          <w:color w:val="000000"/>
          <w:sz w:val="20"/>
          <w:szCs w:val="20"/>
        </w:rPr>
        <w:t>Folate</w:t>
      </w:r>
      <w:r>
        <w:rPr>
          <w:rFonts w:ascii="Arial" w:hAnsi="Arial" w:cs="Arial"/>
          <w:bCs/>
          <w:color w:val="000000"/>
          <w:sz w:val="20"/>
          <w:szCs w:val="20"/>
        </w:rPr>
        <w:t>~b</w:t>
      </w:r>
      <w:r w:rsidR="00CC7D43">
        <w:rPr>
          <w:rFonts w:ascii="Arial" w:hAnsi="Arial" w:cs="Arial"/>
          <w:bCs/>
          <w:color w:val="000000"/>
          <w:sz w:val="20"/>
          <w:szCs w:val="20"/>
        </w:rPr>
        <w:t xml:space="preserve">iotin (black cap), 1 bottle, </w:t>
      </w:r>
      <w:r w:rsidR="00AD25B2">
        <w:rPr>
          <w:rFonts w:ascii="Arial" w:hAnsi="Arial" w:cs="Arial"/>
          <w:bCs/>
          <w:color w:val="000000"/>
          <w:sz w:val="20"/>
          <w:szCs w:val="20"/>
        </w:rPr>
        <w:t>8</w:t>
      </w:r>
      <w:r>
        <w:rPr>
          <w:rFonts w:ascii="Arial" w:hAnsi="Arial" w:cs="Arial"/>
          <w:bCs/>
          <w:color w:val="000000"/>
          <w:sz w:val="20"/>
          <w:szCs w:val="20"/>
        </w:rPr>
        <w:t xml:space="preserve"> mL: Biotinylated </w:t>
      </w:r>
      <w:r w:rsidR="0057754F">
        <w:rPr>
          <w:rFonts w:ascii="Arial" w:hAnsi="Arial" w:cs="Arial"/>
          <w:bCs/>
          <w:color w:val="000000"/>
          <w:sz w:val="20"/>
          <w:szCs w:val="20"/>
        </w:rPr>
        <w:t>folate</w:t>
      </w:r>
      <w:r w:rsidR="00CC7D43">
        <w:rPr>
          <w:rFonts w:ascii="Arial" w:hAnsi="Arial" w:cs="Arial"/>
          <w:bCs/>
          <w:color w:val="000000"/>
          <w:sz w:val="20"/>
          <w:szCs w:val="20"/>
        </w:rPr>
        <w:t xml:space="preserve"> </w:t>
      </w:r>
      <w:r w:rsidR="0057754F">
        <w:rPr>
          <w:rFonts w:ascii="Arial" w:hAnsi="Arial" w:cs="Arial"/>
          <w:bCs/>
          <w:color w:val="000000"/>
          <w:sz w:val="20"/>
          <w:szCs w:val="20"/>
        </w:rPr>
        <w:t>17</w:t>
      </w:r>
      <w:r w:rsidR="00CC7D43">
        <w:rPr>
          <w:rFonts w:ascii="Arial" w:hAnsi="Arial" w:cs="Arial"/>
          <w:bCs/>
          <w:color w:val="000000"/>
          <w:sz w:val="20"/>
          <w:szCs w:val="20"/>
        </w:rPr>
        <w:t xml:space="preserve"> </w:t>
      </w:r>
      <w:r w:rsidR="0057754F">
        <w:rPr>
          <w:rFonts w:ascii="Arial" w:hAnsi="Arial" w:cs="Arial"/>
          <w:bCs/>
          <w:color w:val="000000"/>
          <w:sz w:val="20"/>
          <w:szCs w:val="20"/>
        </w:rPr>
        <w:t>u</w:t>
      </w:r>
      <w:r>
        <w:rPr>
          <w:rFonts w:ascii="Arial" w:hAnsi="Arial" w:cs="Arial"/>
          <w:bCs/>
          <w:color w:val="000000"/>
          <w:sz w:val="20"/>
          <w:szCs w:val="20"/>
        </w:rPr>
        <w:t>g/</w:t>
      </w:r>
      <w:r w:rsidR="00CC7D43">
        <w:rPr>
          <w:rFonts w:ascii="Arial" w:hAnsi="Arial" w:cs="Arial"/>
          <w:bCs/>
          <w:color w:val="000000"/>
          <w:sz w:val="20"/>
          <w:szCs w:val="20"/>
        </w:rPr>
        <w:t>m</w:t>
      </w:r>
      <w:r>
        <w:rPr>
          <w:rFonts w:ascii="Arial" w:hAnsi="Arial" w:cs="Arial"/>
          <w:bCs/>
          <w:color w:val="000000"/>
          <w:sz w:val="20"/>
          <w:szCs w:val="20"/>
        </w:rPr>
        <w:t xml:space="preserve">L; </w:t>
      </w:r>
      <w:r w:rsidR="0057754F">
        <w:rPr>
          <w:rFonts w:ascii="Arial" w:hAnsi="Arial" w:cs="Arial"/>
          <w:bCs/>
          <w:color w:val="000000"/>
          <w:sz w:val="20"/>
          <w:szCs w:val="20"/>
        </w:rPr>
        <w:t>biotin 120 ug/L; human serum albumin (stabilizer); borate buffer 100 mmol/L, pH 9.0; preservative.</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The reagents in the kit have been assembled into a ready-for-use unit that cannot be separated.  </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lastRenderedPageBreak/>
        <w:t xml:space="preserve">Store the Elecsys reagent kit upright in order to ensure complete availability of the microparticles during automatic mixing prior to use.  </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Shelf life at 2-8</w:t>
      </w:r>
      <w:r>
        <w:rPr>
          <w:rFonts w:ascii="Calibri" w:hAnsi="Calibri" w:cs="Arial"/>
          <w:bCs/>
          <w:color w:val="000000"/>
          <w:sz w:val="20"/>
          <w:szCs w:val="20"/>
        </w:rPr>
        <w:t>°</w:t>
      </w:r>
      <w:r>
        <w:rPr>
          <w:rFonts w:ascii="Arial" w:hAnsi="Arial" w:cs="Arial"/>
          <w:bCs/>
          <w:color w:val="000000"/>
          <w:sz w:val="20"/>
          <w:szCs w:val="20"/>
        </w:rPr>
        <w:t xml:space="preserve">C </w:t>
      </w:r>
      <w:r>
        <w:rPr>
          <w:rFonts w:ascii="Arial" w:hAnsi="Arial" w:cs="Arial"/>
          <w:bCs/>
          <w:color w:val="000000"/>
          <w:sz w:val="20"/>
          <w:szCs w:val="20"/>
        </w:rPr>
        <w:tab/>
      </w:r>
      <w:r>
        <w:rPr>
          <w:rFonts w:ascii="Arial" w:hAnsi="Arial" w:cs="Arial"/>
          <w:bCs/>
          <w:color w:val="000000"/>
          <w:sz w:val="20"/>
          <w:szCs w:val="20"/>
        </w:rPr>
        <w:tab/>
        <w:t xml:space="preserve">see expiration date </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After opening at 2-8</w:t>
      </w:r>
      <w:r>
        <w:rPr>
          <w:rFonts w:ascii="Calibri" w:hAnsi="Calibri" w:cs="Arial"/>
          <w:bCs/>
          <w:color w:val="000000"/>
          <w:sz w:val="20"/>
          <w:szCs w:val="20"/>
        </w:rPr>
        <w:t>°</w:t>
      </w:r>
      <w:r>
        <w:rPr>
          <w:rFonts w:ascii="Arial" w:hAnsi="Arial" w:cs="Arial"/>
          <w:bCs/>
          <w:color w:val="000000"/>
          <w:sz w:val="20"/>
          <w:szCs w:val="20"/>
        </w:rPr>
        <w:t xml:space="preserve">C </w:t>
      </w:r>
      <w:r>
        <w:rPr>
          <w:rFonts w:ascii="Arial" w:hAnsi="Arial" w:cs="Arial"/>
          <w:bCs/>
          <w:color w:val="000000"/>
          <w:sz w:val="20"/>
          <w:szCs w:val="20"/>
        </w:rPr>
        <w:tab/>
      </w:r>
      <w:r>
        <w:rPr>
          <w:rFonts w:ascii="Arial" w:hAnsi="Arial" w:cs="Arial"/>
          <w:bCs/>
          <w:color w:val="000000"/>
          <w:sz w:val="20"/>
          <w:szCs w:val="20"/>
        </w:rPr>
        <w:tab/>
      </w:r>
      <w:r w:rsidR="00656857">
        <w:rPr>
          <w:rFonts w:ascii="Arial" w:hAnsi="Arial" w:cs="Arial"/>
          <w:bCs/>
          <w:color w:val="000000"/>
          <w:sz w:val="20"/>
          <w:szCs w:val="20"/>
        </w:rPr>
        <w:t xml:space="preserve">8 </w:t>
      </w:r>
      <w:r>
        <w:rPr>
          <w:rFonts w:ascii="Arial" w:hAnsi="Arial" w:cs="Arial"/>
          <w:bCs/>
          <w:color w:val="000000"/>
          <w:sz w:val="20"/>
          <w:szCs w:val="20"/>
        </w:rPr>
        <w:t>weeks</w:t>
      </w:r>
    </w:p>
    <w:p w:rsidR="00ED303D" w:rsidRDefault="00ED303D" w:rsidP="00ED303D">
      <w:pPr>
        <w:autoSpaceDE w:val="0"/>
        <w:autoSpaceDN w:val="0"/>
        <w:adjustRightInd w:val="0"/>
        <w:spacing w:after="240"/>
        <w:ind w:left="4320" w:hanging="2820"/>
        <w:jc w:val="both"/>
        <w:rPr>
          <w:rFonts w:ascii="Arial" w:hAnsi="Arial" w:cs="Arial"/>
          <w:bCs/>
          <w:color w:val="000000"/>
          <w:sz w:val="20"/>
          <w:szCs w:val="20"/>
        </w:rPr>
      </w:pPr>
      <w:r>
        <w:rPr>
          <w:rFonts w:ascii="Arial" w:hAnsi="Arial" w:cs="Arial"/>
          <w:bCs/>
          <w:color w:val="000000"/>
          <w:sz w:val="20"/>
          <w:szCs w:val="20"/>
        </w:rPr>
        <w:t>On-board</w:t>
      </w:r>
      <w:r w:rsidR="00CC7D43">
        <w:rPr>
          <w:rFonts w:ascii="Arial" w:hAnsi="Arial" w:cs="Arial"/>
          <w:bCs/>
          <w:color w:val="000000"/>
          <w:sz w:val="20"/>
          <w:szCs w:val="20"/>
        </w:rPr>
        <w:tab/>
      </w:r>
      <w:r w:rsidR="000522F2">
        <w:rPr>
          <w:rFonts w:ascii="Arial" w:hAnsi="Arial" w:cs="Arial"/>
          <w:bCs/>
          <w:color w:val="000000"/>
          <w:sz w:val="20"/>
          <w:szCs w:val="20"/>
        </w:rPr>
        <w:t>2</w:t>
      </w:r>
      <w:r w:rsidR="00656857">
        <w:rPr>
          <w:rFonts w:ascii="Arial" w:hAnsi="Arial" w:cs="Arial"/>
          <w:bCs/>
          <w:color w:val="000000"/>
          <w:sz w:val="20"/>
          <w:szCs w:val="20"/>
        </w:rPr>
        <w:t xml:space="preserve"> weeks onboard or 4 weeks</w:t>
      </w:r>
      <w:r w:rsidR="000522F2">
        <w:rPr>
          <w:rFonts w:ascii="Arial" w:hAnsi="Arial" w:cs="Arial"/>
          <w:bCs/>
          <w:color w:val="000000"/>
          <w:sz w:val="20"/>
          <w:szCs w:val="20"/>
        </w:rPr>
        <w:t xml:space="preserve"> when stored alternately in the refrigerator and on the analyzer, with the total time onboard the analyzers not exceeding </w:t>
      </w:r>
      <w:r w:rsidR="00656857">
        <w:rPr>
          <w:rFonts w:ascii="Arial" w:hAnsi="Arial" w:cs="Arial"/>
          <w:bCs/>
          <w:color w:val="000000"/>
          <w:sz w:val="20"/>
          <w:szCs w:val="20"/>
        </w:rPr>
        <w:t>10  X 8 hours.</w:t>
      </w:r>
      <w:r>
        <w:rPr>
          <w:rFonts w:ascii="Arial" w:hAnsi="Arial" w:cs="Arial"/>
          <w:bCs/>
          <w:color w:val="000000"/>
          <w:sz w:val="20"/>
          <w:szCs w:val="20"/>
        </w:rPr>
        <w:t xml:space="preserve"> </w:t>
      </w:r>
    </w:p>
    <w:p w:rsidR="00ED303D" w:rsidRPr="0039284A" w:rsidRDefault="00ED303D" w:rsidP="00ED303D">
      <w:pPr>
        <w:autoSpaceDE w:val="0"/>
        <w:autoSpaceDN w:val="0"/>
        <w:adjustRightInd w:val="0"/>
        <w:spacing w:after="240"/>
        <w:ind w:firstLine="720"/>
        <w:jc w:val="both"/>
        <w:rPr>
          <w:rFonts w:ascii="Arial" w:hAnsi="Arial" w:cs="Arial"/>
          <w:bCs/>
          <w:color w:val="000000"/>
          <w:sz w:val="20"/>
          <w:szCs w:val="20"/>
        </w:rPr>
      </w:pPr>
      <w:r>
        <w:rPr>
          <w:rFonts w:ascii="Arial" w:hAnsi="Arial" w:cs="Arial"/>
          <w:bCs/>
          <w:color w:val="000000"/>
          <w:sz w:val="20"/>
          <w:szCs w:val="20"/>
        </w:rPr>
        <w:t xml:space="preserve">D. </w:t>
      </w:r>
      <w:r>
        <w:rPr>
          <w:rFonts w:ascii="Arial" w:hAnsi="Arial" w:cs="Arial"/>
          <w:bCs/>
          <w:color w:val="000000"/>
          <w:sz w:val="20"/>
          <w:szCs w:val="20"/>
        </w:rPr>
        <w:tab/>
      </w:r>
      <w:r w:rsidRPr="0039284A">
        <w:rPr>
          <w:rFonts w:ascii="Arial" w:hAnsi="Arial" w:cs="Arial"/>
          <w:bCs/>
          <w:color w:val="000000"/>
          <w:sz w:val="20"/>
          <w:szCs w:val="20"/>
        </w:rPr>
        <w:t>Calibrator</w:t>
      </w:r>
    </w:p>
    <w:p w:rsidR="00ED303D" w:rsidRPr="0039284A" w:rsidRDefault="00ED303D" w:rsidP="00ED303D">
      <w:pPr>
        <w:pStyle w:val="NcclsPara"/>
        <w:ind w:left="1440"/>
        <w:rPr>
          <w:rFonts w:ascii="Arial" w:hAnsi="Arial" w:cs="Arial"/>
          <w:sz w:val="20"/>
          <w:szCs w:val="20"/>
        </w:rPr>
      </w:pPr>
      <w:r w:rsidRPr="0039284A">
        <w:rPr>
          <w:rFonts w:ascii="Arial" w:hAnsi="Arial" w:cs="Arial"/>
          <w:sz w:val="20"/>
          <w:szCs w:val="20"/>
        </w:rPr>
        <w:t>Calibrator</w:t>
      </w:r>
      <w:r w:rsidRPr="0039284A">
        <w:rPr>
          <w:rFonts w:ascii="Arial" w:hAnsi="Arial" w:cs="Arial"/>
          <w:sz w:val="20"/>
          <w:szCs w:val="20"/>
        </w:rPr>
        <w:tab/>
      </w:r>
      <w:r w:rsidRPr="0039284A">
        <w:rPr>
          <w:rFonts w:ascii="Arial" w:hAnsi="Arial" w:cs="Arial"/>
          <w:sz w:val="20"/>
          <w:szCs w:val="20"/>
        </w:rPr>
        <w:tab/>
      </w:r>
      <w:r w:rsidR="00656857">
        <w:rPr>
          <w:rFonts w:ascii="Arial" w:hAnsi="Arial" w:cs="Arial"/>
          <w:sz w:val="20"/>
          <w:szCs w:val="20"/>
        </w:rPr>
        <w:t>Folate III</w:t>
      </w:r>
      <w:r>
        <w:rPr>
          <w:rFonts w:ascii="Arial" w:hAnsi="Arial" w:cs="Arial"/>
          <w:sz w:val="20"/>
          <w:szCs w:val="20"/>
        </w:rPr>
        <w:t xml:space="preserve"> CalSet</w:t>
      </w:r>
    </w:p>
    <w:p w:rsidR="00ED303D" w:rsidRPr="0039284A" w:rsidRDefault="00ED303D" w:rsidP="00ED303D">
      <w:pPr>
        <w:pStyle w:val="NcclsPara"/>
        <w:ind w:left="1440"/>
        <w:rPr>
          <w:rFonts w:ascii="Arial" w:hAnsi="Arial" w:cs="Arial"/>
          <w:sz w:val="20"/>
          <w:szCs w:val="20"/>
        </w:rPr>
      </w:pPr>
      <w:r w:rsidRPr="0039284A">
        <w:rPr>
          <w:rFonts w:ascii="Arial" w:hAnsi="Arial" w:cs="Arial"/>
          <w:sz w:val="20"/>
          <w:szCs w:val="20"/>
        </w:rPr>
        <w:tab/>
      </w:r>
      <w:r w:rsidRPr="0039284A">
        <w:rPr>
          <w:rFonts w:ascii="Arial" w:hAnsi="Arial" w:cs="Arial"/>
          <w:sz w:val="20"/>
          <w:szCs w:val="20"/>
        </w:rPr>
        <w:tab/>
      </w:r>
      <w:r w:rsidRPr="0039284A">
        <w:rPr>
          <w:rFonts w:ascii="Arial" w:hAnsi="Arial" w:cs="Arial"/>
          <w:sz w:val="20"/>
          <w:szCs w:val="20"/>
        </w:rPr>
        <w:tab/>
      </w:r>
    </w:p>
    <w:p w:rsidR="00ED303D" w:rsidRPr="000522F2" w:rsidRDefault="00ED303D" w:rsidP="00ED303D">
      <w:pPr>
        <w:pStyle w:val="NcclsPara"/>
        <w:ind w:left="1440"/>
        <w:rPr>
          <w:rFonts w:ascii="Arial" w:hAnsi="Arial" w:cs="Arial"/>
          <w:sz w:val="20"/>
          <w:szCs w:val="20"/>
        </w:rPr>
      </w:pPr>
      <w:r w:rsidRPr="0039284A">
        <w:rPr>
          <w:rFonts w:ascii="Arial" w:hAnsi="Arial" w:cs="Arial"/>
          <w:sz w:val="20"/>
          <w:szCs w:val="20"/>
        </w:rPr>
        <w:t xml:space="preserve">Traceability: This method has been standardized </w:t>
      </w:r>
      <w:r>
        <w:rPr>
          <w:rFonts w:ascii="Arial" w:hAnsi="Arial" w:cs="Arial"/>
          <w:sz w:val="20"/>
          <w:szCs w:val="20"/>
        </w:rPr>
        <w:t xml:space="preserve">against </w:t>
      </w:r>
      <w:r w:rsidR="000522F2">
        <w:rPr>
          <w:rFonts w:ascii="Arial" w:hAnsi="Arial" w:cs="Arial"/>
          <w:sz w:val="20"/>
          <w:szCs w:val="20"/>
        </w:rPr>
        <w:t xml:space="preserve">the </w:t>
      </w:r>
      <w:r w:rsidR="00656857">
        <w:rPr>
          <w:rFonts w:ascii="Arial" w:hAnsi="Arial" w:cs="Arial"/>
          <w:sz w:val="20"/>
          <w:szCs w:val="20"/>
        </w:rPr>
        <w:t>WHO International Standard NIBSC code: 03/178</w:t>
      </w:r>
    </w:p>
    <w:p w:rsidR="00ED303D" w:rsidRDefault="00ED303D" w:rsidP="00ED303D">
      <w:pPr>
        <w:pStyle w:val="NcclsPara"/>
        <w:ind w:left="1440"/>
        <w:rPr>
          <w:rFonts w:ascii="Arial" w:hAnsi="Arial" w:cs="Arial"/>
          <w:sz w:val="20"/>
          <w:szCs w:val="20"/>
        </w:rPr>
      </w:pPr>
      <w:r>
        <w:rPr>
          <w:rFonts w:ascii="Arial" w:hAnsi="Arial" w:cs="Arial"/>
          <w:sz w:val="20"/>
          <w:szCs w:val="20"/>
        </w:rPr>
        <w:t>Every Elecsys reagent set has a barcoded label containing specific information for calibration of the particular reagent lot.  The predefined master curve is adapted to the analyzer using the relevant CalSet.</w:t>
      </w:r>
    </w:p>
    <w:p w:rsidR="00ED303D" w:rsidRDefault="00ED303D" w:rsidP="00ED303D">
      <w:pPr>
        <w:pStyle w:val="NcclsPara"/>
        <w:ind w:left="1440"/>
        <w:rPr>
          <w:rFonts w:ascii="Arial" w:hAnsi="Arial" w:cs="Arial"/>
          <w:sz w:val="20"/>
          <w:szCs w:val="20"/>
        </w:rPr>
      </w:pPr>
    </w:p>
    <w:p w:rsidR="00ED303D" w:rsidRPr="008654AC" w:rsidRDefault="00ED303D" w:rsidP="00ED303D">
      <w:pPr>
        <w:pStyle w:val="NoSpacing"/>
        <w:ind w:left="1440"/>
        <w:rPr>
          <w:rFonts w:ascii="Arial" w:hAnsi="Arial" w:cs="Arial"/>
          <w:sz w:val="20"/>
          <w:szCs w:val="20"/>
        </w:rPr>
      </w:pPr>
      <w:r w:rsidRPr="008654AC">
        <w:rPr>
          <w:rFonts w:ascii="Arial" w:hAnsi="Arial" w:cs="Arial"/>
          <w:i/>
          <w:sz w:val="20"/>
          <w:szCs w:val="20"/>
        </w:rPr>
        <w:t>Calibration frequency</w:t>
      </w:r>
      <w:r w:rsidRPr="008654AC">
        <w:rPr>
          <w:rFonts w:ascii="Arial" w:hAnsi="Arial" w:cs="Arial"/>
          <w:sz w:val="20"/>
          <w:szCs w:val="20"/>
        </w:rPr>
        <w:t>: Calibration must be performed once per reagent lot using fresh reagent (i.e. not more than 24 hours since the reagent kit was registered on the analyzer). Renewed calibration is recommended as follows:</w:t>
      </w:r>
    </w:p>
    <w:p w:rsidR="00ED303D" w:rsidRPr="008654AC" w:rsidRDefault="00ED303D" w:rsidP="00ED303D">
      <w:pPr>
        <w:pStyle w:val="NoSpacing"/>
        <w:ind w:left="1440"/>
        <w:rPr>
          <w:rFonts w:ascii="Arial" w:hAnsi="Arial" w:cs="Arial"/>
          <w:sz w:val="20"/>
          <w:szCs w:val="20"/>
        </w:rPr>
      </w:pPr>
      <w:r w:rsidRPr="008654AC">
        <w:rPr>
          <w:rFonts w:ascii="Arial" w:hAnsi="Arial" w:cs="Arial"/>
          <w:sz w:val="20"/>
          <w:szCs w:val="20"/>
        </w:rPr>
        <w:t>•</w:t>
      </w:r>
      <w:r w:rsidRPr="008654AC">
        <w:rPr>
          <w:rFonts w:ascii="Arial" w:hAnsi="Arial" w:cs="Arial"/>
          <w:sz w:val="20"/>
          <w:szCs w:val="20"/>
        </w:rPr>
        <w:tab/>
        <w:t xml:space="preserve">after </w:t>
      </w:r>
      <w:r w:rsidR="000522F2">
        <w:rPr>
          <w:rFonts w:ascii="Arial" w:hAnsi="Arial" w:cs="Arial"/>
          <w:sz w:val="20"/>
          <w:szCs w:val="20"/>
        </w:rPr>
        <w:t>1 month (28 days)</w:t>
      </w:r>
      <w:r w:rsidRPr="008654AC">
        <w:rPr>
          <w:rFonts w:ascii="Arial" w:hAnsi="Arial" w:cs="Arial"/>
          <w:sz w:val="20"/>
          <w:szCs w:val="20"/>
        </w:rPr>
        <w:t xml:space="preserve"> when using the same reagent lot</w:t>
      </w:r>
    </w:p>
    <w:p w:rsidR="00ED303D" w:rsidRPr="008654AC" w:rsidRDefault="00ED303D" w:rsidP="00ED303D">
      <w:pPr>
        <w:pStyle w:val="NoSpacing"/>
        <w:ind w:left="1440"/>
        <w:rPr>
          <w:rFonts w:ascii="Arial" w:hAnsi="Arial" w:cs="Arial"/>
          <w:sz w:val="20"/>
          <w:szCs w:val="20"/>
        </w:rPr>
      </w:pPr>
      <w:r w:rsidRPr="008654AC">
        <w:rPr>
          <w:rFonts w:ascii="Arial" w:hAnsi="Arial" w:cs="Arial"/>
          <w:sz w:val="20"/>
          <w:szCs w:val="20"/>
        </w:rPr>
        <w:t>•</w:t>
      </w:r>
      <w:r w:rsidRPr="008654AC">
        <w:rPr>
          <w:rFonts w:ascii="Arial" w:hAnsi="Arial" w:cs="Arial"/>
          <w:sz w:val="20"/>
          <w:szCs w:val="20"/>
        </w:rPr>
        <w:tab/>
        <w:t>after 7 days (when using the same reagent kit on the analyzer)</w:t>
      </w:r>
    </w:p>
    <w:p w:rsidR="00ED303D" w:rsidRDefault="00ED303D" w:rsidP="00ED303D">
      <w:pPr>
        <w:pStyle w:val="NoSpacing"/>
        <w:ind w:left="1440"/>
        <w:rPr>
          <w:rFonts w:ascii="Arial" w:hAnsi="Arial" w:cs="Arial"/>
          <w:sz w:val="20"/>
          <w:szCs w:val="20"/>
        </w:rPr>
      </w:pPr>
      <w:r w:rsidRPr="008654AC">
        <w:rPr>
          <w:rFonts w:ascii="Arial" w:hAnsi="Arial" w:cs="Arial"/>
          <w:sz w:val="20"/>
          <w:szCs w:val="20"/>
        </w:rPr>
        <w:t>•</w:t>
      </w:r>
      <w:r w:rsidRPr="008654AC">
        <w:rPr>
          <w:rFonts w:ascii="Arial" w:hAnsi="Arial" w:cs="Arial"/>
          <w:sz w:val="20"/>
          <w:szCs w:val="20"/>
        </w:rPr>
        <w:tab/>
        <w:t>as required: e.g. quality control findings outside the defined limits</w:t>
      </w:r>
    </w:p>
    <w:p w:rsidR="004A0E0E" w:rsidRDefault="004A0E0E" w:rsidP="00ED303D">
      <w:pPr>
        <w:pStyle w:val="NoSpacing"/>
        <w:ind w:left="1440"/>
        <w:rPr>
          <w:rFonts w:ascii="Arial" w:hAnsi="Arial" w:cs="Arial"/>
          <w:sz w:val="20"/>
          <w:szCs w:val="20"/>
        </w:rPr>
      </w:pPr>
    </w:p>
    <w:p w:rsidR="004A0E0E" w:rsidRPr="008654AC" w:rsidRDefault="004A0E0E" w:rsidP="00ED303D">
      <w:pPr>
        <w:pStyle w:val="NoSpacing"/>
        <w:ind w:left="1440"/>
        <w:rPr>
          <w:rFonts w:ascii="Arial" w:hAnsi="Arial" w:cs="Arial"/>
          <w:sz w:val="20"/>
          <w:szCs w:val="20"/>
        </w:rPr>
      </w:pPr>
    </w:p>
    <w:p w:rsidR="00ED303D" w:rsidRPr="00E97BA6" w:rsidRDefault="00ED303D" w:rsidP="00ED303D">
      <w:pPr>
        <w:numPr>
          <w:ilvl w:val="0"/>
          <w:numId w:val="22"/>
        </w:numPr>
        <w:autoSpaceDE w:val="0"/>
        <w:autoSpaceDN w:val="0"/>
        <w:adjustRightInd w:val="0"/>
        <w:spacing w:after="240"/>
        <w:ind w:left="720"/>
        <w:jc w:val="both"/>
        <w:rPr>
          <w:rFonts w:ascii="Arial" w:hAnsi="Arial" w:cs="Arial"/>
          <w:b/>
          <w:bCs/>
          <w:color w:val="000000"/>
          <w:sz w:val="20"/>
          <w:szCs w:val="20"/>
        </w:rPr>
      </w:pPr>
      <w:r w:rsidRPr="007C1D50">
        <w:rPr>
          <w:rFonts w:ascii="Arial" w:hAnsi="Arial" w:cs="Arial"/>
          <w:b/>
          <w:bCs/>
          <w:color w:val="000000"/>
          <w:sz w:val="20"/>
          <w:szCs w:val="20"/>
        </w:rPr>
        <w:t xml:space="preserve">PROCEDURE </w:t>
      </w:r>
    </w:p>
    <w:p w:rsidR="00ED303D" w:rsidRPr="000522F2" w:rsidRDefault="00ED303D" w:rsidP="00ED303D">
      <w:pPr>
        <w:ind w:firstLine="720"/>
        <w:rPr>
          <w:rFonts w:ascii="Arial" w:hAnsi="Arial" w:cs="Arial"/>
          <w:sz w:val="20"/>
          <w:szCs w:val="20"/>
        </w:rPr>
      </w:pPr>
      <w:r w:rsidRPr="000522F2">
        <w:rPr>
          <w:rFonts w:ascii="Arial" w:hAnsi="Arial" w:cs="Arial"/>
          <w:sz w:val="20"/>
          <w:szCs w:val="20"/>
        </w:rPr>
        <w:t>Refer to general cobas e411 analyzer operating procedure SW.CP.GL.lab.0102</w:t>
      </w:r>
    </w:p>
    <w:p w:rsidR="00ED303D" w:rsidRPr="007C1D50" w:rsidRDefault="00ED303D" w:rsidP="00ED303D">
      <w:pPr>
        <w:autoSpaceDE w:val="0"/>
        <w:autoSpaceDN w:val="0"/>
        <w:adjustRightInd w:val="0"/>
        <w:spacing w:after="240"/>
        <w:ind w:left="720"/>
        <w:jc w:val="both"/>
        <w:rPr>
          <w:rFonts w:ascii="Arial" w:hAnsi="Arial" w:cs="Arial"/>
          <w:b/>
          <w:bCs/>
          <w:color w:val="000000"/>
          <w:sz w:val="20"/>
          <w:szCs w:val="20"/>
        </w:rPr>
      </w:pPr>
    </w:p>
    <w:p w:rsidR="00ED303D" w:rsidRPr="007C1D50"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IX.</w:t>
      </w:r>
      <w:r w:rsidRPr="007C1D50">
        <w:rPr>
          <w:rFonts w:ascii="Arial" w:hAnsi="Arial" w:cs="Arial"/>
          <w:b/>
          <w:bCs/>
          <w:color w:val="000000"/>
          <w:sz w:val="20"/>
          <w:szCs w:val="20"/>
        </w:rPr>
        <w:tab/>
        <w:t>LIMITATIONS</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Samples should not be taken from patients receiving therapy with high biotin doses</w:t>
      </w:r>
      <w:r w:rsidR="00BB54F3">
        <w:rPr>
          <w:rFonts w:ascii="Arial" w:hAnsi="Arial" w:cs="Arial"/>
          <w:bCs/>
          <w:color w:val="000000"/>
          <w:sz w:val="20"/>
          <w:szCs w:val="20"/>
        </w:rPr>
        <w:t xml:space="preserve"> (i</w:t>
      </w:r>
      <w:r>
        <w:rPr>
          <w:rFonts w:ascii="Arial" w:hAnsi="Arial" w:cs="Arial"/>
          <w:bCs/>
          <w:color w:val="000000"/>
          <w:sz w:val="20"/>
          <w:szCs w:val="20"/>
        </w:rPr>
        <w:t xml:space="preserve">.e. &gt;5 mg/day) until at least 8 hours following the last biotin administration.  </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No interference was observed from rheumatoid factors up to a concentration of 1</w:t>
      </w:r>
      <w:r w:rsidR="00656857">
        <w:rPr>
          <w:rFonts w:ascii="Arial" w:hAnsi="Arial" w:cs="Arial"/>
          <w:bCs/>
          <w:color w:val="000000"/>
          <w:sz w:val="20"/>
          <w:szCs w:val="20"/>
        </w:rPr>
        <w:t>0</w:t>
      </w:r>
      <w:r>
        <w:rPr>
          <w:rFonts w:ascii="Arial" w:hAnsi="Arial" w:cs="Arial"/>
          <w:bCs/>
          <w:color w:val="000000"/>
          <w:sz w:val="20"/>
          <w:szCs w:val="20"/>
        </w:rPr>
        <w:t>00 IU/mL</w:t>
      </w:r>
      <w:r w:rsidR="00CC7D43">
        <w:rPr>
          <w:rFonts w:ascii="Arial" w:hAnsi="Arial" w:cs="Arial"/>
          <w:bCs/>
          <w:color w:val="000000"/>
          <w:sz w:val="20"/>
          <w:szCs w:val="20"/>
        </w:rPr>
        <w:t xml:space="preserve"> and samples from dialysis patients</w:t>
      </w:r>
      <w:r>
        <w:rPr>
          <w:rFonts w:ascii="Arial" w:hAnsi="Arial" w:cs="Arial"/>
          <w:bCs/>
          <w:color w:val="000000"/>
          <w:sz w:val="20"/>
          <w:szCs w:val="20"/>
        </w:rPr>
        <w:t>.</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In</w:t>
      </w:r>
      <w:r w:rsidR="00CC7D43">
        <w:rPr>
          <w:rFonts w:ascii="Arial" w:hAnsi="Arial" w:cs="Arial"/>
          <w:bCs/>
          <w:color w:val="000000"/>
          <w:sz w:val="20"/>
          <w:szCs w:val="20"/>
        </w:rPr>
        <w:t xml:space="preserve"> vitro tests were performed on </w:t>
      </w:r>
      <w:r w:rsidR="00656857">
        <w:rPr>
          <w:rFonts w:ascii="Arial" w:hAnsi="Arial" w:cs="Arial"/>
          <w:bCs/>
          <w:color w:val="000000"/>
          <w:sz w:val="20"/>
          <w:szCs w:val="20"/>
        </w:rPr>
        <w:t>16</w:t>
      </w:r>
      <w:r>
        <w:rPr>
          <w:rFonts w:ascii="Arial" w:hAnsi="Arial" w:cs="Arial"/>
          <w:bCs/>
          <w:color w:val="000000"/>
          <w:sz w:val="20"/>
          <w:szCs w:val="20"/>
        </w:rPr>
        <w:t xml:space="preserve"> commonly used pharmaceuticals</w:t>
      </w:r>
      <w:r w:rsidR="00656857">
        <w:rPr>
          <w:rFonts w:ascii="Arial" w:hAnsi="Arial" w:cs="Arial"/>
          <w:bCs/>
          <w:color w:val="000000"/>
          <w:sz w:val="20"/>
          <w:szCs w:val="20"/>
        </w:rPr>
        <w:t xml:space="preserve"> and in addition on human erythropoietin</w:t>
      </w:r>
      <w:r>
        <w:rPr>
          <w:rFonts w:ascii="Arial" w:hAnsi="Arial" w:cs="Arial"/>
          <w:bCs/>
          <w:color w:val="000000"/>
          <w:sz w:val="20"/>
          <w:szCs w:val="20"/>
        </w:rPr>
        <w:t xml:space="preserve">.  No interference with the assay was found.  </w:t>
      </w:r>
    </w:p>
    <w:p w:rsidR="00656857" w:rsidRDefault="00656857"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It is contraindicated to measure samples of patients receiving therapy with certain pharmaceuticals, e.g. methotrexate or leucovorin, because of the cross-reactivity of folate binding protein with these compounds.</w:t>
      </w:r>
    </w:p>
    <w:p w:rsidR="00A858A5" w:rsidRPr="00A858A5" w:rsidRDefault="00656857" w:rsidP="00A858A5">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 xml:space="preserve">Samples with extremely high total protein concentrations (hyperproteinemia) are not suitable for use in this assay.  Hyperproteinemia may be caused by, but not limited to, </w:t>
      </w:r>
      <w:r w:rsidR="00A858A5">
        <w:rPr>
          <w:rFonts w:ascii="Arial" w:hAnsi="Arial" w:cs="Arial"/>
          <w:bCs/>
          <w:color w:val="000000"/>
          <w:sz w:val="20"/>
          <w:szCs w:val="20"/>
        </w:rPr>
        <w:t>the following conditions: Lymphoma</w:t>
      </w:r>
      <w:r w:rsidR="00A858A5">
        <w:rPr>
          <w:rFonts w:ascii="Arial" w:hAnsi="Arial" w:cs="Arial"/>
          <w:bCs/>
          <w:color w:val="000000"/>
          <w:sz w:val="20"/>
          <w:szCs w:val="20"/>
          <w:vertAlign w:val="superscript"/>
        </w:rPr>
        <w:t>9</w:t>
      </w:r>
      <w:r w:rsidR="00A858A5">
        <w:rPr>
          <w:rFonts w:ascii="Arial" w:hAnsi="Arial" w:cs="Arial"/>
          <w:bCs/>
          <w:color w:val="000000"/>
          <w:sz w:val="20"/>
          <w:szCs w:val="20"/>
        </w:rPr>
        <w:t xml:space="preserve">, bone marrow disorders such as multiple myeloma, monoclonal gammopathy of undermined significance (MGUS), Waldenstrom macroglobulinemia, </w:t>
      </w:r>
      <w:r w:rsidR="00A858A5">
        <w:rPr>
          <w:rFonts w:ascii="Arial" w:hAnsi="Arial" w:cs="Arial"/>
          <w:bCs/>
          <w:color w:val="000000"/>
          <w:sz w:val="20"/>
          <w:szCs w:val="20"/>
        </w:rPr>
        <w:lastRenderedPageBreak/>
        <w:t>plasmocytoma</w:t>
      </w:r>
      <w:r w:rsidR="00A858A5">
        <w:rPr>
          <w:rFonts w:ascii="Arial" w:hAnsi="Arial" w:cs="Arial"/>
          <w:bCs/>
          <w:color w:val="000000"/>
          <w:sz w:val="20"/>
          <w:szCs w:val="20"/>
          <w:vertAlign w:val="superscript"/>
        </w:rPr>
        <w:t>10,11,12,13</w:t>
      </w:r>
      <w:r w:rsidR="00A858A5">
        <w:rPr>
          <w:rFonts w:ascii="Arial" w:hAnsi="Arial" w:cs="Arial"/>
          <w:bCs/>
          <w:color w:val="000000"/>
          <w:sz w:val="20"/>
          <w:szCs w:val="20"/>
        </w:rPr>
        <w:t>, Amyloidosis</w:t>
      </w:r>
      <w:r w:rsidR="00A858A5">
        <w:rPr>
          <w:rFonts w:ascii="Arial" w:hAnsi="Arial" w:cs="Arial"/>
          <w:bCs/>
          <w:color w:val="000000"/>
          <w:sz w:val="20"/>
          <w:szCs w:val="20"/>
          <w:vertAlign w:val="superscript"/>
        </w:rPr>
        <w:t>14,15,16,17</w:t>
      </w:r>
      <w:r w:rsidR="00A858A5">
        <w:rPr>
          <w:rFonts w:ascii="Arial" w:hAnsi="Arial" w:cs="Arial"/>
          <w:bCs/>
          <w:color w:val="000000"/>
          <w:sz w:val="20"/>
          <w:szCs w:val="20"/>
        </w:rPr>
        <w:t>. Respective samples may lead to the formation of protein gel in the assay cup, which may cause a run abort.  The critical total protein concentration is dependent upon the individual sample composition,</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 xml:space="preserve">In rare cases, interference due to extremely high titers of antibodies to analyte-specific antibodies, streptavidin or ruthenium can occur.  These effects are minimized by suitable test design.  </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 xml:space="preserve">For diagnostic purposes, the results should always be assessed in conjunction </w:t>
      </w:r>
      <w:r w:rsidR="00A858A5">
        <w:rPr>
          <w:rFonts w:ascii="Arial" w:hAnsi="Arial" w:cs="Arial"/>
          <w:bCs/>
          <w:color w:val="000000"/>
          <w:sz w:val="20"/>
          <w:szCs w:val="20"/>
        </w:rPr>
        <w:t xml:space="preserve">RBC folate, </w:t>
      </w:r>
      <w:r>
        <w:rPr>
          <w:rFonts w:ascii="Arial" w:hAnsi="Arial" w:cs="Arial"/>
          <w:bCs/>
          <w:color w:val="000000"/>
          <w:sz w:val="20"/>
          <w:szCs w:val="20"/>
        </w:rPr>
        <w:t>the patient’s medical history, clinical examination</w:t>
      </w:r>
      <w:r w:rsidR="00A858A5">
        <w:rPr>
          <w:rFonts w:ascii="Arial" w:hAnsi="Arial" w:cs="Arial"/>
          <w:bCs/>
          <w:color w:val="000000"/>
          <w:sz w:val="20"/>
          <w:szCs w:val="20"/>
        </w:rPr>
        <w:t>,</w:t>
      </w:r>
      <w:r>
        <w:rPr>
          <w:rFonts w:ascii="Arial" w:hAnsi="Arial" w:cs="Arial"/>
          <w:bCs/>
          <w:color w:val="000000"/>
          <w:sz w:val="20"/>
          <w:szCs w:val="20"/>
        </w:rPr>
        <w:t xml:space="preserve"> and other findings.  </w:t>
      </w:r>
    </w:p>
    <w:p w:rsidR="00ED303D"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w:t>
      </w:r>
      <w:r w:rsidRPr="007C1D50">
        <w:rPr>
          <w:rFonts w:ascii="Arial" w:hAnsi="Arial" w:cs="Arial"/>
          <w:b/>
          <w:bCs/>
          <w:color w:val="000000"/>
          <w:sz w:val="20"/>
          <w:szCs w:val="20"/>
        </w:rPr>
        <w:tab/>
        <w:t>CALCULATIONS</w:t>
      </w:r>
    </w:p>
    <w:p w:rsidR="00ED303D" w:rsidRPr="00EC5430" w:rsidRDefault="00ED303D" w:rsidP="00ED303D">
      <w:pPr>
        <w:ind w:left="720"/>
        <w:rPr>
          <w:rFonts w:ascii="Arial" w:hAnsi="Arial" w:cs="Arial"/>
          <w:sz w:val="20"/>
          <w:szCs w:val="20"/>
        </w:rPr>
      </w:pPr>
      <w:r w:rsidRPr="00EC5430">
        <w:rPr>
          <w:rFonts w:ascii="Arial" w:hAnsi="Arial" w:cs="Arial"/>
          <w:sz w:val="20"/>
          <w:szCs w:val="20"/>
        </w:rPr>
        <w:t xml:space="preserve">COBAS </w:t>
      </w:r>
      <w:r>
        <w:rPr>
          <w:rFonts w:ascii="Arial" w:hAnsi="Arial" w:cs="Arial"/>
          <w:sz w:val="20"/>
          <w:szCs w:val="20"/>
        </w:rPr>
        <w:t>e411</w:t>
      </w:r>
      <w:r w:rsidRPr="00EC5430">
        <w:rPr>
          <w:rFonts w:ascii="Arial" w:hAnsi="Arial" w:cs="Arial"/>
          <w:sz w:val="20"/>
          <w:szCs w:val="20"/>
        </w:rPr>
        <w:t xml:space="preserve"> analyzers automatically calculate the analyte concentration of each sample.</w:t>
      </w:r>
    </w:p>
    <w:p w:rsidR="00ED303D" w:rsidRPr="007C1D50" w:rsidRDefault="00ED303D" w:rsidP="00ED303D">
      <w:pPr>
        <w:autoSpaceDE w:val="0"/>
        <w:autoSpaceDN w:val="0"/>
        <w:adjustRightInd w:val="0"/>
        <w:spacing w:after="240"/>
        <w:ind w:left="720"/>
        <w:jc w:val="both"/>
        <w:rPr>
          <w:rFonts w:ascii="Arial" w:hAnsi="Arial" w:cs="Arial"/>
          <w:b/>
          <w:bCs/>
          <w:color w:val="000000"/>
          <w:sz w:val="20"/>
          <w:szCs w:val="20"/>
        </w:rPr>
      </w:pPr>
    </w:p>
    <w:p w:rsidR="00ED303D"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XI.</w:t>
      </w:r>
      <w:r w:rsidRPr="007C1D50">
        <w:rPr>
          <w:rFonts w:ascii="Arial" w:hAnsi="Arial" w:cs="Arial"/>
          <w:b/>
          <w:bCs/>
          <w:color w:val="000000"/>
          <w:sz w:val="20"/>
          <w:szCs w:val="20"/>
        </w:rPr>
        <w:tab/>
      </w:r>
      <w:r>
        <w:rPr>
          <w:rFonts w:ascii="Arial" w:hAnsi="Arial" w:cs="Arial"/>
          <w:b/>
          <w:bCs/>
          <w:color w:val="000000"/>
          <w:sz w:val="20"/>
          <w:szCs w:val="20"/>
        </w:rPr>
        <w:t>MEASURING RANGE AND DILUTIONS</w:t>
      </w:r>
    </w:p>
    <w:p w:rsidR="00ED303D" w:rsidRDefault="00ED303D" w:rsidP="00ED303D">
      <w:pPr>
        <w:pStyle w:val="NcclsPara"/>
        <w:ind w:left="720"/>
        <w:rPr>
          <w:rFonts w:ascii="Arial" w:hAnsi="Arial" w:cs="Arial"/>
          <w:sz w:val="20"/>
          <w:szCs w:val="20"/>
        </w:rPr>
      </w:pPr>
      <w:r>
        <w:rPr>
          <w:rFonts w:ascii="Arial" w:hAnsi="Arial" w:cs="Arial"/>
          <w:b/>
          <w:bCs/>
          <w:color w:val="000000"/>
          <w:sz w:val="20"/>
          <w:szCs w:val="20"/>
        </w:rPr>
        <w:t xml:space="preserve"> </w:t>
      </w:r>
      <w:r w:rsidRPr="00EC5430">
        <w:rPr>
          <w:rFonts w:ascii="Arial" w:hAnsi="Arial" w:cs="Arial"/>
          <w:sz w:val="20"/>
          <w:szCs w:val="20"/>
        </w:rPr>
        <w:t>Refer to the Roche Range Chart for the measuring range and manual dilution guidelines (SW.</w:t>
      </w:r>
      <w:r w:rsidR="005B6878">
        <w:rPr>
          <w:rFonts w:ascii="Arial" w:hAnsi="Arial" w:cs="Arial"/>
          <w:sz w:val="20"/>
          <w:szCs w:val="20"/>
        </w:rPr>
        <w:t>C</w:t>
      </w:r>
      <w:r w:rsidRPr="00EC5430">
        <w:rPr>
          <w:rFonts w:ascii="Arial" w:hAnsi="Arial" w:cs="Arial"/>
          <w:sz w:val="20"/>
          <w:szCs w:val="20"/>
        </w:rPr>
        <w:t>P.GL.jad.0104).</w:t>
      </w:r>
    </w:p>
    <w:p w:rsidR="005B6878" w:rsidRDefault="005B6878" w:rsidP="00ED303D">
      <w:pPr>
        <w:pStyle w:val="NcclsPara"/>
        <w:ind w:left="720"/>
        <w:rPr>
          <w:rFonts w:ascii="Arial" w:hAnsi="Arial" w:cs="Arial"/>
          <w:sz w:val="20"/>
          <w:szCs w:val="20"/>
        </w:rPr>
      </w:pPr>
    </w:p>
    <w:p w:rsidR="00ED303D" w:rsidRDefault="00ED303D" w:rsidP="00ED303D">
      <w:pPr>
        <w:autoSpaceDE w:val="0"/>
        <w:autoSpaceDN w:val="0"/>
        <w:adjustRightInd w:val="0"/>
        <w:spacing w:after="240"/>
        <w:jc w:val="both"/>
        <w:rPr>
          <w:rFonts w:ascii="Arial" w:hAnsi="Arial" w:cs="Arial"/>
          <w:b/>
          <w:bCs/>
          <w:color w:val="000000"/>
          <w:sz w:val="20"/>
          <w:szCs w:val="20"/>
        </w:rPr>
      </w:pPr>
      <w:r>
        <w:rPr>
          <w:rFonts w:ascii="Arial" w:hAnsi="Arial" w:cs="Arial"/>
          <w:b/>
          <w:bCs/>
          <w:color w:val="000000"/>
          <w:sz w:val="20"/>
          <w:szCs w:val="20"/>
        </w:rPr>
        <w:t xml:space="preserve">XII. </w:t>
      </w:r>
      <w:r>
        <w:rPr>
          <w:rFonts w:ascii="Arial" w:hAnsi="Arial" w:cs="Arial"/>
          <w:b/>
          <w:bCs/>
          <w:color w:val="000000"/>
          <w:sz w:val="20"/>
          <w:szCs w:val="20"/>
        </w:rPr>
        <w:tab/>
      </w:r>
      <w:r w:rsidRPr="007C1D50">
        <w:rPr>
          <w:rFonts w:ascii="Arial" w:hAnsi="Arial" w:cs="Arial"/>
          <w:b/>
          <w:bCs/>
          <w:color w:val="000000"/>
          <w:sz w:val="20"/>
          <w:szCs w:val="20"/>
        </w:rPr>
        <w:t>INTERPRETATION</w:t>
      </w:r>
    </w:p>
    <w:p w:rsidR="00ED303D" w:rsidRPr="00E35AAC" w:rsidRDefault="00ED303D" w:rsidP="00ED303D">
      <w:pPr>
        <w:ind w:left="720"/>
        <w:rPr>
          <w:b/>
        </w:rPr>
      </w:pPr>
      <w:r w:rsidRPr="002B7602">
        <w:t>Refer to Reference Range guide for age appropriate referen</w:t>
      </w:r>
      <w:r>
        <w:t>ce ranges and critical value levels (SW.CP.GL.jad.0103).</w:t>
      </w:r>
    </w:p>
    <w:p w:rsidR="00ED303D" w:rsidRPr="007C1D50" w:rsidRDefault="00ED303D" w:rsidP="00ED303D">
      <w:pPr>
        <w:autoSpaceDE w:val="0"/>
        <w:autoSpaceDN w:val="0"/>
        <w:adjustRightInd w:val="0"/>
        <w:spacing w:after="240"/>
        <w:ind w:left="720"/>
        <w:jc w:val="both"/>
        <w:rPr>
          <w:rFonts w:ascii="Arial" w:hAnsi="Arial" w:cs="Arial"/>
          <w:b/>
          <w:bCs/>
          <w:color w:val="000000"/>
          <w:sz w:val="20"/>
          <w:szCs w:val="20"/>
        </w:rPr>
      </w:pPr>
    </w:p>
    <w:p w:rsidR="00ED303D"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XII.</w:t>
      </w:r>
      <w:r w:rsidRPr="007C1D50">
        <w:rPr>
          <w:rFonts w:ascii="Arial" w:hAnsi="Arial" w:cs="Arial"/>
          <w:b/>
          <w:bCs/>
          <w:color w:val="000000"/>
          <w:sz w:val="20"/>
          <w:szCs w:val="20"/>
        </w:rPr>
        <w:tab/>
        <w:t>RESULT REPORTING</w:t>
      </w:r>
    </w:p>
    <w:p w:rsidR="00ED303D" w:rsidRDefault="00ED303D" w:rsidP="00ED303D">
      <w:pPr>
        <w:ind w:left="720"/>
      </w:pPr>
      <w:r>
        <w:t>Results are generally reported via the DI Middleware-refer to procedure SW.CP.GL.lab.0103.</w:t>
      </w:r>
    </w:p>
    <w:p w:rsidR="00ED303D" w:rsidRPr="00A97B4F" w:rsidRDefault="00ED303D" w:rsidP="00ED303D">
      <w:pPr>
        <w:autoSpaceDE w:val="0"/>
        <w:autoSpaceDN w:val="0"/>
        <w:adjustRightInd w:val="0"/>
        <w:spacing w:after="240"/>
        <w:ind w:left="720"/>
        <w:jc w:val="both"/>
        <w:rPr>
          <w:rFonts w:ascii="Arial" w:hAnsi="Arial" w:cs="Arial"/>
          <w:sz w:val="20"/>
        </w:rPr>
      </w:pPr>
    </w:p>
    <w:p w:rsidR="00ED303D" w:rsidRPr="007C1D50"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XIII.</w:t>
      </w:r>
      <w:r w:rsidRPr="007C1D50">
        <w:rPr>
          <w:rFonts w:ascii="Arial" w:hAnsi="Arial" w:cs="Arial"/>
          <w:b/>
          <w:bCs/>
          <w:color w:val="000000"/>
          <w:sz w:val="20"/>
          <w:szCs w:val="20"/>
        </w:rPr>
        <w:tab/>
        <w:t>TRAINING</w:t>
      </w:r>
    </w:p>
    <w:p w:rsidR="00ED303D" w:rsidRDefault="00ED303D" w:rsidP="00ED303D">
      <w:pPr>
        <w:autoSpaceDE w:val="0"/>
        <w:autoSpaceDN w:val="0"/>
        <w:adjustRightInd w:val="0"/>
        <w:spacing w:after="240"/>
        <w:ind w:left="720"/>
        <w:jc w:val="both"/>
        <w:rPr>
          <w:rFonts w:ascii="Arial" w:hAnsi="Arial" w:cs="Arial"/>
          <w:sz w:val="20"/>
        </w:rPr>
      </w:pPr>
    </w:p>
    <w:tbl>
      <w:tblPr>
        <w:tblW w:w="0" w:type="auto"/>
        <w:jc w:val="center"/>
        <w:tblLook w:val="01E0" w:firstRow="1" w:lastRow="1" w:firstColumn="1" w:lastColumn="1" w:noHBand="0" w:noVBand="0"/>
      </w:tblPr>
      <w:tblGrid>
        <w:gridCol w:w="1638"/>
        <w:gridCol w:w="2183"/>
      </w:tblGrid>
      <w:tr w:rsidR="00ED303D" w:rsidRPr="007C57E2" w:rsidTr="00DE6319">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b/>
                <w:sz w:val="20"/>
                <w:szCs w:val="20"/>
              </w:rPr>
            </w:pPr>
            <w:r w:rsidRPr="00E35AAC">
              <w:rPr>
                <w:rFonts w:ascii="Arial" w:hAnsi="Arial" w:cs="Arial"/>
                <w:b/>
                <w:sz w:val="20"/>
                <w:szCs w:val="20"/>
              </w:rPr>
              <w:t>Role</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b/>
                <w:sz w:val="20"/>
                <w:szCs w:val="20"/>
              </w:rPr>
            </w:pPr>
            <w:r w:rsidRPr="00E35AAC">
              <w:rPr>
                <w:rFonts w:ascii="Arial" w:hAnsi="Arial" w:cs="Arial"/>
                <w:b/>
                <w:sz w:val="20"/>
                <w:szCs w:val="20"/>
              </w:rPr>
              <w:t>Training Needed</w:t>
            </w:r>
          </w:p>
        </w:tc>
      </w:tr>
      <w:tr w:rsidR="00ED303D" w:rsidRPr="00E35AAC" w:rsidTr="00DE6319">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sz w:val="20"/>
                <w:szCs w:val="20"/>
              </w:rPr>
            </w:pPr>
            <w:r w:rsidRPr="00E35AAC">
              <w:rPr>
                <w:rFonts w:ascii="Arial" w:hAnsi="Arial" w:cs="Arial"/>
                <w:sz w:val="20"/>
                <w:szCs w:val="20"/>
              </w:rPr>
              <w:t>Management</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sz w:val="20"/>
                <w:szCs w:val="20"/>
              </w:rPr>
            </w:pPr>
            <w:r w:rsidRPr="00E35AAC">
              <w:rPr>
                <w:rFonts w:ascii="Arial" w:hAnsi="Arial" w:cs="Arial"/>
                <w:sz w:val="20"/>
                <w:szCs w:val="20"/>
              </w:rPr>
              <w:t>Read procedure</w:t>
            </w:r>
          </w:p>
        </w:tc>
      </w:tr>
      <w:tr w:rsidR="00ED303D" w:rsidRPr="00E35AAC" w:rsidTr="00DE6319">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sz w:val="20"/>
                <w:szCs w:val="20"/>
              </w:rPr>
            </w:pPr>
            <w:r w:rsidRPr="00E35AAC">
              <w:rPr>
                <w:rFonts w:ascii="Arial" w:hAnsi="Arial" w:cs="Arial"/>
                <w:sz w:val="20"/>
                <w:szCs w:val="20"/>
              </w:rPr>
              <w:t>Employees</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sz w:val="20"/>
                <w:szCs w:val="20"/>
              </w:rPr>
            </w:pPr>
            <w:r w:rsidRPr="00E35AAC">
              <w:rPr>
                <w:rFonts w:ascii="Arial" w:hAnsi="Arial" w:cs="Arial"/>
                <w:sz w:val="20"/>
                <w:szCs w:val="20"/>
              </w:rPr>
              <w:t>Read procedure</w:t>
            </w:r>
          </w:p>
        </w:tc>
      </w:tr>
    </w:tbl>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pStyle w:val="Second-OrderHeading"/>
        <w:numPr>
          <w:ilvl w:val="0"/>
          <w:numId w:val="0"/>
        </w:numPr>
        <w:tabs>
          <w:tab w:val="left" w:pos="6630"/>
        </w:tabs>
        <w:ind w:left="720" w:hanging="720"/>
        <w:rPr>
          <w:rFonts w:ascii="Arial" w:hAnsi="Arial" w:cs="Arial"/>
          <w:b/>
          <w:sz w:val="20"/>
        </w:rPr>
      </w:pPr>
      <w:r w:rsidRPr="007C1D50">
        <w:rPr>
          <w:rFonts w:ascii="Arial" w:hAnsi="Arial" w:cs="Arial"/>
          <w:b/>
          <w:sz w:val="20"/>
        </w:rPr>
        <w:lastRenderedPageBreak/>
        <w:t xml:space="preserve">IVX. </w:t>
      </w:r>
      <w:r w:rsidRPr="007C1D50">
        <w:rPr>
          <w:rFonts w:ascii="Arial" w:hAnsi="Arial" w:cs="Arial"/>
          <w:b/>
          <w:sz w:val="20"/>
        </w:rPr>
        <w:tab/>
        <w:t>REFERENCES</w:t>
      </w:r>
    </w:p>
    <w:p w:rsidR="009B2A5D" w:rsidRDefault="00A858A5" w:rsidP="009717B7">
      <w:pPr>
        <w:pStyle w:val="Second-OrderHeading"/>
        <w:numPr>
          <w:ilvl w:val="0"/>
          <w:numId w:val="0"/>
        </w:numPr>
        <w:tabs>
          <w:tab w:val="left" w:pos="6630"/>
        </w:tabs>
        <w:ind w:left="720" w:hanging="720"/>
        <w:rPr>
          <w:rFonts w:ascii="Arial" w:hAnsi="Arial" w:cs="Arial"/>
          <w:b/>
          <w:sz w:val="20"/>
        </w:rPr>
      </w:pPr>
      <w:r>
        <w:rPr>
          <w:noProof/>
        </w:rPr>
        <w:drawing>
          <wp:inline distT="0" distB="0" distL="0" distR="0" wp14:anchorId="304424D8" wp14:editId="3E0A657B">
            <wp:extent cx="334327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43275" cy="495300"/>
                    </a:xfrm>
                    <a:prstGeom prst="rect">
                      <a:avLst/>
                    </a:prstGeom>
                  </pic:spPr>
                </pic:pic>
              </a:graphicData>
            </a:graphic>
          </wp:inline>
        </w:drawing>
      </w:r>
    </w:p>
    <w:p w:rsidR="00A858A5" w:rsidRPr="009717B7" w:rsidRDefault="00A858A5" w:rsidP="009717B7">
      <w:pPr>
        <w:pStyle w:val="Second-OrderHeading"/>
        <w:numPr>
          <w:ilvl w:val="0"/>
          <w:numId w:val="0"/>
        </w:numPr>
        <w:tabs>
          <w:tab w:val="left" w:pos="6630"/>
        </w:tabs>
        <w:ind w:left="720" w:hanging="720"/>
        <w:rPr>
          <w:rFonts w:ascii="Arial" w:hAnsi="Arial" w:cs="Arial"/>
          <w:b/>
          <w:sz w:val="20"/>
        </w:rPr>
      </w:pPr>
      <w:r>
        <w:rPr>
          <w:noProof/>
        </w:rPr>
        <w:drawing>
          <wp:inline distT="0" distB="0" distL="0" distR="0" wp14:anchorId="2DFB846C" wp14:editId="07377DBD">
            <wp:extent cx="3524250" cy="6562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24250" cy="6562725"/>
                    </a:xfrm>
                    <a:prstGeom prst="rect">
                      <a:avLst/>
                    </a:prstGeom>
                  </pic:spPr>
                </pic:pic>
              </a:graphicData>
            </a:graphic>
          </wp:inline>
        </w:drawing>
      </w:r>
      <w:bookmarkStart w:id="0" w:name="_GoBack"/>
      <w:bookmarkEnd w:id="0"/>
    </w:p>
    <w:sectPr w:rsidR="00A858A5" w:rsidRPr="009717B7" w:rsidSect="005D32A9">
      <w:headerReference w:type="default" r:id="rId14"/>
      <w:footerReference w:type="default" r:id="rId15"/>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45" w:rsidRDefault="00904945" w:rsidP="0020707A">
      <w:r>
        <w:separator/>
      </w:r>
    </w:p>
  </w:endnote>
  <w:endnote w:type="continuationSeparator" w:id="0">
    <w:p w:rsidR="00904945" w:rsidRDefault="00904945" w:rsidP="0020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803399"/>
      <w:docPartObj>
        <w:docPartGallery w:val="Page Numbers (Bottom of Page)"/>
        <w:docPartUnique/>
      </w:docPartObj>
    </w:sdtPr>
    <w:sdtEndPr/>
    <w:sdtContent>
      <w:sdt>
        <w:sdtPr>
          <w:id w:val="860082579"/>
          <w:docPartObj>
            <w:docPartGallery w:val="Page Numbers (Top of Page)"/>
            <w:docPartUnique/>
          </w:docPartObj>
        </w:sdtPr>
        <w:sdtEndPr/>
        <w:sdtContent>
          <w:p w:rsidR="000D227F" w:rsidRDefault="000D227F">
            <w:pPr>
              <w:pStyle w:val="Footer"/>
              <w:jc w:val="right"/>
            </w:pPr>
            <w:r>
              <w:t xml:space="preserve">Page </w:t>
            </w:r>
            <w:r>
              <w:rPr>
                <w:b/>
                <w:bCs/>
              </w:rPr>
              <w:fldChar w:fldCharType="begin"/>
            </w:r>
            <w:r>
              <w:rPr>
                <w:b/>
                <w:bCs/>
              </w:rPr>
              <w:instrText xml:space="preserve"> PAGE </w:instrText>
            </w:r>
            <w:r>
              <w:rPr>
                <w:b/>
                <w:bCs/>
              </w:rPr>
              <w:fldChar w:fldCharType="separate"/>
            </w:r>
            <w:r w:rsidR="00A858A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858A5">
              <w:rPr>
                <w:b/>
                <w:bCs/>
                <w:noProof/>
              </w:rPr>
              <w:t>8</w:t>
            </w:r>
            <w:r>
              <w:rPr>
                <w:b/>
                <w:bCs/>
              </w:rPr>
              <w:fldChar w:fldCharType="end"/>
            </w:r>
          </w:p>
        </w:sdtContent>
      </w:sdt>
    </w:sdtContent>
  </w:sdt>
  <w:p w:rsidR="000C0F10" w:rsidRDefault="00D401B8" w:rsidP="0020707A">
    <w:pPr>
      <w:pStyle w:val="Footer"/>
    </w:pPr>
    <w:r>
      <w:t>DEPARTMENT OF PAHOLOGY &amp; LABORATORY MEDICINE</w:t>
    </w:r>
    <w:r>
      <w:tab/>
      <w:t>SW.CP.GL.lab.01</w:t>
    </w:r>
    <w:r w:rsidR="00B22825">
      <w:t>4</w:t>
    </w:r>
    <w:r w:rsidR="00D2333D">
      <w:t>3</w:t>
    </w:r>
    <w:r>
      <w:t>.000</w:t>
    </w:r>
    <w:r w:rsidR="009717B7">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45" w:rsidRPr="00716900" w:rsidRDefault="00904945" w:rsidP="00716900">
      <w:pPr>
        <w:pStyle w:val="Footer"/>
      </w:pPr>
    </w:p>
  </w:footnote>
  <w:footnote w:type="continuationSeparator" w:id="0">
    <w:p w:rsidR="00904945" w:rsidRDefault="00904945" w:rsidP="00207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87" w:rsidRDefault="002B7A87" w:rsidP="002B7A87">
    <w:pPr>
      <w:pStyle w:val="Header"/>
    </w:pPr>
    <w:r>
      <w:t>URMC LABS AT STRONG WEST</w:t>
    </w:r>
    <w:r>
      <w:tab/>
    </w:r>
    <w:r>
      <w:tab/>
      <w:t>SW.CP.GL.lab.0</w:t>
    </w:r>
    <w:r w:rsidR="009717B7">
      <w:t>14</w:t>
    </w:r>
    <w:r w:rsidR="00D2333D">
      <w:t>3</w:t>
    </w:r>
    <w:r w:rsidR="00BD0B01">
      <w:t>.000</w:t>
    </w:r>
    <w:r w:rsidR="009717B7">
      <w:t>1</w:t>
    </w:r>
  </w:p>
  <w:p w:rsidR="002B7A87" w:rsidRDefault="002B7A87" w:rsidP="002B7A87">
    <w:pPr>
      <w:pStyle w:val="Header"/>
    </w:pPr>
    <w:r>
      <w:t>156 WEST AVE.</w:t>
    </w:r>
    <w:r>
      <w:tab/>
    </w:r>
    <w:r>
      <w:tab/>
      <w:t xml:space="preserve">ROCHE </w:t>
    </w:r>
    <w:r w:rsidR="00347E67">
      <w:t>e411</w:t>
    </w:r>
    <w:r>
      <w:t xml:space="preserve"> PROCEDURE</w:t>
    </w:r>
  </w:p>
  <w:p w:rsidR="0020707A" w:rsidRPr="002B7A87" w:rsidRDefault="002B7A87" w:rsidP="002B7A87">
    <w:pPr>
      <w:pStyle w:val="Header"/>
    </w:pPr>
    <w:r>
      <w:t>BROCKPORT, NY 14420</w:t>
    </w:r>
    <w:r>
      <w:tab/>
    </w:r>
    <w:r>
      <w:tab/>
    </w:r>
    <w:r w:rsidR="00D2333D">
      <w:t>Folate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32FCFA"/>
    <w:lvl w:ilvl="0">
      <w:start w:val="1"/>
      <w:numFmt w:val="bullet"/>
      <w:lvlText w:val=""/>
      <w:lvlJc w:val="left"/>
      <w:pPr>
        <w:tabs>
          <w:tab w:val="num" w:pos="360"/>
        </w:tabs>
        <w:ind w:left="360" w:hanging="360"/>
      </w:pPr>
      <w:rPr>
        <w:rFonts w:ascii="Symbol" w:hAnsi="Symbol" w:hint="default"/>
      </w:rPr>
    </w:lvl>
  </w:abstractNum>
  <w:abstractNum w:abstractNumId="1">
    <w:nsid w:val="084E5173"/>
    <w:multiLevelType w:val="hybridMultilevel"/>
    <w:tmpl w:val="6CF2EEFC"/>
    <w:lvl w:ilvl="0" w:tplc="D9E4A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282AC2"/>
    <w:multiLevelType w:val="hybridMultilevel"/>
    <w:tmpl w:val="30E66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EA6301"/>
    <w:multiLevelType w:val="hybridMultilevel"/>
    <w:tmpl w:val="DFE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90B91"/>
    <w:multiLevelType w:val="hybridMultilevel"/>
    <w:tmpl w:val="981279A6"/>
    <w:lvl w:ilvl="0" w:tplc="4B6023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920222"/>
    <w:multiLevelType w:val="hybridMultilevel"/>
    <w:tmpl w:val="08786584"/>
    <w:lvl w:ilvl="0" w:tplc="B9C8A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77966"/>
    <w:multiLevelType w:val="hybridMultilevel"/>
    <w:tmpl w:val="26EE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DF78DB"/>
    <w:multiLevelType w:val="hybridMultilevel"/>
    <w:tmpl w:val="6F0CA592"/>
    <w:lvl w:ilvl="0" w:tplc="6BA2AA1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7BA1527"/>
    <w:multiLevelType w:val="hybridMultilevel"/>
    <w:tmpl w:val="459E20D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nsid w:val="3F9D190F"/>
    <w:multiLevelType w:val="hybridMultilevel"/>
    <w:tmpl w:val="23E6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5F31C6"/>
    <w:multiLevelType w:val="hybridMultilevel"/>
    <w:tmpl w:val="6ABAFB34"/>
    <w:lvl w:ilvl="0" w:tplc="A3E617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14409BD"/>
    <w:multiLevelType w:val="hybridMultilevel"/>
    <w:tmpl w:val="B5421C28"/>
    <w:lvl w:ilvl="0" w:tplc="8B50EAAE">
      <w:start w:val="1"/>
      <w:numFmt w:val="decimal"/>
      <w:pStyle w:val="NcclsReference"/>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453D0158"/>
    <w:multiLevelType w:val="hybridMultilevel"/>
    <w:tmpl w:val="0A4EB1B4"/>
    <w:lvl w:ilvl="0" w:tplc="BE4E31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5A1FAF"/>
    <w:multiLevelType w:val="hybridMultilevel"/>
    <w:tmpl w:val="F1DAE3EE"/>
    <w:lvl w:ilvl="0" w:tplc="18CE0D5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4BFB18BE"/>
    <w:multiLevelType w:val="hybridMultilevel"/>
    <w:tmpl w:val="0EF8BE00"/>
    <w:lvl w:ilvl="0" w:tplc="C0028D52">
      <w:start w:val="8"/>
      <w:numFmt w:val="upp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nsid w:val="4FD42E92"/>
    <w:multiLevelType w:val="hybridMultilevel"/>
    <w:tmpl w:val="9470FE1C"/>
    <w:lvl w:ilvl="0" w:tplc="87B005E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3CA42F3"/>
    <w:multiLevelType w:val="multilevel"/>
    <w:tmpl w:val="6218B8F0"/>
    <w:lvl w:ilvl="0">
      <w:start w:val="1"/>
      <w:numFmt w:val="upperRoman"/>
      <w:pStyle w:val="First-OrderHeading"/>
      <w:lvlText w:val="%1."/>
      <w:lvlJc w:val="left"/>
      <w:pPr>
        <w:tabs>
          <w:tab w:val="num" w:pos="720"/>
        </w:tabs>
        <w:ind w:left="720" w:hanging="720"/>
      </w:pPr>
      <w:rPr>
        <w:b/>
        <w:i w:val="0"/>
      </w:rPr>
    </w:lvl>
    <w:lvl w:ilvl="1">
      <w:start w:val="1"/>
      <w:numFmt w:val="upperLetter"/>
      <w:pStyle w:val="Second-OrderHeading"/>
      <w:lvlText w:val="%2."/>
      <w:lvlJc w:val="left"/>
      <w:pPr>
        <w:tabs>
          <w:tab w:val="num" w:pos="0"/>
        </w:tabs>
        <w:ind w:left="1440" w:hanging="720"/>
      </w:pPr>
      <w:rPr>
        <w:rFonts w:ascii="Times New Roman" w:hAnsi="Times New Roman" w:hint="default"/>
        <w:b w:val="0"/>
        <w:i w:val="0"/>
        <w:sz w:val="24"/>
      </w:rPr>
    </w:lvl>
    <w:lvl w:ilvl="2">
      <w:start w:val="1"/>
      <w:numFmt w:val="decimal"/>
      <w:pStyle w:val="Third-OrderHeading"/>
      <w:lvlText w:val="%3."/>
      <w:lvlJc w:val="left"/>
      <w:pPr>
        <w:tabs>
          <w:tab w:val="num" w:pos="0"/>
        </w:tabs>
        <w:ind w:left="2160" w:hanging="720"/>
      </w:pPr>
    </w:lvl>
    <w:lvl w:ilvl="3">
      <w:start w:val="1"/>
      <w:numFmt w:val="lowerLetter"/>
      <w:pStyle w:val="Fourth-OrderHeading"/>
      <w:lvlText w:val="%4."/>
      <w:lvlJc w:val="left"/>
      <w:pPr>
        <w:tabs>
          <w:tab w:val="num" w:pos="0"/>
        </w:tabs>
        <w:ind w:left="2880" w:hanging="720"/>
      </w:pPr>
      <w:rPr>
        <w:b w:val="0"/>
      </w:rPr>
    </w:lvl>
    <w:lvl w:ilvl="4">
      <w:start w:val="1"/>
      <w:numFmt w:val="decimal"/>
      <w:pStyle w:val="Fifth-OrderHeading"/>
      <w:lvlText w:val="(%5)"/>
      <w:lvlJc w:val="left"/>
      <w:pPr>
        <w:tabs>
          <w:tab w:val="num" w:pos="0"/>
        </w:tabs>
        <w:ind w:left="3600" w:hanging="720"/>
      </w:pPr>
    </w:lvl>
    <w:lvl w:ilvl="5">
      <w:start w:val="1"/>
      <w:numFmt w:val="lowerLetter"/>
      <w:pStyle w:val="Sixth-OrderHeading"/>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7">
    <w:nsid w:val="5637464D"/>
    <w:multiLevelType w:val="hybridMultilevel"/>
    <w:tmpl w:val="DD9EB0FC"/>
    <w:lvl w:ilvl="0" w:tplc="CA98C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0C3994"/>
    <w:multiLevelType w:val="hybridMultilevel"/>
    <w:tmpl w:val="4A66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486213"/>
    <w:multiLevelType w:val="hybridMultilevel"/>
    <w:tmpl w:val="894A5FEC"/>
    <w:lvl w:ilvl="0" w:tplc="B9C8A5D4">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763BD4"/>
    <w:multiLevelType w:val="hybridMultilevel"/>
    <w:tmpl w:val="DE6A130A"/>
    <w:lvl w:ilvl="0" w:tplc="4CA85AE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622922"/>
    <w:multiLevelType w:val="hybridMultilevel"/>
    <w:tmpl w:val="65C4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370455"/>
    <w:multiLevelType w:val="hybridMultilevel"/>
    <w:tmpl w:val="CFF8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5"/>
  </w:num>
  <w:num w:numId="4">
    <w:abstractNumId w:val="8"/>
  </w:num>
  <w:num w:numId="5">
    <w:abstractNumId w:val="6"/>
  </w:num>
  <w:num w:numId="6">
    <w:abstractNumId w:val="3"/>
  </w:num>
  <w:num w:numId="7">
    <w:abstractNumId w:val="18"/>
  </w:num>
  <w:num w:numId="8">
    <w:abstractNumId w:val="9"/>
  </w:num>
  <w:num w:numId="9">
    <w:abstractNumId w:val="2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7"/>
  </w:num>
  <w:num w:numId="14">
    <w:abstractNumId w:val="15"/>
  </w:num>
  <w:num w:numId="15">
    <w:abstractNumId w:val="12"/>
  </w:num>
  <w:num w:numId="16">
    <w:abstractNumId w:val="11"/>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6"/>
  </w:num>
  <w:num w:numId="21">
    <w:abstractNumId w:val="20"/>
  </w:num>
  <w:num w:numId="22">
    <w:abstractNumId w:val="14"/>
  </w:num>
  <w:num w:numId="23">
    <w:abstractNumId w:val="2"/>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BB"/>
    <w:rsid w:val="000326C3"/>
    <w:rsid w:val="000522F2"/>
    <w:rsid w:val="000A28E5"/>
    <w:rsid w:val="000A5018"/>
    <w:rsid w:val="000C0F10"/>
    <w:rsid w:val="000D227F"/>
    <w:rsid w:val="000E3FDD"/>
    <w:rsid w:val="001240F8"/>
    <w:rsid w:val="00125CFD"/>
    <w:rsid w:val="001313DB"/>
    <w:rsid w:val="00141FF8"/>
    <w:rsid w:val="001A4F38"/>
    <w:rsid w:val="001D5336"/>
    <w:rsid w:val="001F6E10"/>
    <w:rsid w:val="0020707A"/>
    <w:rsid w:val="002373E4"/>
    <w:rsid w:val="00257BA4"/>
    <w:rsid w:val="00293E9B"/>
    <w:rsid w:val="002B7A87"/>
    <w:rsid w:val="002D1D00"/>
    <w:rsid w:val="002D3CF1"/>
    <w:rsid w:val="002D546C"/>
    <w:rsid w:val="002E60A3"/>
    <w:rsid w:val="003213C6"/>
    <w:rsid w:val="00330B26"/>
    <w:rsid w:val="00347E67"/>
    <w:rsid w:val="00375408"/>
    <w:rsid w:val="00392ABE"/>
    <w:rsid w:val="003B28D0"/>
    <w:rsid w:val="003D3CF2"/>
    <w:rsid w:val="00415C02"/>
    <w:rsid w:val="0042783E"/>
    <w:rsid w:val="0044166A"/>
    <w:rsid w:val="00474172"/>
    <w:rsid w:val="00486DB6"/>
    <w:rsid w:val="004A0E0E"/>
    <w:rsid w:val="004B16BB"/>
    <w:rsid w:val="00502D0E"/>
    <w:rsid w:val="005365A2"/>
    <w:rsid w:val="00544BE3"/>
    <w:rsid w:val="00555556"/>
    <w:rsid w:val="0057754F"/>
    <w:rsid w:val="005A3CC9"/>
    <w:rsid w:val="005B6878"/>
    <w:rsid w:val="005C0966"/>
    <w:rsid w:val="005D32A9"/>
    <w:rsid w:val="005E72BC"/>
    <w:rsid w:val="00601380"/>
    <w:rsid w:val="00607686"/>
    <w:rsid w:val="00656857"/>
    <w:rsid w:val="00672CEB"/>
    <w:rsid w:val="00673E28"/>
    <w:rsid w:val="006B0BA0"/>
    <w:rsid w:val="006B4327"/>
    <w:rsid w:val="006D799D"/>
    <w:rsid w:val="00716900"/>
    <w:rsid w:val="0073412B"/>
    <w:rsid w:val="0074443F"/>
    <w:rsid w:val="00771B42"/>
    <w:rsid w:val="007D44C0"/>
    <w:rsid w:val="007D6836"/>
    <w:rsid w:val="008044B0"/>
    <w:rsid w:val="00814379"/>
    <w:rsid w:val="00842E38"/>
    <w:rsid w:val="00857273"/>
    <w:rsid w:val="008B4BB0"/>
    <w:rsid w:val="008D0C9A"/>
    <w:rsid w:val="008D791C"/>
    <w:rsid w:val="008E7A72"/>
    <w:rsid w:val="00904945"/>
    <w:rsid w:val="009717B7"/>
    <w:rsid w:val="009809CA"/>
    <w:rsid w:val="00983126"/>
    <w:rsid w:val="009A3D11"/>
    <w:rsid w:val="009A4964"/>
    <w:rsid w:val="009B04C2"/>
    <w:rsid w:val="009B2A5D"/>
    <w:rsid w:val="009E6960"/>
    <w:rsid w:val="00A0683B"/>
    <w:rsid w:val="00A344FC"/>
    <w:rsid w:val="00A36065"/>
    <w:rsid w:val="00A53EC8"/>
    <w:rsid w:val="00A858A5"/>
    <w:rsid w:val="00AA16D9"/>
    <w:rsid w:val="00AA5DEB"/>
    <w:rsid w:val="00AD25B2"/>
    <w:rsid w:val="00AD77B4"/>
    <w:rsid w:val="00AF09F2"/>
    <w:rsid w:val="00AF4E76"/>
    <w:rsid w:val="00B049A9"/>
    <w:rsid w:val="00B22825"/>
    <w:rsid w:val="00B42D05"/>
    <w:rsid w:val="00B565FE"/>
    <w:rsid w:val="00B71EAB"/>
    <w:rsid w:val="00BA024A"/>
    <w:rsid w:val="00BB54F3"/>
    <w:rsid w:val="00BD0B01"/>
    <w:rsid w:val="00C02CC8"/>
    <w:rsid w:val="00C327FD"/>
    <w:rsid w:val="00C43197"/>
    <w:rsid w:val="00CC7D43"/>
    <w:rsid w:val="00CD345E"/>
    <w:rsid w:val="00CE29B4"/>
    <w:rsid w:val="00CF769B"/>
    <w:rsid w:val="00D0020F"/>
    <w:rsid w:val="00D210F8"/>
    <w:rsid w:val="00D21128"/>
    <w:rsid w:val="00D2333D"/>
    <w:rsid w:val="00D36B38"/>
    <w:rsid w:val="00D401B8"/>
    <w:rsid w:val="00D63971"/>
    <w:rsid w:val="00DA18F3"/>
    <w:rsid w:val="00E219C5"/>
    <w:rsid w:val="00E378D8"/>
    <w:rsid w:val="00ED303D"/>
    <w:rsid w:val="00EF4DC2"/>
    <w:rsid w:val="00F428E5"/>
    <w:rsid w:val="00F47F58"/>
    <w:rsid w:val="00F80EC0"/>
    <w:rsid w:val="00F9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0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303D"/>
    <w:pPr>
      <w:keepNext/>
      <w:outlineLvl w:val="0"/>
    </w:pPr>
    <w:rPr>
      <w:b/>
      <w:bCs/>
    </w:rPr>
  </w:style>
  <w:style w:type="paragraph" w:styleId="Heading3">
    <w:name w:val="heading 3"/>
    <w:basedOn w:val="Normal"/>
    <w:next w:val="Normal"/>
    <w:link w:val="Heading3Char"/>
    <w:qFormat/>
    <w:rsid w:val="00ED30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BB"/>
    <w:pPr>
      <w:ind w:left="720"/>
      <w:contextualSpacing/>
    </w:pPr>
  </w:style>
  <w:style w:type="paragraph" w:styleId="Header">
    <w:name w:val="header"/>
    <w:basedOn w:val="Normal"/>
    <w:link w:val="HeaderChar"/>
    <w:uiPriority w:val="99"/>
    <w:unhideWhenUsed/>
    <w:rsid w:val="0020707A"/>
    <w:pPr>
      <w:tabs>
        <w:tab w:val="center" w:pos="4680"/>
        <w:tab w:val="right" w:pos="9360"/>
      </w:tabs>
    </w:pPr>
  </w:style>
  <w:style w:type="character" w:customStyle="1" w:styleId="HeaderChar">
    <w:name w:val="Header Char"/>
    <w:basedOn w:val="DefaultParagraphFont"/>
    <w:link w:val="Header"/>
    <w:uiPriority w:val="99"/>
    <w:rsid w:val="0020707A"/>
  </w:style>
  <w:style w:type="paragraph" w:styleId="Footer">
    <w:name w:val="footer"/>
    <w:basedOn w:val="Normal"/>
    <w:link w:val="FooterChar"/>
    <w:uiPriority w:val="99"/>
    <w:unhideWhenUsed/>
    <w:rsid w:val="0020707A"/>
    <w:pPr>
      <w:tabs>
        <w:tab w:val="center" w:pos="4680"/>
        <w:tab w:val="right" w:pos="9360"/>
      </w:tabs>
    </w:pPr>
  </w:style>
  <w:style w:type="character" w:customStyle="1" w:styleId="FooterChar">
    <w:name w:val="Footer Char"/>
    <w:basedOn w:val="DefaultParagraphFont"/>
    <w:link w:val="Footer"/>
    <w:uiPriority w:val="99"/>
    <w:rsid w:val="0020707A"/>
  </w:style>
  <w:style w:type="paragraph" w:customStyle="1" w:styleId="NcclsPara">
    <w:name w:val="NcclsPara"/>
    <w:basedOn w:val="Normal"/>
    <w:rsid w:val="00D63971"/>
    <w:pPr>
      <w:snapToGrid w:val="0"/>
      <w:spacing w:before="100" w:beforeAutospacing="1" w:after="100" w:afterAutospacing="1"/>
      <w:contextualSpacing/>
    </w:pPr>
  </w:style>
  <w:style w:type="paragraph" w:styleId="NoSpacing">
    <w:name w:val="No Spacing"/>
    <w:uiPriority w:val="1"/>
    <w:qFormat/>
    <w:rsid w:val="00B049A9"/>
    <w:pPr>
      <w:spacing w:after="0" w:line="240" w:lineRule="auto"/>
    </w:pPr>
  </w:style>
  <w:style w:type="paragraph" w:customStyle="1" w:styleId="txt">
    <w:name w:val="txt"/>
    <w:basedOn w:val="Normal"/>
    <w:link w:val="txtChar"/>
    <w:rsid w:val="000326C3"/>
    <w:pPr>
      <w:spacing w:after="120"/>
      <w:ind w:left="274"/>
    </w:pPr>
  </w:style>
  <w:style w:type="character" w:customStyle="1" w:styleId="txtChar">
    <w:name w:val="txt Char"/>
    <w:basedOn w:val="DefaultParagraphFont"/>
    <w:link w:val="txt"/>
    <w:rsid w:val="000326C3"/>
    <w:rPr>
      <w:rFonts w:ascii="Times New Roman" w:eastAsia="Times New Roman" w:hAnsi="Times New Roman" w:cs="Times New Roman"/>
      <w:szCs w:val="24"/>
    </w:rPr>
  </w:style>
  <w:style w:type="paragraph" w:customStyle="1" w:styleId="NcclsReference">
    <w:name w:val="NcclsReference"/>
    <w:basedOn w:val="Normal"/>
    <w:rsid w:val="00D36B38"/>
    <w:pPr>
      <w:numPr>
        <w:numId w:val="10"/>
      </w:numPr>
      <w:snapToGrid w:val="0"/>
      <w:spacing w:before="100" w:beforeAutospacing="1" w:after="100" w:afterAutospacing="1"/>
      <w:contextualSpacing/>
    </w:pPr>
  </w:style>
  <w:style w:type="table" w:styleId="TableGrid">
    <w:name w:val="Table Grid"/>
    <w:basedOn w:val="TableNormal"/>
    <w:rsid w:val="009E69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clsLabel">
    <w:name w:val="NcclsLabel"/>
    <w:basedOn w:val="NcclsPara"/>
    <w:rsid w:val="002D3CF1"/>
    <w:rPr>
      <w:b/>
    </w:rPr>
  </w:style>
  <w:style w:type="paragraph" w:styleId="BalloonText">
    <w:name w:val="Balloon Text"/>
    <w:basedOn w:val="Normal"/>
    <w:link w:val="BalloonTextChar"/>
    <w:uiPriority w:val="99"/>
    <w:semiHidden/>
    <w:unhideWhenUsed/>
    <w:rsid w:val="005E72BC"/>
    <w:rPr>
      <w:rFonts w:ascii="Tahoma" w:hAnsi="Tahoma" w:cs="Tahoma"/>
      <w:sz w:val="16"/>
      <w:szCs w:val="16"/>
    </w:rPr>
  </w:style>
  <w:style w:type="character" w:customStyle="1" w:styleId="BalloonTextChar">
    <w:name w:val="Balloon Text Char"/>
    <w:basedOn w:val="DefaultParagraphFont"/>
    <w:link w:val="BalloonText"/>
    <w:uiPriority w:val="99"/>
    <w:semiHidden/>
    <w:rsid w:val="005E72BC"/>
    <w:rPr>
      <w:rFonts w:ascii="Tahoma" w:hAnsi="Tahoma" w:cs="Tahoma"/>
      <w:sz w:val="16"/>
      <w:szCs w:val="16"/>
    </w:rPr>
  </w:style>
  <w:style w:type="paragraph" w:styleId="FootnoteText">
    <w:name w:val="footnote text"/>
    <w:basedOn w:val="Normal"/>
    <w:link w:val="FootnoteTextChar"/>
    <w:semiHidden/>
    <w:rsid w:val="002D1D00"/>
    <w:rPr>
      <w:szCs w:val="20"/>
    </w:rPr>
  </w:style>
  <w:style w:type="character" w:customStyle="1" w:styleId="FootnoteTextChar">
    <w:name w:val="Footnote Text Char"/>
    <w:basedOn w:val="DefaultParagraphFont"/>
    <w:link w:val="FootnoteText"/>
    <w:semiHidden/>
    <w:rsid w:val="002D1D00"/>
    <w:rPr>
      <w:rFonts w:ascii="Times New Roman" w:eastAsia="Times New Roman" w:hAnsi="Times New Roman" w:cs="Times New Roman"/>
      <w:szCs w:val="20"/>
    </w:rPr>
  </w:style>
  <w:style w:type="paragraph" w:styleId="ListBullet">
    <w:name w:val="List Bullet"/>
    <w:basedOn w:val="Normal"/>
    <w:autoRedefine/>
    <w:rsid w:val="00AF4E76"/>
    <w:pPr>
      <w:ind w:left="1170"/>
    </w:pPr>
    <w:rPr>
      <w:sz w:val="18"/>
      <w:szCs w:val="18"/>
    </w:rPr>
  </w:style>
  <w:style w:type="paragraph" w:styleId="BodyTextIndent">
    <w:name w:val="Body Text Indent"/>
    <w:basedOn w:val="Normal"/>
    <w:link w:val="BodyTextIndentChar"/>
    <w:uiPriority w:val="99"/>
    <w:semiHidden/>
    <w:unhideWhenUsed/>
    <w:rsid w:val="00AF4E76"/>
    <w:pPr>
      <w:spacing w:after="120"/>
      <w:ind w:left="360"/>
    </w:pPr>
  </w:style>
  <w:style w:type="character" w:customStyle="1" w:styleId="BodyTextIndentChar">
    <w:name w:val="Body Text Indent Char"/>
    <w:basedOn w:val="DefaultParagraphFont"/>
    <w:link w:val="BodyTextIndent"/>
    <w:uiPriority w:val="99"/>
    <w:semiHidden/>
    <w:rsid w:val="00AF4E76"/>
  </w:style>
  <w:style w:type="paragraph" w:styleId="BodyTextFirstIndent2">
    <w:name w:val="Body Text First Indent 2"/>
    <w:basedOn w:val="Normal"/>
    <w:link w:val="BodyTextFirstIndent2Char"/>
    <w:rsid w:val="00AF4E76"/>
    <w:pPr>
      <w:shd w:val="clear" w:color="000000" w:fill="FFFFFF"/>
      <w:spacing w:after="120"/>
      <w:ind w:left="360" w:firstLine="106"/>
    </w:pPr>
    <w:rPr>
      <w:color w:val="000000"/>
      <w:szCs w:val="20"/>
    </w:rPr>
  </w:style>
  <w:style w:type="character" w:customStyle="1" w:styleId="BodyTextFirstIndent2Char">
    <w:name w:val="Body Text First Indent 2 Char"/>
    <w:basedOn w:val="BodyTextIndentChar"/>
    <w:link w:val="BodyTextFirstIndent2"/>
    <w:rsid w:val="00AF4E76"/>
    <w:rPr>
      <w:rFonts w:ascii="Times New Roman" w:eastAsia="Times New Roman" w:hAnsi="Times New Roman" w:cs="Times New Roman"/>
      <w:color w:val="000000"/>
      <w:sz w:val="24"/>
      <w:szCs w:val="20"/>
      <w:shd w:val="clear" w:color="000000" w:fill="FFFFFF"/>
    </w:rPr>
  </w:style>
  <w:style w:type="paragraph" w:styleId="BodyText">
    <w:name w:val="Body Text"/>
    <w:basedOn w:val="Normal"/>
    <w:link w:val="BodyTextChar"/>
    <w:uiPriority w:val="99"/>
    <w:semiHidden/>
    <w:unhideWhenUsed/>
    <w:rsid w:val="00ED303D"/>
    <w:pPr>
      <w:spacing w:after="120"/>
    </w:pPr>
  </w:style>
  <w:style w:type="character" w:customStyle="1" w:styleId="BodyTextChar">
    <w:name w:val="Body Text Char"/>
    <w:basedOn w:val="DefaultParagraphFont"/>
    <w:link w:val="BodyText"/>
    <w:uiPriority w:val="99"/>
    <w:semiHidden/>
    <w:rsid w:val="00ED303D"/>
  </w:style>
  <w:style w:type="character" w:customStyle="1" w:styleId="Heading1Char">
    <w:name w:val="Heading 1 Char"/>
    <w:basedOn w:val="DefaultParagraphFont"/>
    <w:link w:val="Heading1"/>
    <w:rsid w:val="00ED303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D303D"/>
    <w:rPr>
      <w:rFonts w:ascii="Arial" w:eastAsia="Times New Roman" w:hAnsi="Arial" w:cs="Arial"/>
      <w:b/>
      <w:bCs/>
      <w:sz w:val="26"/>
      <w:szCs w:val="26"/>
    </w:rPr>
  </w:style>
  <w:style w:type="paragraph" w:customStyle="1" w:styleId="First-OrderHeading">
    <w:name w:val="First-Order Heading"/>
    <w:basedOn w:val="Normal"/>
    <w:rsid w:val="00ED303D"/>
    <w:pPr>
      <w:numPr>
        <w:numId w:val="20"/>
      </w:numPr>
      <w:spacing w:before="240" w:after="240"/>
    </w:pPr>
    <w:rPr>
      <w:b/>
      <w:caps/>
      <w:szCs w:val="20"/>
    </w:rPr>
  </w:style>
  <w:style w:type="paragraph" w:customStyle="1" w:styleId="Second-OrderHeading">
    <w:name w:val="Second-Order Heading"/>
    <w:basedOn w:val="First-OrderHeading"/>
    <w:link w:val="Second-OrderHeadingChar"/>
    <w:rsid w:val="00ED303D"/>
    <w:pPr>
      <w:numPr>
        <w:ilvl w:val="1"/>
      </w:numPr>
      <w:spacing w:before="0"/>
    </w:pPr>
    <w:rPr>
      <w:b w:val="0"/>
      <w:caps w:val="0"/>
    </w:rPr>
  </w:style>
  <w:style w:type="paragraph" w:customStyle="1" w:styleId="Third-OrderHeading">
    <w:name w:val="Third-Order Heading"/>
    <w:basedOn w:val="Second-OrderHeading"/>
    <w:rsid w:val="00ED303D"/>
    <w:pPr>
      <w:numPr>
        <w:ilvl w:val="2"/>
      </w:numPr>
      <w:tabs>
        <w:tab w:val="clear" w:pos="0"/>
      </w:tabs>
      <w:ind w:left="2880" w:hanging="180"/>
    </w:pPr>
  </w:style>
  <w:style w:type="paragraph" w:customStyle="1" w:styleId="Fourth-OrderHeading">
    <w:name w:val="Fourth-Order Heading"/>
    <w:basedOn w:val="Third-OrderHeading"/>
    <w:rsid w:val="00ED303D"/>
    <w:pPr>
      <w:numPr>
        <w:ilvl w:val="3"/>
      </w:numPr>
      <w:tabs>
        <w:tab w:val="clear" w:pos="0"/>
      </w:tabs>
      <w:ind w:left="3600" w:hanging="360"/>
    </w:pPr>
  </w:style>
  <w:style w:type="paragraph" w:customStyle="1" w:styleId="Fifth-OrderHeading">
    <w:name w:val="Fifth-Order Heading"/>
    <w:basedOn w:val="Fourth-OrderHeading"/>
    <w:rsid w:val="00ED303D"/>
    <w:pPr>
      <w:numPr>
        <w:ilvl w:val="4"/>
      </w:numPr>
      <w:tabs>
        <w:tab w:val="clear" w:pos="0"/>
      </w:tabs>
      <w:ind w:left="4320" w:hanging="360"/>
    </w:pPr>
  </w:style>
  <w:style w:type="paragraph" w:customStyle="1" w:styleId="Sixth-OrderHeading">
    <w:name w:val="Sixth-Order Heading"/>
    <w:basedOn w:val="Fifth-OrderHeading"/>
    <w:rsid w:val="00ED303D"/>
    <w:pPr>
      <w:numPr>
        <w:ilvl w:val="5"/>
      </w:numPr>
      <w:tabs>
        <w:tab w:val="clear" w:pos="0"/>
      </w:tabs>
      <w:ind w:left="5040" w:hanging="180"/>
    </w:pPr>
  </w:style>
  <w:style w:type="paragraph" w:customStyle="1" w:styleId="TableHeaderText">
    <w:name w:val="Table Header Text"/>
    <w:basedOn w:val="Normal"/>
    <w:rsid w:val="00ED303D"/>
    <w:pPr>
      <w:jc w:val="center"/>
    </w:pPr>
    <w:rPr>
      <w:b/>
      <w:szCs w:val="20"/>
    </w:rPr>
  </w:style>
  <w:style w:type="character" w:customStyle="1" w:styleId="Second-OrderHeadingChar">
    <w:name w:val="Second-Order Heading Char"/>
    <w:link w:val="Second-OrderHeading"/>
    <w:rsid w:val="00ED303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0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303D"/>
    <w:pPr>
      <w:keepNext/>
      <w:outlineLvl w:val="0"/>
    </w:pPr>
    <w:rPr>
      <w:b/>
      <w:bCs/>
    </w:rPr>
  </w:style>
  <w:style w:type="paragraph" w:styleId="Heading3">
    <w:name w:val="heading 3"/>
    <w:basedOn w:val="Normal"/>
    <w:next w:val="Normal"/>
    <w:link w:val="Heading3Char"/>
    <w:qFormat/>
    <w:rsid w:val="00ED30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BB"/>
    <w:pPr>
      <w:ind w:left="720"/>
      <w:contextualSpacing/>
    </w:pPr>
  </w:style>
  <w:style w:type="paragraph" w:styleId="Header">
    <w:name w:val="header"/>
    <w:basedOn w:val="Normal"/>
    <w:link w:val="HeaderChar"/>
    <w:uiPriority w:val="99"/>
    <w:unhideWhenUsed/>
    <w:rsid w:val="0020707A"/>
    <w:pPr>
      <w:tabs>
        <w:tab w:val="center" w:pos="4680"/>
        <w:tab w:val="right" w:pos="9360"/>
      </w:tabs>
    </w:pPr>
  </w:style>
  <w:style w:type="character" w:customStyle="1" w:styleId="HeaderChar">
    <w:name w:val="Header Char"/>
    <w:basedOn w:val="DefaultParagraphFont"/>
    <w:link w:val="Header"/>
    <w:uiPriority w:val="99"/>
    <w:rsid w:val="0020707A"/>
  </w:style>
  <w:style w:type="paragraph" w:styleId="Footer">
    <w:name w:val="footer"/>
    <w:basedOn w:val="Normal"/>
    <w:link w:val="FooterChar"/>
    <w:uiPriority w:val="99"/>
    <w:unhideWhenUsed/>
    <w:rsid w:val="0020707A"/>
    <w:pPr>
      <w:tabs>
        <w:tab w:val="center" w:pos="4680"/>
        <w:tab w:val="right" w:pos="9360"/>
      </w:tabs>
    </w:pPr>
  </w:style>
  <w:style w:type="character" w:customStyle="1" w:styleId="FooterChar">
    <w:name w:val="Footer Char"/>
    <w:basedOn w:val="DefaultParagraphFont"/>
    <w:link w:val="Footer"/>
    <w:uiPriority w:val="99"/>
    <w:rsid w:val="0020707A"/>
  </w:style>
  <w:style w:type="paragraph" w:customStyle="1" w:styleId="NcclsPara">
    <w:name w:val="NcclsPara"/>
    <w:basedOn w:val="Normal"/>
    <w:rsid w:val="00D63971"/>
    <w:pPr>
      <w:snapToGrid w:val="0"/>
      <w:spacing w:before="100" w:beforeAutospacing="1" w:after="100" w:afterAutospacing="1"/>
      <w:contextualSpacing/>
    </w:pPr>
  </w:style>
  <w:style w:type="paragraph" w:styleId="NoSpacing">
    <w:name w:val="No Spacing"/>
    <w:uiPriority w:val="1"/>
    <w:qFormat/>
    <w:rsid w:val="00B049A9"/>
    <w:pPr>
      <w:spacing w:after="0" w:line="240" w:lineRule="auto"/>
    </w:pPr>
  </w:style>
  <w:style w:type="paragraph" w:customStyle="1" w:styleId="txt">
    <w:name w:val="txt"/>
    <w:basedOn w:val="Normal"/>
    <w:link w:val="txtChar"/>
    <w:rsid w:val="000326C3"/>
    <w:pPr>
      <w:spacing w:after="120"/>
      <w:ind w:left="274"/>
    </w:pPr>
  </w:style>
  <w:style w:type="character" w:customStyle="1" w:styleId="txtChar">
    <w:name w:val="txt Char"/>
    <w:basedOn w:val="DefaultParagraphFont"/>
    <w:link w:val="txt"/>
    <w:rsid w:val="000326C3"/>
    <w:rPr>
      <w:rFonts w:ascii="Times New Roman" w:eastAsia="Times New Roman" w:hAnsi="Times New Roman" w:cs="Times New Roman"/>
      <w:szCs w:val="24"/>
    </w:rPr>
  </w:style>
  <w:style w:type="paragraph" w:customStyle="1" w:styleId="NcclsReference">
    <w:name w:val="NcclsReference"/>
    <w:basedOn w:val="Normal"/>
    <w:rsid w:val="00D36B38"/>
    <w:pPr>
      <w:numPr>
        <w:numId w:val="10"/>
      </w:numPr>
      <w:snapToGrid w:val="0"/>
      <w:spacing w:before="100" w:beforeAutospacing="1" w:after="100" w:afterAutospacing="1"/>
      <w:contextualSpacing/>
    </w:pPr>
  </w:style>
  <w:style w:type="table" w:styleId="TableGrid">
    <w:name w:val="Table Grid"/>
    <w:basedOn w:val="TableNormal"/>
    <w:rsid w:val="009E69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clsLabel">
    <w:name w:val="NcclsLabel"/>
    <w:basedOn w:val="NcclsPara"/>
    <w:rsid w:val="002D3CF1"/>
    <w:rPr>
      <w:b/>
    </w:rPr>
  </w:style>
  <w:style w:type="paragraph" w:styleId="BalloonText">
    <w:name w:val="Balloon Text"/>
    <w:basedOn w:val="Normal"/>
    <w:link w:val="BalloonTextChar"/>
    <w:uiPriority w:val="99"/>
    <w:semiHidden/>
    <w:unhideWhenUsed/>
    <w:rsid w:val="005E72BC"/>
    <w:rPr>
      <w:rFonts w:ascii="Tahoma" w:hAnsi="Tahoma" w:cs="Tahoma"/>
      <w:sz w:val="16"/>
      <w:szCs w:val="16"/>
    </w:rPr>
  </w:style>
  <w:style w:type="character" w:customStyle="1" w:styleId="BalloonTextChar">
    <w:name w:val="Balloon Text Char"/>
    <w:basedOn w:val="DefaultParagraphFont"/>
    <w:link w:val="BalloonText"/>
    <w:uiPriority w:val="99"/>
    <w:semiHidden/>
    <w:rsid w:val="005E72BC"/>
    <w:rPr>
      <w:rFonts w:ascii="Tahoma" w:hAnsi="Tahoma" w:cs="Tahoma"/>
      <w:sz w:val="16"/>
      <w:szCs w:val="16"/>
    </w:rPr>
  </w:style>
  <w:style w:type="paragraph" w:styleId="FootnoteText">
    <w:name w:val="footnote text"/>
    <w:basedOn w:val="Normal"/>
    <w:link w:val="FootnoteTextChar"/>
    <w:semiHidden/>
    <w:rsid w:val="002D1D00"/>
    <w:rPr>
      <w:szCs w:val="20"/>
    </w:rPr>
  </w:style>
  <w:style w:type="character" w:customStyle="1" w:styleId="FootnoteTextChar">
    <w:name w:val="Footnote Text Char"/>
    <w:basedOn w:val="DefaultParagraphFont"/>
    <w:link w:val="FootnoteText"/>
    <w:semiHidden/>
    <w:rsid w:val="002D1D00"/>
    <w:rPr>
      <w:rFonts w:ascii="Times New Roman" w:eastAsia="Times New Roman" w:hAnsi="Times New Roman" w:cs="Times New Roman"/>
      <w:szCs w:val="20"/>
    </w:rPr>
  </w:style>
  <w:style w:type="paragraph" w:styleId="ListBullet">
    <w:name w:val="List Bullet"/>
    <w:basedOn w:val="Normal"/>
    <w:autoRedefine/>
    <w:rsid w:val="00AF4E76"/>
    <w:pPr>
      <w:ind w:left="1170"/>
    </w:pPr>
    <w:rPr>
      <w:sz w:val="18"/>
      <w:szCs w:val="18"/>
    </w:rPr>
  </w:style>
  <w:style w:type="paragraph" w:styleId="BodyTextIndent">
    <w:name w:val="Body Text Indent"/>
    <w:basedOn w:val="Normal"/>
    <w:link w:val="BodyTextIndentChar"/>
    <w:uiPriority w:val="99"/>
    <w:semiHidden/>
    <w:unhideWhenUsed/>
    <w:rsid w:val="00AF4E76"/>
    <w:pPr>
      <w:spacing w:after="120"/>
      <w:ind w:left="360"/>
    </w:pPr>
  </w:style>
  <w:style w:type="character" w:customStyle="1" w:styleId="BodyTextIndentChar">
    <w:name w:val="Body Text Indent Char"/>
    <w:basedOn w:val="DefaultParagraphFont"/>
    <w:link w:val="BodyTextIndent"/>
    <w:uiPriority w:val="99"/>
    <w:semiHidden/>
    <w:rsid w:val="00AF4E76"/>
  </w:style>
  <w:style w:type="paragraph" w:styleId="BodyTextFirstIndent2">
    <w:name w:val="Body Text First Indent 2"/>
    <w:basedOn w:val="Normal"/>
    <w:link w:val="BodyTextFirstIndent2Char"/>
    <w:rsid w:val="00AF4E76"/>
    <w:pPr>
      <w:shd w:val="clear" w:color="000000" w:fill="FFFFFF"/>
      <w:spacing w:after="120"/>
      <w:ind w:left="360" w:firstLine="106"/>
    </w:pPr>
    <w:rPr>
      <w:color w:val="000000"/>
      <w:szCs w:val="20"/>
    </w:rPr>
  </w:style>
  <w:style w:type="character" w:customStyle="1" w:styleId="BodyTextFirstIndent2Char">
    <w:name w:val="Body Text First Indent 2 Char"/>
    <w:basedOn w:val="BodyTextIndentChar"/>
    <w:link w:val="BodyTextFirstIndent2"/>
    <w:rsid w:val="00AF4E76"/>
    <w:rPr>
      <w:rFonts w:ascii="Times New Roman" w:eastAsia="Times New Roman" w:hAnsi="Times New Roman" w:cs="Times New Roman"/>
      <w:color w:val="000000"/>
      <w:sz w:val="24"/>
      <w:szCs w:val="20"/>
      <w:shd w:val="clear" w:color="000000" w:fill="FFFFFF"/>
    </w:rPr>
  </w:style>
  <w:style w:type="paragraph" w:styleId="BodyText">
    <w:name w:val="Body Text"/>
    <w:basedOn w:val="Normal"/>
    <w:link w:val="BodyTextChar"/>
    <w:uiPriority w:val="99"/>
    <w:semiHidden/>
    <w:unhideWhenUsed/>
    <w:rsid w:val="00ED303D"/>
    <w:pPr>
      <w:spacing w:after="120"/>
    </w:pPr>
  </w:style>
  <w:style w:type="character" w:customStyle="1" w:styleId="BodyTextChar">
    <w:name w:val="Body Text Char"/>
    <w:basedOn w:val="DefaultParagraphFont"/>
    <w:link w:val="BodyText"/>
    <w:uiPriority w:val="99"/>
    <w:semiHidden/>
    <w:rsid w:val="00ED303D"/>
  </w:style>
  <w:style w:type="character" w:customStyle="1" w:styleId="Heading1Char">
    <w:name w:val="Heading 1 Char"/>
    <w:basedOn w:val="DefaultParagraphFont"/>
    <w:link w:val="Heading1"/>
    <w:rsid w:val="00ED303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D303D"/>
    <w:rPr>
      <w:rFonts w:ascii="Arial" w:eastAsia="Times New Roman" w:hAnsi="Arial" w:cs="Arial"/>
      <w:b/>
      <w:bCs/>
      <w:sz w:val="26"/>
      <w:szCs w:val="26"/>
    </w:rPr>
  </w:style>
  <w:style w:type="paragraph" w:customStyle="1" w:styleId="First-OrderHeading">
    <w:name w:val="First-Order Heading"/>
    <w:basedOn w:val="Normal"/>
    <w:rsid w:val="00ED303D"/>
    <w:pPr>
      <w:numPr>
        <w:numId w:val="20"/>
      </w:numPr>
      <w:spacing w:before="240" w:after="240"/>
    </w:pPr>
    <w:rPr>
      <w:b/>
      <w:caps/>
      <w:szCs w:val="20"/>
    </w:rPr>
  </w:style>
  <w:style w:type="paragraph" w:customStyle="1" w:styleId="Second-OrderHeading">
    <w:name w:val="Second-Order Heading"/>
    <w:basedOn w:val="First-OrderHeading"/>
    <w:link w:val="Second-OrderHeadingChar"/>
    <w:rsid w:val="00ED303D"/>
    <w:pPr>
      <w:numPr>
        <w:ilvl w:val="1"/>
      </w:numPr>
      <w:spacing w:before="0"/>
    </w:pPr>
    <w:rPr>
      <w:b w:val="0"/>
      <w:caps w:val="0"/>
    </w:rPr>
  </w:style>
  <w:style w:type="paragraph" w:customStyle="1" w:styleId="Third-OrderHeading">
    <w:name w:val="Third-Order Heading"/>
    <w:basedOn w:val="Second-OrderHeading"/>
    <w:rsid w:val="00ED303D"/>
    <w:pPr>
      <w:numPr>
        <w:ilvl w:val="2"/>
      </w:numPr>
      <w:tabs>
        <w:tab w:val="clear" w:pos="0"/>
      </w:tabs>
      <w:ind w:left="2880" w:hanging="180"/>
    </w:pPr>
  </w:style>
  <w:style w:type="paragraph" w:customStyle="1" w:styleId="Fourth-OrderHeading">
    <w:name w:val="Fourth-Order Heading"/>
    <w:basedOn w:val="Third-OrderHeading"/>
    <w:rsid w:val="00ED303D"/>
    <w:pPr>
      <w:numPr>
        <w:ilvl w:val="3"/>
      </w:numPr>
      <w:tabs>
        <w:tab w:val="clear" w:pos="0"/>
      </w:tabs>
      <w:ind w:left="3600" w:hanging="360"/>
    </w:pPr>
  </w:style>
  <w:style w:type="paragraph" w:customStyle="1" w:styleId="Fifth-OrderHeading">
    <w:name w:val="Fifth-Order Heading"/>
    <w:basedOn w:val="Fourth-OrderHeading"/>
    <w:rsid w:val="00ED303D"/>
    <w:pPr>
      <w:numPr>
        <w:ilvl w:val="4"/>
      </w:numPr>
      <w:tabs>
        <w:tab w:val="clear" w:pos="0"/>
      </w:tabs>
      <w:ind w:left="4320" w:hanging="360"/>
    </w:pPr>
  </w:style>
  <w:style w:type="paragraph" w:customStyle="1" w:styleId="Sixth-OrderHeading">
    <w:name w:val="Sixth-Order Heading"/>
    <w:basedOn w:val="Fifth-OrderHeading"/>
    <w:rsid w:val="00ED303D"/>
    <w:pPr>
      <w:numPr>
        <w:ilvl w:val="5"/>
      </w:numPr>
      <w:tabs>
        <w:tab w:val="clear" w:pos="0"/>
      </w:tabs>
      <w:ind w:left="5040" w:hanging="180"/>
    </w:pPr>
  </w:style>
  <w:style w:type="paragraph" w:customStyle="1" w:styleId="TableHeaderText">
    <w:name w:val="Table Header Text"/>
    <w:basedOn w:val="Normal"/>
    <w:rsid w:val="00ED303D"/>
    <w:pPr>
      <w:jc w:val="center"/>
    </w:pPr>
    <w:rPr>
      <w:b/>
      <w:szCs w:val="20"/>
    </w:rPr>
  </w:style>
  <w:style w:type="character" w:customStyle="1" w:styleId="Second-OrderHeadingChar">
    <w:name w:val="Second-Order Heading Char"/>
    <w:link w:val="Second-OrderHeading"/>
    <w:rsid w:val="00ED303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2040">
      <w:bodyDiv w:val="1"/>
      <w:marLeft w:val="0"/>
      <w:marRight w:val="0"/>
      <w:marTop w:val="0"/>
      <w:marBottom w:val="0"/>
      <w:divBdr>
        <w:top w:val="none" w:sz="0" w:space="0" w:color="auto"/>
        <w:left w:val="none" w:sz="0" w:space="0" w:color="auto"/>
        <w:bottom w:val="none" w:sz="0" w:space="0" w:color="auto"/>
        <w:right w:val="none" w:sz="0" w:space="0" w:color="auto"/>
      </w:divBdr>
    </w:div>
    <w:div w:id="192812584">
      <w:bodyDiv w:val="1"/>
      <w:marLeft w:val="0"/>
      <w:marRight w:val="0"/>
      <w:marTop w:val="0"/>
      <w:marBottom w:val="0"/>
      <w:divBdr>
        <w:top w:val="none" w:sz="0" w:space="0" w:color="auto"/>
        <w:left w:val="none" w:sz="0" w:space="0" w:color="auto"/>
        <w:bottom w:val="none" w:sz="0" w:space="0" w:color="auto"/>
        <w:right w:val="none" w:sz="0" w:space="0" w:color="auto"/>
      </w:divBdr>
    </w:div>
    <w:div w:id="251210116">
      <w:bodyDiv w:val="1"/>
      <w:marLeft w:val="0"/>
      <w:marRight w:val="0"/>
      <w:marTop w:val="0"/>
      <w:marBottom w:val="0"/>
      <w:divBdr>
        <w:top w:val="none" w:sz="0" w:space="0" w:color="auto"/>
        <w:left w:val="none" w:sz="0" w:space="0" w:color="auto"/>
        <w:bottom w:val="none" w:sz="0" w:space="0" w:color="auto"/>
        <w:right w:val="none" w:sz="0" w:space="0" w:color="auto"/>
      </w:divBdr>
    </w:div>
    <w:div w:id="259526294">
      <w:bodyDiv w:val="1"/>
      <w:marLeft w:val="0"/>
      <w:marRight w:val="0"/>
      <w:marTop w:val="0"/>
      <w:marBottom w:val="0"/>
      <w:divBdr>
        <w:top w:val="none" w:sz="0" w:space="0" w:color="auto"/>
        <w:left w:val="none" w:sz="0" w:space="0" w:color="auto"/>
        <w:bottom w:val="none" w:sz="0" w:space="0" w:color="auto"/>
        <w:right w:val="none" w:sz="0" w:space="0" w:color="auto"/>
      </w:divBdr>
    </w:div>
    <w:div w:id="339356633">
      <w:bodyDiv w:val="1"/>
      <w:marLeft w:val="0"/>
      <w:marRight w:val="0"/>
      <w:marTop w:val="0"/>
      <w:marBottom w:val="0"/>
      <w:divBdr>
        <w:top w:val="none" w:sz="0" w:space="0" w:color="auto"/>
        <w:left w:val="none" w:sz="0" w:space="0" w:color="auto"/>
        <w:bottom w:val="none" w:sz="0" w:space="0" w:color="auto"/>
        <w:right w:val="none" w:sz="0" w:space="0" w:color="auto"/>
      </w:divBdr>
    </w:div>
    <w:div w:id="366177155">
      <w:bodyDiv w:val="1"/>
      <w:marLeft w:val="0"/>
      <w:marRight w:val="0"/>
      <w:marTop w:val="0"/>
      <w:marBottom w:val="0"/>
      <w:divBdr>
        <w:top w:val="none" w:sz="0" w:space="0" w:color="auto"/>
        <w:left w:val="none" w:sz="0" w:space="0" w:color="auto"/>
        <w:bottom w:val="none" w:sz="0" w:space="0" w:color="auto"/>
        <w:right w:val="none" w:sz="0" w:space="0" w:color="auto"/>
      </w:divBdr>
    </w:div>
    <w:div w:id="418404003">
      <w:bodyDiv w:val="1"/>
      <w:marLeft w:val="0"/>
      <w:marRight w:val="0"/>
      <w:marTop w:val="0"/>
      <w:marBottom w:val="0"/>
      <w:divBdr>
        <w:top w:val="none" w:sz="0" w:space="0" w:color="auto"/>
        <w:left w:val="none" w:sz="0" w:space="0" w:color="auto"/>
        <w:bottom w:val="none" w:sz="0" w:space="0" w:color="auto"/>
        <w:right w:val="none" w:sz="0" w:space="0" w:color="auto"/>
      </w:divBdr>
    </w:div>
    <w:div w:id="457453440">
      <w:bodyDiv w:val="1"/>
      <w:marLeft w:val="0"/>
      <w:marRight w:val="0"/>
      <w:marTop w:val="0"/>
      <w:marBottom w:val="0"/>
      <w:divBdr>
        <w:top w:val="none" w:sz="0" w:space="0" w:color="auto"/>
        <w:left w:val="none" w:sz="0" w:space="0" w:color="auto"/>
        <w:bottom w:val="none" w:sz="0" w:space="0" w:color="auto"/>
        <w:right w:val="none" w:sz="0" w:space="0" w:color="auto"/>
      </w:divBdr>
    </w:div>
    <w:div w:id="509954282">
      <w:bodyDiv w:val="1"/>
      <w:marLeft w:val="0"/>
      <w:marRight w:val="0"/>
      <w:marTop w:val="0"/>
      <w:marBottom w:val="0"/>
      <w:divBdr>
        <w:top w:val="none" w:sz="0" w:space="0" w:color="auto"/>
        <w:left w:val="none" w:sz="0" w:space="0" w:color="auto"/>
        <w:bottom w:val="none" w:sz="0" w:space="0" w:color="auto"/>
        <w:right w:val="none" w:sz="0" w:space="0" w:color="auto"/>
      </w:divBdr>
    </w:div>
    <w:div w:id="540090388">
      <w:bodyDiv w:val="1"/>
      <w:marLeft w:val="0"/>
      <w:marRight w:val="0"/>
      <w:marTop w:val="0"/>
      <w:marBottom w:val="0"/>
      <w:divBdr>
        <w:top w:val="none" w:sz="0" w:space="0" w:color="auto"/>
        <w:left w:val="none" w:sz="0" w:space="0" w:color="auto"/>
        <w:bottom w:val="none" w:sz="0" w:space="0" w:color="auto"/>
        <w:right w:val="none" w:sz="0" w:space="0" w:color="auto"/>
      </w:divBdr>
    </w:div>
    <w:div w:id="690955695">
      <w:bodyDiv w:val="1"/>
      <w:marLeft w:val="0"/>
      <w:marRight w:val="0"/>
      <w:marTop w:val="0"/>
      <w:marBottom w:val="0"/>
      <w:divBdr>
        <w:top w:val="none" w:sz="0" w:space="0" w:color="auto"/>
        <w:left w:val="none" w:sz="0" w:space="0" w:color="auto"/>
        <w:bottom w:val="none" w:sz="0" w:space="0" w:color="auto"/>
        <w:right w:val="none" w:sz="0" w:space="0" w:color="auto"/>
      </w:divBdr>
    </w:div>
    <w:div w:id="710810067">
      <w:bodyDiv w:val="1"/>
      <w:marLeft w:val="0"/>
      <w:marRight w:val="0"/>
      <w:marTop w:val="0"/>
      <w:marBottom w:val="0"/>
      <w:divBdr>
        <w:top w:val="none" w:sz="0" w:space="0" w:color="auto"/>
        <w:left w:val="none" w:sz="0" w:space="0" w:color="auto"/>
        <w:bottom w:val="none" w:sz="0" w:space="0" w:color="auto"/>
        <w:right w:val="none" w:sz="0" w:space="0" w:color="auto"/>
      </w:divBdr>
    </w:div>
    <w:div w:id="727849903">
      <w:bodyDiv w:val="1"/>
      <w:marLeft w:val="0"/>
      <w:marRight w:val="0"/>
      <w:marTop w:val="0"/>
      <w:marBottom w:val="0"/>
      <w:divBdr>
        <w:top w:val="none" w:sz="0" w:space="0" w:color="auto"/>
        <w:left w:val="none" w:sz="0" w:space="0" w:color="auto"/>
        <w:bottom w:val="none" w:sz="0" w:space="0" w:color="auto"/>
        <w:right w:val="none" w:sz="0" w:space="0" w:color="auto"/>
      </w:divBdr>
    </w:div>
    <w:div w:id="868177110">
      <w:bodyDiv w:val="1"/>
      <w:marLeft w:val="0"/>
      <w:marRight w:val="0"/>
      <w:marTop w:val="0"/>
      <w:marBottom w:val="0"/>
      <w:divBdr>
        <w:top w:val="none" w:sz="0" w:space="0" w:color="auto"/>
        <w:left w:val="none" w:sz="0" w:space="0" w:color="auto"/>
        <w:bottom w:val="none" w:sz="0" w:space="0" w:color="auto"/>
        <w:right w:val="none" w:sz="0" w:space="0" w:color="auto"/>
      </w:divBdr>
    </w:div>
    <w:div w:id="1026563520">
      <w:bodyDiv w:val="1"/>
      <w:marLeft w:val="0"/>
      <w:marRight w:val="0"/>
      <w:marTop w:val="0"/>
      <w:marBottom w:val="0"/>
      <w:divBdr>
        <w:top w:val="none" w:sz="0" w:space="0" w:color="auto"/>
        <w:left w:val="none" w:sz="0" w:space="0" w:color="auto"/>
        <w:bottom w:val="none" w:sz="0" w:space="0" w:color="auto"/>
        <w:right w:val="none" w:sz="0" w:space="0" w:color="auto"/>
      </w:divBdr>
    </w:div>
    <w:div w:id="1040059293">
      <w:bodyDiv w:val="1"/>
      <w:marLeft w:val="0"/>
      <w:marRight w:val="0"/>
      <w:marTop w:val="0"/>
      <w:marBottom w:val="0"/>
      <w:divBdr>
        <w:top w:val="none" w:sz="0" w:space="0" w:color="auto"/>
        <w:left w:val="none" w:sz="0" w:space="0" w:color="auto"/>
        <w:bottom w:val="none" w:sz="0" w:space="0" w:color="auto"/>
        <w:right w:val="none" w:sz="0" w:space="0" w:color="auto"/>
      </w:divBdr>
    </w:div>
    <w:div w:id="1047340902">
      <w:bodyDiv w:val="1"/>
      <w:marLeft w:val="0"/>
      <w:marRight w:val="0"/>
      <w:marTop w:val="0"/>
      <w:marBottom w:val="0"/>
      <w:divBdr>
        <w:top w:val="none" w:sz="0" w:space="0" w:color="auto"/>
        <w:left w:val="none" w:sz="0" w:space="0" w:color="auto"/>
        <w:bottom w:val="none" w:sz="0" w:space="0" w:color="auto"/>
        <w:right w:val="none" w:sz="0" w:space="0" w:color="auto"/>
      </w:divBdr>
    </w:div>
    <w:div w:id="1301611915">
      <w:bodyDiv w:val="1"/>
      <w:marLeft w:val="0"/>
      <w:marRight w:val="0"/>
      <w:marTop w:val="0"/>
      <w:marBottom w:val="0"/>
      <w:divBdr>
        <w:top w:val="none" w:sz="0" w:space="0" w:color="auto"/>
        <w:left w:val="none" w:sz="0" w:space="0" w:color="auto"/>
        <w:bottom w:val="none" w:sz="0" w:space="0" w:color="auto"/>
        <w:right w:val="none" w:sz="0" w:space="0" w:color="auto"/>
      </w:divBdr>
    </w:div>
    <w:div w:id="1408108054">
      <w:bodyDiv w:val="1"/>
      <w:marLeft w:val="0"/>
      <w:marRight w:val="0"/>
      <w:marTop w:val="0"/>
      <w:marBottom w:val="0"/>
      <w:divBdr>
        <w:top w:val="none" w:sz="0" w:space="0" w:color="auto"/>
        <w:left w:val="none" w:sz="0" w:space="0" w:color="auto"/>
        <w:bottom w:val="none" w:sz="0" w:space="0" w:color="auto"/>
        <w:right w:val="none" w:sz="0" w:space="0" w:color="auto"/>
      </w:divBdr>
    </w:div>
    <w:div w:id="1505708114">
      <w:bodyDiv w:val="1"/>
      <w:marLeft w:val="0"/>
      <w:marRight w:val="0"/>
      <w:marTop w:val="0"/>
      <w:marBottom w:val="0"/>
      <w:divBdr>
        <w:top w:val="none" w:sz="0" w:space="0" w:color="auto"/>
        <w:left w:val="none" w:sz="0" w:space="0" w:color="auto"/>
        <w:bottom w:val="none" w:sz="0" w:space="0" w:color="auto"/>
        <w:right w:val="none" w:sz="0" w:space="0" w:color="auto"/>
      </w:divBdr>
    </w:div>
    <w:div w:id="1601260306">
      <w:bodyDiv w:val="1"/>
      <w:marLeft w:val="0"/>
      <w:marRight w:val="0"/>
      <w:marTop w:val="0"/>
      <w:marBottom w:val="0"/>
      <w:divBdr>
        <w:top w:val="none" w:sz="0" w:space="0" w:color="auto"/>
        <w:left w:val="none" w:sz="0" w:space="0" w:color="auto"/>
        <w:bottom w:val="none" w:sz="0" w:space="0" w:color="auto"/>
        <w:right w:val="none" w:sz="0" w:space="0" w:color="auto"/>
      </w:divBdr>
    </w:div>
    <w:div w:id="1692761943">
      <w:bodyDiv w:val="1"/>
      <w:marLeft w:val="0"/>
      <w:marRight w:val="0"/>
      <w:marTop w:val="0"/>
      <w:marBottom w:val="0"/>
      <w:divBdr>
        <w:top w:val="none" w:sz="0" w:space="0" w:color="auto"/>
        <w:left w:val="none" w:sz="0" w:space="0" w:color="auto"/>
        <w:bottom w:val="none" w:sz="0" w:space="0" w:color="auto"/>
        <w:right w:val="none" w:sz="0" w:space="0" w:color="auto"/>
      </w:divBdr>
    </w:div>
    <w:div w:id="1718122108">
      <w:bodyDiv w:val="1"/>
      <w:marLeft w:val="0"/>
      <w:marRight w:val="0"/>
      <w:marTop w:val="0"/>
      <w:marBottom w:val="0"/>
      <w:divBdr>
        <w:top w:val="none" w:sz="0" w:space="0" w:color="auto"/>
        <w:left w:val="none" w:sz="0" w:space="0" w:color="auto"/>
        <w:bottom w:val="none" w:sz="0" w:space="0" w:color="auto"/>
        <w:right w:val="none" w:sz="0" w:space="0" w:color="auto"/>
      </w:divBdr>
    </w:div>
    <w:div w:id="1739203028">
      <w:bodyDiv w:val="1"/>
      <w:marLeft w:val="0"/>
      <w:marRight w:val="0"/>
      <w:marTop w:val="0"/>
      <w:marBottom w:val="0"/>
      <w:divBdr>
        <w:top w:val="none" w:sz="0" w:space="0" w:color="auto"/>
        <w:left w:val="none" w:sz="0" w:space="0" w:color="auto"/>
        <w:bottom w:val="none" w:sz="0" w:space="0" w:color="auto"/>
        <w:right w:val="none" w:sz="0" w:space="0" w:color="auto"/>
      </w:divBdr>
    </w:div>
    <w:div w:id="1984775777">
      <w:bodyDiv w:val="1"/>
      <w:marLeft w:val="0"/>
      <w:marRight w:val="0"/>
      <w:marTop w:val="0"/>
      <w:marBottom w:val="0"/>
      <w:divBdr>
        <w:top w:val="none" w:sz="0" w:space="0" w:color="auto"/>
        <w:left w:val="none" w:sz="0" w:space="0" w:color="auto"/>
        <w:bottom w:val="none" w:sz="0" w:space="0" w:color="auto"/>
        <w:right w:val="none" w:sz="0" w:space="0" w:color="auto"/>
      </w:divBdr>
    </w:div>
    <w:div w:id="19991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0BE29C4A00FA4AA9B32D2EB1F7E192" ma:contentTypeVersion="0" ma:contentTypeDescription="Create a new document." ma:contentTypeScope="" ma:versionID="5e6091525808ca76fba1cb255e0939e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61ABB-F3FB-4A28-8328-A00CA257332E}">
  <ds:schemaRef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DC33D6C-3C78-43BF-886C-6D1FF175B12B}">
  <ds:schemaRefs>
    <ds:schemaRef ds:uri="http://schemas.microsoft.com/sharepoint/v3/contenttype/forms"/>
  </ds:schemaRefs>
</ds:datastoreItem>
</file>

<file path=customXml/itemProps3.xml><?xml version="1.0" encoding="utf-8"?>
<ds:datastoreItem xmlns:ds="http://schemas.openxmlformats.org/officeDocument/2006/customXml" ds:itemID="{A8F7E447-4B9D-4BEE-A8AA-07BF1244F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949850-0D96-4DD0-A17F-FFD69C8C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Meiklejohn, Barbara</dc:creator>
  <cp:lastModifiedBy>Baker, Susan L</cp:lastModifiedBy>
  <cp:revision>3</cp:revision>
  <cp:lastPrinted>2019-03-05T17:22:00Z</cp:lastPrinted>
  <dcterms:created xsi:type="dcterms:W3CDTF">2019-03-05T17:25:00Z</dcterms:created>
  <dcterms:modified xsi:type="dcterms:W3CDTF">2019-03-05T20:15:00Z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0x0101001D0BE29C4A00FA4AA9B32D2EB1F7E192</vt:lpwstr>
  </property>
</Properties>
</file>