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3D" w:rsidRPr="007C1D50" w:rsidRDefault="00ED303D" w:rsidP="00ED303D">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b/>
          <w:bCs/>
          <w:sz w:val="20"/>
          <w:szCs w:val="20"/>
        </w:rPr>
        <w:t>Title:</w:t>
      </w:r>
      <w:r w:rsidRPr="007C1D50">
        <w:rPr>
          <w:rFonts w:ascii="Arial" w:hAnsi="Arial" w:cs="Arial"/>
          <w:sz w:val="20"/>
          <w:szCs w:val="20"/>
        </w:rPr>
        <w:tab/>
      </w:r>
      <w:r w:rsidR="00F57B8C">
        <w:rPr>
          <w:rFonts w:ascii="Arial" w:hAnsi="Arial" w:cs="Arial"/>
          <w:sz w:val="20"/>
          <w:szCs w:val="20"/>
        </w:rPr>
        <w:t>Ferritin</w:t>
      </w:r>
      <w:r w:rsidRPr="007C1D50">
        <w:rPr>
          <w:rFonts w:ascii="Arial" w:hAnsi="Arial" w:cs="Arial"/>
          <w:sz w:val="20"/>
          <w:szCs w:val="20"/>
        </w:rPr>
        <w:tab/>
      </w: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641"/>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Supersedes Procedure #</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9E7E76" w:rsidRDefault="009717B7" w:rsidP="00DE6319">
            <w:pPr>
              <w:pStyle w:val="Header"/>
              <w:rPr>
                <w:rFonts w:ascii="Arial" w:hAnsi="Arial" w:cs="Arial"/>
                <w:sz w:val="20"/>
                <w:szCs w:val="20"/>
              </w:rPr>
            </w:pPr>
            <w:r>
              <w:rPr>
                <w:rFonts w:ascii="Arial" w:hAnsi="Arial" w:cs="Arial"/>
                <w:sz w:val="20"/>
                <w:szCs w:val="20"/>
              </w:rPr>
              <w:t>Sue Baker</w:t>
            </w: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9717B7" w:rsidP="00DE6319">
            <w:pPr>
              <w:jc w:val="center"/>
              <w:rPr>
                <w:rFonts w:ascii="Arial" w:hAnsi="Arial" w:cs="Arial"/>
                <w:sz w:val="20"/>
                <w:szCs w:val="20"/>
              </w:rPr>
            </w:pPr>
            <w:r>
              <w:rPr>
                <w:rFonts w:ascii="Arial" w:hAnsi="Arial" w:cs="Arial"/>
                <w:sz w:val="20"/>
                <w:szCs w:val="20"/>
              </w:rPr>
              <w:t>NEW</w:t>
            </w:r>
          </w:p>
        </w:tc>
      </w:tr>
    </w:tbl>
    <w:p w:rsidR="00ED303D" w:rsidRPr="007C1D50" w:rsidRDefault="00ED303D" w:rsidP="00ED303D">
      <w:pPr>
        <w:jc w:val="both"/>
        <w:rPr>
          <w:rFonts w:ascii="Arial" w:hAnsi="Arial" w:cs="Arial"/>
          <w:sz w:val="20"/>
          <w:szCs w:val="20"/>
        </w:rPr>
      </w:pP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782"/>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(adopted)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ED303D" w:rsidP="00DE6319">
            <w:pPr>
              <w:jc w:val="center"/>
              <w:rPr>
                <w:rFonts w:ascii="Arial" w:hAnsi="Arial" w:cs="Arial"/>
                <w:sz w:val="20"/>
                <w:szCs w:val="20"/>
              </w:rPr>
            </w:pPr>
          </w:p>
        </w:tc>
      </w:tr>
    </w:tbl>
    <w:p w:rsidR="00ED303D" w:rsidRPr="007C1D50" w:rsidRDefault="00ED303D" w:rsidP="00ED303D">
      <w:pPr>
        <w:jc w:val="both"/>
        <w:rPr>
          <w:rFonts w:ascii="Arial" w:hAnsi="Arial" w:cs="Arial"/>
          <w:sz w:val="20"/>
          <w:szCs w:val="20"/>
        </w:rPr>
      </w:pPr>
    </w:p>
    <w:p w:rsidR="00ED303D" w:rsidRPr="007C1D50" w:rsidRDefault="00ED303D" w:rsidP="00ED303D">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Date</w:t>
            </w: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Dr. Xiaolan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222CB"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9717B7" w:rsidP="00DE6319">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Susan Baker, Assistant Supervisor</w:t>
            </w: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D303D" w:rsidRPr="006877B5" w:rsidRDefault="00ED303D" w:rsidP="00DE6319">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bl>
    <w:p w:rsidR="00ED303D" w:rsidRPr="007C1D50" w:rsidRDefault="00ED303D" w:rsidP="00ED303D">
      <w:pPr>
        <w:rPr>
          <w:rFonts w:ascii="Arial" w:hAnsi="Arial" w:cs="Arial"/>
          <w:sz w:val="20"/>
          <w:szCs w:val="20"/>
        </w:rPr>
      </w:pPr>
    </w:p>
    <w:p w:rsidR="00ED303D" w:rsidRPr="007C1D50" w:rsidRDefault="00ED303D" w:rsidP="00ED303D">
      <w:pPr>
        <w:jc w:val="both"/>
        <w:rPr>
          <w:rFonts w:ascii="Arial" w:hAnsi="Arial" w:cs="Arial"/>
          <w:sz w:val="20"/>
          <w:szCs w:val="20"/>
        </w:rPr>
      </w:pPr>
    </w:p>
    <w:p w:rsidR="00ED303D" w:rsidRPr="007C1D50" w:rsidRDefault="00ED303D" w:rsidP="00ED303D">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ED303D" w:rsidRPr="007C1D50" w:rsidTr="00DE6319">
        <w:tc>
          <w:tcPr>
            <w:tcW w:w="4002"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r>
      <w:tr w:rsidR="00ED303D" w:rsidRPr="007C1D50" w:rsidTr="00DE6319">
        <w:tc>
          <w:tcPr>
            <w:tcW w:w="4002" w:type="dxa"/>
            <w:tcBorders>
              <w:top w:val="single" w:sz="4"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bl>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b/>
          <w:sz w:val="20"/>
          <w:szCs w:val="20"/>
        </w:rPr>
      </w:pPr>
      <w:r>
        <w:rPr>
          <w:rFonts w:ascii="Arial" w:hAnsi="Arial" w:cs="Arial"/>
          <w:sz w:val="20"/>
          <w:szCs w:val="20"/>
        </w:rPr>
        <w:br w:type="page"/>
      </w:r>
      <w:r w:rsidRPr="00D234FD">
        <w:rPr>
          <w:rFonts w:ascii="Arial" w:hAnsi="Arial" w:cs="Arial"/>
          <w:b/>
          <w:sz w:val="20"/>
          <w:szCs w:val="20"/>
        </w:rPr>
        <w:lastRenderedPageBreak/>
        <w:t>REVISION HISTORY</w:t>
      </w:r>
    </w:p>
    <w:p w:rsidR="00ED303D" w:rsidRDefault="00ED303D" w:rsidP="00ED303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ED303D" w:rsidRPr="00520F5D" w:rsidTr="00DE6319">
        <w:trPr>
          <w:trHeight w:val="263"/>
          <w:jc w:val="center"/>
        </w:trPr>
        <w:tc>
          <w:tcPr>
            <w:tcW w:w="1738"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Reason for Revision</w:t>
            </w:r>
          </w:p>
        </w:tc>
      </w:tr>
      <w:tr w:rsidR="00ED303D" w:rsidRPr="00520F5D" w:rsidTr="00DE6319">
        <w:trPr>
          <w:trHeight w:val="263"/>
          <w:jc w:val="center"/>
        </w:trPr>
        <w:tc>
          <w:tcPr>
            <w:tcW w:w="1738" w:type="dxa"/>
            <w:tcBorders>
              <w:top w:val="single" w:sz="4" w:space="0" w:color="auto"/>
            </w:tcBorders>
            <w:shd w:val="clear" w:color="auto" w:fill="auto"/>
          </w:tcPr>
          <w:p w:rsidR="00ED303D" w:rsidRPr="007A2997" w:rsidRDefault="00ED303D" w:rsidP="00DE6319">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ED303D" w:rsidRPr="007A2997" w:rsidRDefault="00ED303D" w:rsidP="00DE6319">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ED303D" w:rsidRPr="007A2997" w:rsidRDefault="00ED303D" w:rsidP="00DE6319">
            <w:pPr>
              <w:pStyle w:val="Header"/>
              <w:rPr>
                <w:rFonts w:ascii="Arial" w:hAnsi="Arial" w:cs="Arial"/>
                <w:b/>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bl>
    <w:p w:rsidR="00ED303D" w:rsidRDefault="00ED303D" w:rsidP="00ED303D">
      <w:pPr>
        <w:jc w:val="center"/>
        <w:rPr>
          <w:rFonts w:ascii="Arial" w:hAnsi="Arial" w:cs="Arial"/>
          <w:b/>
          <w:sz w:val="20"/>
          <w:szCs w:val="20"/>
        </w:rPr>
      </w:pPr>
    </w:p>
    <w:p w:rsidR="00ED303D" w:rsidRDefault="00ED303D" w:rsidP="00ED303D">
      <w:pPr>
        <w:jc w:val="center"/>
        <w:rPr>
          <w:rFonts w:ascii="Arial" w:hAnsi="Arial" w:cs="Arial"/>
          <w:b/>
          <w:sz w:val="20"/>
          <w:szCs w:val="20"/>
        </w:rPr>
      </w:pPr>
    </w:p>
    <w:p w:rsidR="00ED303D" w:rsidRPr="007C1D50" w:rsidRDefault="00ED303D" w:rsidP="00ED303D">
      <w:pPr>
        <w:rPr>
          <w:rFonts w:ascii="Arial" w:hAnsi="Arial" w:cs="Arial"/>
          <w:sz w:val="20"/>
          <w:szCs w:val="20"/>
        </w:rPr>
      </w:pPr>
      <w:r>
        <w:rPr>
          <w:rFonts w:ascii="Arial" w:hAnsi="Arial" w:cs="Arial"/>
          <w:b/>
          <w:sz w:val="20"/>
          <w:szCs w:val="20"/>
        </w:rPr>
        <w:br w:type="page"/>
      </w:r>
    </w:p>
    <w:p w:rsidR="00ED303D" w:rsidRPr="007C1D50" w:rsidRDefault="00ED303D" w:rsidP="00ED303D">
      <w:pPr>
        <w:pStyle w:val="Heading1"/>
        <w:rPr>
          <w:rFonts w:ascii="Arial" w:hAnsi="Arial" w:cs="Arial"/>
          <w:sz w:val="20"/>
          <w:szCs w:val="20"/>
        </w:rPr>
      </w:pPr>
      <w:r w:rsidRPr="007C1D50">
        <w:rPr>
          <w:rFonts w:ascii="Arial" w:hAnsi="Arial" w:cs="Arial"/>
          <w:sz w:val="20"/>
          <w:szCs w:val="20"/>
        </w:rPr>
        <w:lastRenderedPageBreak/>
        <w:t xml:space="preserve">TITLE: </w:t>
      </w:r>
    </w:p>
    <w:p w:rsidR="00ED303D" w:rsidRPr="007C1D50" w:rsidRDefault="00ED303D" w:rsidP="00ED303D">
      <w:pPr>
        <w:rPr>
          <w:rFonts w:ascii="Arial" w:hAnsi="Arial" w:cs="Arial"/>
          <w:sz w:val="20"/>
          <w:szCs w:val="20"/>
        </w:rPr>
      </w:pPr>
    </w:p>
    <w:p w:rsidR="00ED303D" w:rsidRDefault="00ED303D" w:rsidP="00ED303D">
      <w:pPr>
        <w:pStyle w:val="First-OrderHeading"/>
        <w:numPr>
          <w:ilvl w:val="0"/>
          <w:numId w:val="21"/>
        </w:numPr>
        <w:tabs>
          <w:tab w:val="clear" w:pos="1080"/>
          <w:tab w:val="num" w:pos="0"/>
        </w:tabs>
        <w:ind w:left="0" w:firstLine="0"/>
        <w:rPr>
          <w:rFonts w:ascii="Arial" w:hAnsi="Arial" w:cs="Arial"/>
          <w:sz w:val="20"/>
        </w:rPr>
      </w:pPr>
      <w:r w:rsidRPr="007C1D50">
        <w:rPr>
          <w:rFonts w:ascii="Arial" w:hAnsi="Arial" w:cs="Arial"/>
          <w:sz w:val="20"/>
        </w:rPr>
        <w:t>Purpose</w:t>
      </w:r>
    </w:p>
    <w:p w:rsidR="006E5178" w:rsidRPr="006E5178" w:rsidRDefault="006E5178" w:rsidP="006E5178">
      <w:pPr>
        <w:ind w:left="720"/>
        <w:rPr>
          <w:rFonts w:ascii="Arial" w:hAnsi="Arial" w:cs="Arial"/>
          <w:sz w:val="20"/>
          <w:szCs w:val="20"/>
        </w:rPr>
      </w:pPr>
      <w:r w:rsidRPr="006E5178">
        <w:rPr>
          <w:rFonts w:ascii="Arial" w:hAnsi="Arial" w:cs="Arial"/>
          <w:sz w:val="20"/>
          <w:szCs w:val="20"/>
        </w:rPr>
        <w:t>Ferritin is a macromolecule with a molecular weight of at least</w:t>
      </w:r>
      <w:r w:rsidRPr="006E5178">
        <w:rPr>
          <w:rFonts w:ascii="Arial" w:hAnsi="Arial" w:cs="Arial"/>
          <w:b/>
          <w:caps/>
          <w:sz w:val="20"/>
          <w:szCs w:val="20"/>
        </w:rPr>
        <w:t xml:space="preserve"> </w:t>
      </w:r>
      <w:r w:rsidRPr="006E5178">
        <w:rPr>
          <w:rFonts w:ascii="Arial" w:hAnsi="Arial" w:cs="Arial"/>
          <w:sz w:val="20"/>
          <w:szCs w:val="20"/>
        </w:rPr>
        <w:t>440</w:t>
      </w:r>
      <w:r w:rsidRPr="006E5178">
        <w:rPr>
          <w:rFonts w:ascii="Arial" w:hAnsi="Arial" w:cs="Arial"/>
          <w:b/>
          <w:caps/>
          <w:sz w:val="20"/>
          <w:szCs w:val="20"/>
        </w:rPr>
        <w:t xml:space="preserve"> </w:t>
      </w:r>
      <w:r w:rsidRPr="006E5178">
        <w:rPr>
          <w:rFonts w:ascii="Arial" w:hAnsi="Arial" w:cs="Arial"/>
          <w:sz w:val="20"/>
          <w:szCs w:val="20"/>
        </w:rPr>
        <w:t xml:space="preserve"> kD (depending on the iron content) and consist of a protein shell (apoferritin) of 23 subunits and an iron core containing an average of approximately 2050 Fe</w:t>
      </w:r>
      <w:r w:rsidRPr="006E5178">
        <w:rPr>
          <w:rFonts w:ascii="Arial" w:hAnsi="Arial" w:cs="Arial"/>
          <w:sz w:val="20"/>
          <w:szCs w:val="20"/>
          <w:vertAlign w:val="superscript"/>
        </w:rPr>
        <w:t>3+</w:t>
      </w:r>
      <w:r w:rsidRPr="006E5178">
        <w:rPr>
          <w:rFonts w:ascii="Arial" w:hAnsi="Arial" w:cs="Arial"/>
          <w:sz w:val="20"/>
          <w:szCs w:val="20"/>
        </w:rPr>
        <w:t xml:space="preserve"> ions (in liver and spleen ferritin).</w:t>
      </w:r>
      <w:r w:rsidRPr="006E5178">
        <w:rPr>
          <w:rFonts w:ascii="Arial" w:hAnsi="Arial" w:cs="Arial"/>
          <w:sz w:val="20"/>
          <w:szCs w:val="20"/>
          <w:vertAlign w:val="superscript"/>
        </w:rPr>
        <w:t>1</w:t>
      </w:r>
    </w:p>
    <w:p w:rsidR="006E5178" w:rsidRPr="006E5178" w:rsidRDefault="006E5178" w:rsidP="006E5178">
      <w:pPr>
        <w:pStyle w:val="Heading7"/>
        <w:ind w:left="720"/>
        <w:rPr>
          <w:rFonts w:ascii="Arial" w:hAnsi="Arial" w:cs="Arial"/>
          <w:i w:val="0"/>
          <w:sz w:val="20"/>
          <w:szCs w:val="20"/>
        </w:rPr>
      </w:pPr>
      <w:r w:rsidRPr="006E5178">
        <w:rPr>
          <w:rFonts w:ascii="Arial" w:hAnsi="Arial" w:cs="Arial"/>
          <w:i w:val="0"/>
          <w:sz w:val="20"/>
          <w:szCs w:val="20"/>
        </w:rPr>
        <w:t xml:space="preserve">Ferritin tends to form oligomers, and </w:t>
      </w:r>
      <w:r w:rsidR="00C21C35" w:rsidRPr="006E5178">
        <w:rPr>
          <w:rFonts w:ascii="Arial" w:hAnsi="Arial" w:cs="Arial"/>
          <w:i w:val="0"/>
          <w:sz w:val="20"/>
          <w:szCs w:val="20"/>
        </w:rPr>
        <w:t>when</w:t>
      </w:r>
      <w:r w:rsidRPr="006E5178">
        <w:rPr>
          <w:rFonts w:ascii="Arial" w:hAnsi="Arial" w:cs="Arial"/>
          <w:i w:val="0"/>
          <w:sz w:val="20"/>
          <w:szCs w:val="20"/>
        </w:rPr>
        <w:t xml:space="preserve"> it is present in excess in the cells of the storage organs there is a tendency for condensation to semicrystalline hemosiderin to occur in the lysosomes.</w:t>
      </w:r>
    </w:p>
    <w:p w:rsidR="006E5178" w:rsidRPr="006E5178" w:rsidRDefault="006E5178" w:rsidP="006E5178">
      <w:pPr>
        <w:pStyle w:val="Heading7"/>
        <w:ind w:left="720"/>
        <w:rPr>
          <w:rFonts w:ascii="Arial" w:hAnsi="Arial" w:cs="Arial"/>
          <w:i w:val="0"/>
          <w:sz w:val="20"/>
          <w:szCs w:val="20"/>
        </w:rPr>
      </w:pPr>
      <w:r w:rsidRPr="006E5178">
        <w:rPr>
          <w:rFonts w:ascii="Arial" w:hAnsi="Arial" w:cs="Arial"/>
          <w:i w:val="0"/>
          <w:sz w:val="20"/>
          <w:szCs w:val="20"/>
        </w:rPr>
        <w:t xml:space="preserve">At least 20 isoferritins can be distinguished with the aid of </w:t>
      </w:r>
      <w:r w:rsidR="00C21C35" w:rsidRPr="006E5178">
        <w:rPr>
          <w:rFonts w:ascii="Arial" w:hAnsi="Arial" w:cs="Arial"/>
          <w:i w:val="0"/>
          <w:sz w:val="20"/>
          <w:szCs w:val="20"/>
        </w:rPr>
        <w:t>isoelectric</w:t>
      </w:r>
      <w:r w:rsidRPr="006E5178">
        <w:rPr>
          <w:rFonts w:ascii="Arial" w:hAnsi="Arial" w:cs="Arial"/>
          <w:i w:val="0"/>
          <w:sz w:val="20"/>
          <w:szCs w:val="20"/>
        </w:rPr>
        <w:t xml:space="preserve"> focusing.</w:t>
      </w:r>
      <w:r w:rsidRPr="006E5178">
        <w:rPr>
          <w:rFonts w:ascii="Arial" w:hAnsi="Arial" w:cs="Arial"/>
          <w:i w:val="0"/>
          <w:sz w:val="20"/>
          <w:szCs w:val="20"/>
          <w:vertAlign w:val="superscript"/>
        </w:rPr>
        <w:t>2</w:t>
      </w:r>
      <w:r w:rsidRPr="006E5178">
        <w:rPr>
          <w:rFonts w:ascii="Arial" w:hAnsi="Arial" w:cs="Arial"/>
          <w:i w:val="0"/>
          <w:sz w:val="20"/>
          <w:szCs w:val="20"/>
        </w:rPr>
        <w:t xml:space="preserve">  The microheterogeneity is due to differences in the contents of the acidic H and weakly basic L subunits.  The basic isoferritins are responsible for the long-term iron storage function, and are found mainly in the liver, spleen, and bone marrow.</w:t>
      </w:r>
      <w:r w:rsidRPr="006E5178">
        <w:rPr>
          <w:rFonts w:ascii="Arial" w:hAnsi="Arial" w:cs="Arial"/>
          <w:i w:val="0"/>
          <w:sz w:val="20"/>
          <w:szCs w:val="20"/>
          <w:vertAlign w:val="superscript"/>
        </w:rPr>
        <w:t xml:space="preserve"> 1,3</w:t>
      </w:r>
    </w:p>
    <w:p w:rsidR="006E5178" w:rsidRPr="006E5178" w:rsidRDefault="006E5178" w:rsidP="006E5178">
      <w:pPr>
        <w:pStyle w:val="Heading7"/>
        <w:ind w:left="720"/>
        <w:rPr>
          <w:rFonts w:ascii="Arial" w:hAnsi="Arial" w:cs="Arial"/>
          <w:i w:val="0"/>
          <w:sz w:val="20"/>
          <w:szCs w:val="20"/>
          <w:vertAlign w:val="superscript"/>
        </w:rPr>
      </w:pPr>
      <w:r w:rsidRPr="006E5178">
        <w:rPr>
          <w:rFonts w:ascii="Arial" w:hAnsi="Arial" w:cs="Arial"/>
          <w:i w:val="0"/>
          <w:sz w:val="20"/>
          <w:szCs w:val="20"/>
        </w:rPr>
        <w:t>Acidic isoferritins are found mainly in the myocardium, placenta, and tumor tissue.  They have a lower iron content and presumably function as intermediaries for the transfer of iron in various syntheses.</w:t>
      </w:r>
      <w:r w:rsidRPr="006E5178">
        <w:rPr>
          <w:rFonts w:ascii="Arial" w:hAnsi="Arial" w:cs="Arial"/>
          <w:i w:val="0"/>
          <w:sz w:val="20"/>
          <w:szCs w:val="20"/>
          <w:vertAlign w:val="superscript"/>
        </w:rPr>
        <w:t>4,5,6</w:t>
      </w:r>
    </w:p>
    <w:p w:rsidR="006E5178" w:rsidRPr="006E5178" w:rsidRDefault="006E5178" w:rsidP="006E5178">
      <w:pPr>
        <w:pStyle w:val="Heading7"/>
        <w:ind w:left="720"/>
        <w:rPr>
          <w:rFonts w:ascii="Arial" w:hAnsi="Arial" w:cs="Arial"/>
          <w:i w:val="0"/>
          <w:sz w:val="20"/>
          <w:szCs w:val="20"/>
        </w:rPr>
      </w:pPr>
      <w:r w:rsidRPr="006E5178">
        <w:rPr>
          <w:rFonts w:ascii="Arial" w:hAnsi="Arial" w:cs="Arial"/>
          <w:i w:val="0"/>
          <w:sz w:val="20"/>
          <w:szCs w:val="20"/>
        </w:rPr>
        <w:t>The determination of ferritin is a suitable method for ascertaining the iron metabolism situation.  Determination of ferritin at the beginning of therapy provides a representative measure of the body’s iron reserves.  A storage deficiency is the reticulo-endothelial system (RES) can be detected at a very early stage.</w:t>
      </w:r>
    </w:p>
    <w:p w:rsidR="006E5178" w:rsidRPr="006E5178" w:rsidRDefault="006E5178" w:rsidP="006E5178">
      <w:pPr>
        <w:pStyle w:val="Heading7"/>
        <w:ind w:left="720"/>
        <w:rPr>
          <w:rFonts w:ascii="Arial" w:hAnsi="Arial" w:cs="Arial"/>
          <w:i w:val="0"/>
          <w:sz w:val="20"/>
          <w:szCs w:val="20"/>
          <w:vertAlign w:val="superscript"/>
        </w:rPr>
      </w:pPr>
      <w:r w:rsidRPr="006E5178">
        <w:rPr>
          <w:rFonts w:ascii="Arial" w:hAnsi="Arial" w:cs="Arial"/>
          <w:i w:val="0"/>
          <w:sz w:val="20"/>
          <w:szCs w:val="20"/>
        </w:rPr>
        <w:t>Clinically, a threshold value of 20 µg/L (ng/mL) has proved useful in the detection of prelatent iron deficiency.  This value provides a reliable indication of exhaustion of the iron reserves that can be mobilized for hemoglobin synthesis.  Latent iron deficiency is defined as a fall below the 12 µg/L (ng/mL) ferritin threshold.  These two values necessitate no further laboratory elucidation, even when the blood picture is still morphologically normal.  If the depressed ferritin level is accompanied by hypochromic microcytal anemia, then manifest iron deficiency is present.</w:t>
      </w:r>
      <w:r w:rsidRPr="006E5178">
        <w:rPr>
          <w:rFonts w:ascii="Arial" w:hAnsi="Arial" w:cs="Arial"/>
          <w:i w:val="0"/>
          <w:sz w:val="20"/>
          <w:szCs w:val="20"/>
          <w:vertAlign w:val="superscript"/>
        </w:rPr>
        <w:t>1</w:t>
      </w:r>
    </w:p>
    <w:p w:rsidR="006E5178" w:rsidRPr="006E5178" w:rsidRDefault="006E5178" w:rsidP="006E5178">
      <w:pPr>
        <w:pStyle w:val="Heading7"/>
        <w:ind w:left="720"/>
        <w:rPr>
          <w:rFonts w:ascii="Arial" w:hAnsi="Arial" w:cs="Arial"/>
          <w:i w:val="0"/>
          <w:sz w:val="20"/>
          <w:szCs w:val="20"/>
        </w:rPr>
      </w:pPr>
      <w:r w:rsidRPr="006E5178">
        <w:rPr>
          <w:rFonts w:ascii="Arial" w:hAnsi="Arial" w:cs="Arial"/>
          <w:i w:val="0"/>
          <w:sz w:val="20"/>
          <w:szCs w:val="20"/>
        </w:rPr>
        <w:t xml:space="preserve">When the ferritin level is elevated and the possibility of a distribution disorder can be ruled out, this is a manifestation of iron overloading in the body.  400 µg/L (ng/mL) ferritin is used as the Threshold value.  Elevated ferritin values are also encountered with the following tumors: acute leukemia, Hodgkin’s disease and carcinoma of the lung, colon, liver and prostate.  The determination of ferritin has proved to be of value in liver metastasis.  Studies indicate that 76% of all patients with liver metastasis have ferritin values above 400 µg/L (ng/mL).  Reasons for the elevated values could be cell necrosis, blocked erythropoiesis or increased synthesis in tumor tissue.  </w:t>
      </w:r>
    </w:p>
    <w:p w:rsidR="006E5178" w:rsidRPr="006E5178" w:rsidRDefault="006E5178" w:rsidP="006E5178">
      <w:pPr>
        <w:pStyle w:val="Heading7"/>
        <w:ind w:left="720"/>
        <w:rPr>
          <w:rFonts w:ascii="Arial" w:hAnsi="Arial" w:cs="Arial"/>
          <w:i w:val="0"/>
          <w:sz w:val="20"/>
          <w:szCs w:val="20"/>
        </w:rPr>
      </w:pPr>
      <w:r w:rsidRPr="006E5178">
        <w:rPr>
          <w:rFonts w:ascii="Arial" w:hAnsi="Arial" w:cs="Arial"/>
          <w:i w:val="0"/>
          <w:sz w:val="20"/>
          <w:szCs w:val="20"/>
        </w:rPr>
        <w:t xml:space="preserve">Two monoclonal mouse antibodies – M-4.184 and M-3.170 – are used to form the sandwich complex in the assay.  </w:t>
      </w:r>
    </w:p>
    <w:p w:rsidR="006E5178" w:rsidRDefault="006E5178" w:rsidP="006E5178">
      <w:pPr>
        <w:pStyle w:val="First-OrderHeading"/>
        <w:numPr>
          <w:ilvl w:val="0"/>
          <w:numId w:val="0"/>
        </w:numPr>
        <w:ind w:left="720"/>
        <w:rPr>
          <w:rFonts w:ascii="Arial" w:hAnsi="Arial" w:cs="Arial"/>
          <w:sz w:val="20"/>
        </w:rPr>
      </w:pP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TEST PRINCIPLE</w:t>
      </w:r>
    </w:p>
    <w:p w:rsidR="00ED303D" w:rsidRDefault="00C21C35"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Sandwich principle</w:t>
      </w:r>
      <w:r w:rsidR="00ED303D">
        <w:rPr>
          <w:rFonts w:ascii="Arial" w:hAnsi="Arial" w:cs="Arial"/>
          <w:b w:val="0"/>
          <w:caps w:val="0"/>
          <w:sz w:val="20"/>
        </w:rPr>
        <w:t>.  Total durati</w:t>
      </w:r>
      <w:r w:rsidR="00D2333D">
        <w:rPr>
          <w:rFonts w:ascii="Arial" w:hAnsi="Arial" w:cs="Arial"/>
          <w:b w:val="0"/>
          <w:caps w:val="0"/>
          <w:sz w:val="20"/>
        </w:rPr>
        <w:t xml:space="preserve">on of assay: </w:t>
      </w:r>
      <w:r w:rsidR="00EC3C2D">
        <w:rPr>
          <w:rFonts w:ascii="Arial" w:hAnsi="Arial" w:cs="Arial"/>
          <w:b w:val="0"/>
          <w:caps w:val="0"/>
          <w:sz w:val="20"/>
        </w:rPr>
        <w:t>18</w:t>
      </w:r>
      <w:r w:rsidR="00ED303D">
        <w:rPr>
          <w:rFonts w:ascii="Arial" w:hAnsi="Arial" w:cs="Arial"/>
          <w:b w:val="0"/>
          <w:caps w:val="0"/>
          <w:sz w:val="20"/>
        </w:rPr>
        <w:t xml:space="preserve"> minutes.</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1</w:t>
      </w:r>
      <w:r>
        <w:rPr>
          <w:rFonts w:ascii="Arial" w:hAnsi="Arial" w:cs="Arial"/>
          <w:b w:val="0"/>
          <w:caps w:val="0"/>
          <w:sz w:val="20"/>
          <w:vertAlign w:val="superscript"/>
        </w:rPr>
        <w:t>st</w:t>
      </w:r>
      <w:r>
        <w:rPr>
          <w:rFonts w:ascii="Arial" w:hAnsi="Arial" w:cs="Arial"/>
          <w:b w:val="0"/>
          <w:caps w:val="0"/>
          <w:sz w:val="20"/>
        </w:rPr>
        <w:t xml:space="preserve"> incubation: </w:t>
      </w:r>
      <w:r w:rsidR="00EC3C2D">
        <w:rPr>
          <w:rFonts w:ascii="Arial" w:hAnsi="Arial" w:cs="Arial"/>
          <w:b w:val="0"/>
          <w:caps w:val="0"/>
          <w:sz w:val="20"/>
        </w:rPr>
        <w:t>10</w:t>
      </w:r>
      <w:r w:rsidR="00AD25B2">
        <w:rPr>
          <w:rFonts w:ascii="Arial" w:hAnsi="Arial" w:cs="Arial"/>
          <w:b w:val="0"/>
          <w:caps w:val="0"/>
          <w:sz w:val="20"/>
        </w:rPr>
        <w:t xml:space="preserve"> uL of sample</w:t>
      </w:r>
      <w:r w:rsidR="00EC3C2D">
        <w:rPr>
          <w:rFonts w:ascii="Arial" w:hAnsi="Arial" w:cs="Arial"/>
          <w:b w:val="0"/>
          <w:caps w:val="0"/>
          <w:sz w:val="20"/>
        </w:rPr>
        <w:t>,</w:t>
      </w:r>
      <w:r w:rsidR="00AD25B2">
        <w:rPr>
          <w:rFonts w:ascii="Arial" w:hAnsi="Arial" w:cs="Arial"/>
          <w:b w:val="0"/>
          <w:caps w:val="0"/>
          <w:sz w:val="20"/>
        </w:rPr>
        <w:t xml:space="preserve"> </w:t>
      </w:r>
      <w:r w:rsidR="00EC3C2D">
        <w:rPr>
          <w:rFonts w:ascii="Arial" w:hAnsi="Arial" w:cs="Arial"/>
          <w:b w:val="0"/>
          <w:caps w:val="0"/>
          <w:sz w:val="20"/>
        </w:rPr>
        <w:t>a biotinylated monoclonal ferritin-specific antibody, and a monoclonal ferritin-specific antibody labeled with a ruthenium complex</w:t>
      </w:r>
      <w:r w:rsidR="00EC3C2D">
        <w:rPr>
          <w:rFonts w:ascii="Arial" w:hAnsi="Arial" w:cs="Arial"/>
          <w:b w:val="0"/>
          <w:caps w:val="0"/>
          <w:sz w:val="20"/>
          <w:vertAlign w:val="superscript"/>
        </w:rPr>
        <w:t>a)</w:t>
      </w:r>
      <w:r w:rsidR="00EC3C2D">
        <w:rPr>
          <w:rFonts w:ascii="Arial" w:hAnsi="Arial" w:cs="Arial"/>
          <w:b w:val="0"/>
          <w:caps w:val="0"/>
          <w:sz w:val="20"/>
        </w:rPr>
        <w:t xml:space="preserve"> form a sandwich complex</w:t>
      </w:r>
      <w:r w:rsidR="0042783E">
        <w:rPr>
          <w:rFonts w:ascii="Arial" w:hAnsi="Arial" w:cs="Arial"/>
          <w:b w:val="0"/>
          <w:caps w:val="0"/>
          <w:sz w:val="20"/>
        </w:rPr>
        <w:t>.</w:t>
      </w:r>
    </w:p>
    <w:p w:rsidR="00EC3C2D" w:rsidRDefault="00EC3C2D" w:rsidP="00B22825">
      <w:pPr>
        <w:pStyle w:val="First-OrderHeading"/>
        <w:numPr>
          <w:ilvl w:val="0"/>
          <w:numId w:val="23"/>
        </w:numPr>
        <w:rPr>
          <w:rFonts w:ascii="Arial" w:hAnsi="Arial" w:cs="Arial"/>
          <w:b w:val="0"/>
          <w:caps w:val="0"/>
          <w:sz w:val="20"/>
        </w:rPr>
      </w:pPr>
      <w:r w:rsidRPr="00EC3C2D">
        <w:rPr>
          <w:rFonts w:ascii="Arial" w:hAnsi="Arial" w:cs="Arial"/>
          <w:b w:val="0"/>
          <w:caps w:val="0"/>
          <w:sz w:val="20"/>
        </w:rPr>
        <w:lastRenderedPageBreak/>
        <w:t>2</w:t>
      </w:r>
      <w:r w:rsidRPr="00EC3C2D">
        <w:rPr>
          <w:rFonts w:ascii="Arial" w:hAnsi="Arial" w:cs="Arial"/>
          <w:b w:val="0"/>
          <w:caps w:val="0"/>
          <w:sz w:val="20"/>
          <w:vertAlign w:val="superscript"/>
        </w:rPr>
        <w:t>nd</w:t>
      </w:r>
      <w:r w:rsidR="0042783E" w:rsidRPr="00EC3C2D">
        <w:rPr>
          <w:rFonts w:ascii="Arial" w:hAnsi="Arial" w:cs="Arial"/>
          <w:b w:val="0"/>
          <w:caps w:val="0"/>
          <w:sz w:val="20"/>
        </w:rPr>
        <w:t xml:space="preserve"> incubation: After addition of str</w:t>
      </w:r>
      <w:r>
        <w:rPr>
          <w:rFonts w:ascii="Arial" w:hAnsi="Arial" w:cs="Arial"/>
          <w:b w:val="0"/>
          <w:caps w:val="0"/>
          <w:sz w:val="20"/>
        </w:rPr>
        <w:t>eptavidin-coated microparticles, the complex becomes bound to the solid phase via interaction of biotin and streptavidin.</w:t>
      </w:r>
    </w:p>
    <w:p w:rsidR="00ED303D" w:rsidRPr="00EC3C2D" w:rsidRDefault="00ED303D" w:rsidP="00B22825">
      <w:pPr>
        <w:pStyle w:val="First-OrderHeading"/>
        <w:numPr>
          <w:ilvl w:val="0"/>
          <w:numId w:val="23"/>
        </w:numPr>
        <w:rPr>
          <w:rFonts w:ascii="Arial" w:hAnsi="Arial" w:cs="Arial"/>
          <w:b w:val="0"/>
          <w:caps w:val="0"/>
          <w:sz w:val="20"/>
        </w:rPr>
      </w:pPr>
      <w:r w:rsidRPr="00EC3C2D">
        <w:rPr>
          <w:rFonts w:ascii="Arial" w:hAnsi="Arial" w:cs="Arial"/>
          <w:b w:val="0"/>
          <w:caps w:val="0"/>
          <w:sz w:val="20"/>
        </w:rPr>
        <w:t>The reaction mixture is aspirated into the measuring cell where the microparticles are magnetically captured onto the surface of the electrode.  Unbound substances are then removed with ProCell/ProCell M.  Application of a voltage to the electrode then induces chemiluminescent emission which is measured by a photomultiplier.</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 xml:space="preserve">Results are determined via a calibration curve which is instrument-specifically generated by 2-point calibration and a master curve provided via the reagent barcode or e-barcode. </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SCOPE</w:t>
      </w:r>
    </w:p>
    <w:p w:rsidR="00B22825" w:rsidRDefault="00EC3C2D" w:rsidP="0042783E">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Immunoassay for the in vitro quantitative determination of ferritin in human serum and plasma. </w:t>
      </w:r>
    </w:p>
    <w:p w:rsidR="00EC3C2D" w:rsidRPr="00EC3C2D" w:rsidRDefault="00EC3C2D" w:rsidP="0042783E">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The electrochemiluminescence immune assay “ECLIA” is intended for use on Elecsys and </w:t>
      </w:r>
      <w:r>
        <w:rPr>
          <w:rFonts w:ascii="Arial" w:hAnsi="Arial" w:cs="Arial"/>
          <w:caps w:val="0"/>
          <w:sz w:val="20"/>
        </w:rPr>
        <w:t>cobas e</w:t>
      </w:r>
      <w:r>
        <w:rPr>
          <w:rFonts w:ascii="Arial" w:hAnsi="Arial" w:cs="Arial"/>
          <w:b w:val="0"/>
          <w:caps w:val="0"/>
          <w:sz w:val="20"/>
        </w:rPr>
        <w:t xml:space="preserve"> immunoassay analyzers.</w:t>
      </w:r>
    </w:p>
    <w:p w:rsidR="00ED303D" w:rsidRPr="00AD25B2" w:rsidRDefault="00ED303D" w:rsidP="00ED303D">
      <w:pPr>
        <w:pStyle w:val="First-OrderHeading"/>
        <w:numPr>
          <w:ilvl w:val="0"/>
          <w:numId w:val="21"/>
        </w:numPr>
        <w:tabs>
          <w:tab w:val="clear" w:pos="1080"/>
          <w:tab w:val="num" w:pos="0"/>
        </w:tabs>
        <w:ind w:left="0" w:firstLine="0"/>
        <w:rPr>
          <w:rFonts w:ascii="Arial" w:hAnsi="Arial" w:cs="Arial"/>
          <w:sz w:val="20"/>
        </w:rPr>
      </w:pPr>
      <w:r w:rsidRPr="00164355">
        <w:rPr>
          <w:rFonts w:ascii="Arial" w:hAnsi="Arial" w:cs="Arial"/>
          <w:sz w:val="20"/>
        </w:rPr>
        <w:t>RESPONSIBILITIES</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ED303D" w:rsidRPr="0063785F" w:rsidTr="00DE6319">
        <w:tc>
          <w:tcPr>
            <w:tcW w:w="2808" w:type="dxa"/>
          </w:tcPr>
          <w:p w:rsidR="00ED303D" w:rsidRPr="0063785F" w:rsidRDefault="00ED303D" w:rsidP="00DE6319">
            <w:pPr>
              <w:rPr>
                <w:rFonts w:ascii="Arial" w:hAnsi="Arial" w:cs="Arial"/>
                <w:b/>
                <w:sz w:val="20"/>
                <w:szCs w:val="20"/>
              </w:rPr>
            </w:pPr>
            <w:r w:rsidRPr="0063785F">
              <w:rPr>
                <w:rFonts w:ascii="Arial" w:hAnsi="Arial" w:cs="Arial"/>
                <w:b/>
                <w:sz w:val="20"/>
                <w:szCs w:val="20"/>
              </w:rPr>
              <w:t>Roles</w:t>
            </w:r>
          </w:p>
        </w:tc>
        <w:tc>
          <w:tcPr>
            <w:tcW w:w="5310" w:type="dxa"/>
          </w:tcPr>
          <w:p w:rsidR="00ED303D" w:rsidRPr="0063785F" w:rsidRDefault="00ED303D" w:rsidP="00DE6319">
            <w:pPr>
              <w:rPr>
                <w:rFonts w:ascii="Arial" w:hAnsi="Arial" w:cs="Arial"/>
                <w:b/>
                <w:sz w:val="20"/>
                <w:szCs w:val="20"/>
              </w:rPr>
            </w:pPr>
            <w:r w:rsidRPr="0063785F">
              <w:rPr>
                <w:rFonts w:ascii="Arial" w:hAnsi="Arial" w:cs="Arial"/>
                <w:b/>
                <w:sz w:val="20"/>
                <w:szCs w:val="20"/>
              </w:rPr>
              <w:t>Responsibilities</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Quality Assurance</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process including provide leadership and/or assistance in support of the process.</w:t>
            </w:r>
          </w:p>
          <w:p w:rsidR="00ED303D" w:rsidRPr="0063785F" w:rsidRDefault="00ED303D" w:rsidP="00DE6319">
            <w:pPr>
              <w:rPr>
                <w:rFonts w:ascii="Arial" w:hAnsi="Arial" w:cs="Arial"/>
                <w:sz w:val="20"/>
                <w:szCs w:val="20"/>
              </w:rPr>
            </w:pPr>
            <w:r w:rsidRPr="0063785F">
              <w:rPr>
                <w:rFonts w:ascii="Arial" w:hAnsi="Arial" w:cs="Arial"/>
                <w:sz w:val="20"/>
                <w:szCs w:val="20"/>
              </w:rPr>
              <w:t xml:space="preserve">Review and approval of procedure </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Medical Director</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development of the document.</w:t>
            </w:r>
          </w:p>
          <w:p w:rsidR="00ED303D" w:rsidRPr="0063785F" w:rsidRDefault="00ED303D" w:rsidP="00DE6319">
            <w:pPr>
              <w:rPr>
                <w:rFonts w:ascii="Arial" w:hAnsi="Arial" w:cs="Arial"/>
                <w:sz w:val="20"/>
                <w:szCs w:val="20"/>
              </w:rPr>
            </w:pPr>
            <w:r w:rsidRPr="0063785F">
              <w:rPr>
                <w:rFonts w:ascii="Arial" w:hAnsi="Arial" w:cs="Arial"/>
                <w:sz w:val="20"/>
                <w:szCs w:val="20"/>
              </w:rPr>
              <w:t>Review and approval of the document.</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Management</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Review and approve the document.</w:t>
            </w:r>
          </w:p>
          <w:p w:rsidR="00ED303D" w:rsidRPr="0063785F" w:rsidRDefault="00ED303D" w:rsidP="00DE6319">
            <w:pPr>
              <w:rPr>
                <w:rFonts w:ascii="Arial" w:hAnsi="Arial" w:cs="Arial"/>
                <w:sz w:val="20"/>
                <w:szCs w:val="20"/>
              </w:rPr>
            </w:pPr>
            <w:r w:rsidRPr="0063785F">
              <w:rPr>
                <w:rFonts w:ascii="Arial" w:hAnsi="Arial" w:cs="Arial"/>
                <w:sz w:val="20"/>
                <w:szCs w:val="20"/>
              </w:rPr>
              <w:t>Ensure that procedure is followed.</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Laboratory Technical staff</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Follows procedure.</w:t>
            </w:r>
          </w:p>
        </w:tc>
      </w:tr>
    </w:tbl>
    <w:p w:rsidR="00ED303D" w:rsidRPr="00843DA9" w:rsidRDefault="00ED303D" w:rsidP="00ED303D">
      <w:pPr>
        <w:rPr>
          <w:rFonts w:ascii="Arial" w:hAnsi="Arial" w:cs="Arial"/>
          <w:sz w:val="20"/>
          <w:szCs w:val="20"/>
        </w:rPr>
      </w:pPr>
    </w:p>
    <w:p w:rsidR="00ED303D" w:rsidRPr="00862851"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Pr>
          <w:rFonts w:ascii="Arial" w:hAnsi="Arial" w:cs="Arial"/>
          <w:b/>
          <w:sz w:val="20"/>
        </w:rPr>
        <w:t>ACRONYMS/DEFINITIONS</w:t>
      </w:r>
    </w:p>
    <w:p w:rsidR="00ED303D" w:rsidRDefault="00ED303D" w:rsidP="00ED303D">
      <w:pPr>
        <w:pStyle w:val="Second-OrderHeading"/>
        <w:numPr>
          <w:ilvl w:val="0"/>
          <w:numId w:val="0"/>
        </w:numPr>
        <w:spacing w:after="0"/>
        <w:ind w:left="72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URMC</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University of Rochester Medical Center</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VB12</w:t>
            </w:r>
          </w:p>
        </w:tc>
        <w:tc>
          <w:tcPr>
            <w:tcW w:w="5580" w:type="dxa"/>
          </w:tcPr>
          <w:p w:rsidR="00ED303D" w:rsidRPr="00B0633A" w:rsidRDefault="00ED303D" w:rsidP="00DE6319">
            <w:pPr>
              <w:rPr>
                <w:rFonts w:ascii="Arial" w:hAnsi="Arial" w:cs="Arial"/>
                <w:sz w:val="20"/>
                <w:szCs w:val="20"/>
                <w:vertAlign w:val="subscript"/>
              </w:rPr>
            </w:pPr>
            <w:r>
              <w:rPr>
                <w:rFonts w:ascii="Arial" w:hAnsi="Arial" w:cs="Arial"/>
                <w:sz w:val="20"/>
                <w:szCs w:val="20"/>
              </w:rPr>
              <w:t>Vitamin B</w:t>
            </w:r>
            <w:r>
              <w:rPr>
                <w:rFonts w:ascii="Arial" w:hAnsi="Arial" w:cs="Arial"/>
                <w:sz w:val="20"/>
                <w:szCs w:val="20"/>
                <w:vertAlign w:val="subscript"/>
              </w:rPr>
              <w:t>12</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SW</w:t>
            </w:r>
          </w:p>
        </w:tc>
        <w:tc>
          <w:tcPr>
            <w:tcW w:w="5580" w:type="dxa"/>
          </w:tcPr>
          <w:p w:rsidR="00ED303D" w:rsidRPr="00CB5ABE" w:rsidRDefault="00ED303D" w:rsidP="00DE6319">
            <w:pPr>
              <w:rPr>
                <w:rFonts w:ascii="Arial" w:hAnsi="Arial" w:cs="Arial"/>
                <w:sz w:val="20"/>
                <w:szCs w:val="20"/>
              </w:rPr>
            </w:pPr>
            <w:r>
              <w:rPr>
                <w:rFonts w:ascii="Arial" w:hAnsi="Arial" w:cs="Arial"/>
                <w:sz w:val="20"/>
                <w:szCs w:val="20"/>
              </w:rPr>
              <w:t>Strong West</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RR</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Ridgeland Road Laboratory</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SMH</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Strong Memorial Hospital</w:t>
            </w:r>
          </w:p>
        </w:tc>
      </w:tr>
    </w:tbl>
    <w:p w:rsidR="00ED303D"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sidRPr="007C1D50">
        <w:rPr>
          <w:rFonts w:ascii="Arial" w:hAnsi="Arial" w:cs="Arial"/>
          <w:b/>
          <w:sz w:val="20"/>
        </w:rPr>
        <w:t>SPECIMENS</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w:t>
      </w:r>
      <w:r>
        <w:rPr>
          <w:rFonts w:ascii="Arial" w:hAnsi="Arial" w:cs="Arial"/>
          <w:sz w:val="20"/>
        </w:rPr>
        <w:tab/>
        <w:t xml:space="preserve"> Only the specimens listed below were tested and found acceptable.  </w:t>
      </w:r>
    </w:p>
    <w:p w:rsidR="00ED303D" w:rsidRDefault="001313DB" w:rsidP="00ED303D">
      <w:pPr>
        <w:pStyle w:val="Second-OrderHeading"/>
        <w:numPr>
          <w:ilvl w:val="0"/>
          <w:numId w:val="0"/>
        </w:numPr>
        <w:spacing w:before="240"/>
        <w:ind w:firstLine="720"/>
        <w:rPr>
          <w:rFonts w:ascii="Arial" w:hAnsi="Arial" w:cs="Arial"/>
          <w:sz w:val="20"/>
        </w:rPr>
      </w:pPr>
      <w:r>
        <w:rPr>
          <w:rFonts w:ascii="Arial" w:hAnsi="Arial" w:cs="Arial"/>
          <w:sz w:val="20"/>
        </w:rPr>
        <w:t>S</w:t>
      </w:r>
      <w:r w:rsidR="00ED303D">
        <w:rPr>
          <w:rFonts w:ascii="Arial" w:hAnsi="Arial" w:cs="Arial"/>
          <w:sz w:val="20"/>
        </w:rPr>
        <w:t>erum</w:t>
      </w:r>
      <w:r w:rsidR="00B22825">
        <w:rPr>
          <w:rFonts w:ascii="Arial" w:hAnsi="Arial" w:cs="Arial"/>
          <w:sz w:val="20"/>
        </w:rPr>
        <w:t xml:space="preserve"> collected using standard sampling tubes or tubes containing separating gel.</w:t>
      </w:r>
    </w:p>
    <w:p w:rsidR="00EC3C2D" w:rsidRPr="00EC3C2D" w:rsidRDefault="00EC3C2D" w:rsidP="00F428E5">
      <w:pPr>
        <w:pStyle w:val="Second-OrderHeading"/>
        <w:numPr>
          <w:ilvl w:val="0"/>
          <w:numId w:val="0"/>
        </w:numPr>
        <w:spacing w:before="240"/>
        <w:ind w:left="720"/>
        <w:rPr>
          <w:rFonts w:ascii="Arial" w:hAnsi="Arial" w:cs="Arial"/>
          <w:sz w:val="20"/>
        </w:rPr>
      </w:pPr>
      <w:r>
        <w:rPr>
          <w:rFonts w:ascii="Arial" w:hAnsi="Arial" w:cs="Arial"/>
          <w:sz w:val="20"/>
        </w:rPr>
        <w:t>Li-heparin, Na-heparin, K</w:t>
      </w:r>
      <w:r>
        <w:rPr>
          <w:rFonts w:ascii="Arial" w:hAnsi="Arial" w:cs="Arial"/>
          <w:sz w:val="20"/>
          <w:vertAlign w:val="subscript"/>
        </w:rPr>
        <w:t>3</w:t>
      </w:r>
      <w:r>
        <w:rPr>
          <w:rFonts w:ascii="Arial" w:hAnsi="Arial" w:cs="Arial"/>
          <w:sz w:val="20"/>
        </w:rPr>
        <w:t>-EDTA, and sodium citrate plasma.  When sodium citrate is used, the results must be corrected by + 10%</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Centrifuge samples containing precipitates before performing the assy.  Do not use heat-inactivated samples.  </w:t>
      </w:r>
      <w:r w:rsidR="00EC3C2D">
        <w:rPr>
          <w:rFonts w:ascii="Arial" w:hAnsi="Arial" w:cs="Arial"/>
          <w:sz w:val="20"/>
        </w:rPr>
        <w:t xml:space="preserve">Do not use samples and controls stabilized with azide. </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lastRenderedPageBreak/>
        <w:t>Ensure the samples, calibrators, and controls are at 20-25</w:t>
      </w:r>
      <w:r>
        <w:rPr>
          <w:rFonts w:ascii="Calibri" w:hAnsi="Calibri" w:cs="Arial"/>
          <w:sz w:val="20"/>
        </w:rPr>
        <w:t>°</w:t>
      </w:r>
      <w:r>
        <w:rPr>
          <w:rFonts w:ascii="Arial" w:hAnsi="Arial" w:cs="Arial"/>
          <w:sz w:val="20"/>
        </w:rPr>
        <w:t>C prior to measurement.  Due to possible evaporation effects, samples, calibrators, and controls on the analyzers should be analyzed/measured within 2 hours.</w:t>
      </w:r>
    </w:p>
    <w:p w:rsidR="00F428E5" w:rsidRDefault="00F428E5" w:rsidP="00ED303D">
      <w:pPr>
        <w:pStyle w:val="Second-OrderHeading"/>
        <w:numPr>
          <w:ilvl w:val="0"/>
          <w:numId w:val="0"/>
        </w:numPr>
        <w:spacing w:before="240"/>
        <w:ind w:left="720"/>
        <w:rPr>
          <w:rFonts w:ascii="Arial" w:hAnsi="Arial" w:cs="Arial"/>
          <w:sz w:val="20"/>
        </w:rPr>
      </w:pPr>
      <w:r>
        <w:rPr>
          <w:rFonts w:ascii="Arial" w:hAnsi="Arial" w:cs="Arial"/>
          <w:sz w:val="20"/>
        </w:rPr>
        <w:t xml:space="preserve">Due to possible evaporation effects, samples, calibrators and controls on the analyzers should be analyzed/measured within 2 hours.  </w:t>
      </w:r>
    </w:p>
    <w:p w:rsidR="0057754F" w:rsidRDefault="00ED303D" w:rsidP="0057754F">
      <w:pPr>
        <w:pStyle w:val="Second-OrderHeading"/>
        <w:numPr>
          <w:ilvl w:val="0"/>
          <w:numId w:val="0"/>
        </w:numPr>
        <w:spacing w:before="240"/>
        <w:ind w:firstLine="720"/>
        <w:rPr>
          <w:rFonts w:ascii="Arial" w:hAnsi="Arial" w:cs="Arial"/>
          <w:sz w:val="20"/>
        </w:rPr>
      </w:pPr>
      <w:r>
        <w:rPr>
          <w:rFonts w:ascii="Arial" w:hAnsi="Arial" w:cs="Arial"/>
          <w:sz w:val="20"/>
        </w:rPr>
        <w:t xml:space="preserve">Refer to SW.CP.GL.jad.0101 for sample stability. </w:t>
      </w:r>
    </w:p>
    <w:p w:rsidR="0057754F" w:rsidRDefault="00ED303D" w:rsidP="0057754F">
      <w:pPr>
        <w:pStyle w:val="Second-OrderHeading"/>
        <w:numPr>
          <w:ilvl w:val="0"/>
          <w:numId w:val="0"/>
        </w:numPr>
        <w:spacing w:before="240"/>
        <w:ind w:firstLine="720"/>
        <w:rPr>
          <w:rFonts w:ascii="Arial" w:hAnsi="Arial" w:cs="Arial"/>
          <w:sz w:val="20"/>
        </w:rPr>
      </w:pPr>
      <w:r>
        <w:rPr>
          <w:rFonts w:ascii="Arial" w:hAnsi="Arial" w:cs="Arial"/>
          <w:sz w:val="20"/>
        </w:rPr>
        <w:t xml:space="preserve"> </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QUALITY CONTROL</w:t>
      </w:r>
    </w:p>
    <w:p w:rsidR="00ED303D" w:rsidRDefault="00ED303D" w:rsidP="00ED303D">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e411 analyzer set up form SW.CP.GL.frm.0102</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 xml:space="preserve">SPECIAL SAFETY PRECAUTIONS </w:t>
      </w:r>
    </w:p>
    <w:p w:rsidR="00ED303D" w:rsidRDefault="00ED303D" w:rsidP="00ED303D">
      <w:pPr>
        <w:pStyle w:val="NoSpacing"/>
        <w:ind w:left="720"/>
        <w:rPr>
          <w:rFonts w:ascii="Arial" w:hAnsi="Arial" w:cs="Arial"/>
          <w:sz w:val="20"/>
          <w:szCs w:val="20"/>
        </w:rPr>
      </w:pPr>
      <w:r w:rsidRPr="003B030D">
        <w:rPr>
          <w:rFonts w:ascii="Arial" w:hAnsi="Arial" w:cs="Arial"/>
          <w:sz w:val="20"/>
          <w:szCs w:val="20"/>
        </w:rPr>
        <w:t>Exercise the normal precautions required for handling all laboratory reagents and biohazardous patient samples.  Refer to Safety data sheets. Disposal of all waste material should be in accordance with local guidelines.  Refer to Safety procedure SW.CP.GL.adm.0005</w:t>
      </w:r>
    </w:p>
    <w:p w:rsidR="005B6878" w:rsidRPr="003B030D" w:rsidRDefault="005B6878" w:rsidP="00ED303D">
      <w:pPr>
        <w:pStyle w:val="NoSpacing"/>
        <w:ind w:left="720"/>
        <w:rPr>
          <w:rFonts w:ascii="Arial" w:hAnsi="Arial" w:cs="Arial"/>
          <w:sz w:val="20"/>
          <w:szCs w:val="20"/>
        </w:rPr>
      </w:pPr>
    </w:p>
    <w:p w:rsidR="00ED303D" w:rsidRPr="00E97BA6" w:rsidRDefault="00ED303D" w:rsidP="00ED303D">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 xml:space="preserve">MATERIALS </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r w:rsidRPr="001C17C2">
        <w:rPr>
          <w:rFonts w:ascii="Arial" w:hAnsi="Arial" w:cs="Arial"/>
          <w:b/>
          <w:bCs/>
          <w:color w:val="000000"/>
          <w:sz w:val="20"/>
          <w:szCs w:val="20"/>
        </w:rPr>
        <w:t xml:space="preserve"> </w:t>
      </w:r>
      <w:r w:rsidRPr="007C1D50">
        <w:rPr>
          <w:rFonts w:ascii="Arial" w:hAnsi="Arial" w:cs="Arial"/>
          <w:b/>
          <w:bCs/>
          <w:color w:val="000000"/>
          <w:sz w:val="20"/>
          <w:szCs w:val="20"/>
        </w:rPr>
        <w:t>A.</w:t>
      </w:r>
      <w:r w:rsidRPr="007C1D50">
        <w:rPr>
          <w:rFonts w:ascii="Arial" w:hAnsi="Arial" w:cs="Arial"/>
          <w:b/>
          <w:bCs/>
          <w:color w:val="000000"/>
          <w:sz w:val="20"/>
          <w:szCs w:val="20"/>
        </w:rPr>
        <w:tab/>
        <w:t xml:space="preserve">Equipment </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cobas e 411 analyzer</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ED303D" w:rsidRPr="00E97BA6"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Bio-Rad Unity Real Time QC Application</w:t>
      </w:r>
    </w:p>
    <w:p w:rsidR="00ED303D" w:rsidRDefault="00ED303D" w:rsidP="00ED303D">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t>Supplies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Roche Sample cups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Falcon tubes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 tips</w:t>
      </w:r>
    </w:p>
    <w:p w:rsidR="00ED303D" w:rsidRPr="007C1D50" w:rsidRDefault="00ED303D" w:rsidP="00ED303D">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t xml:space="preserve">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t>Reagents</w:t>
      </w:r>
    </w:p>
    <w:p w:rsidR="00ED303D" w:rsidRDefault="00ED303D" w:rsidP="00ED303D">
      <w:pPr>
        <w:autoSpaceDE w:val="0"/>
        <w:autoSpaceDN w:val="0"/>
        <w:adjustRightInd w:val="0"/>
        <w:spacing w:after="240"/>
        <w:ind w:left="720" w:firstLine="720"/>
        <w:jc w:val="both"/>
        <w:rPr>
          <w:rFonts w:ascii="Arial" w:hAnsi="Arial" w:cs="Arial"/>
          <w:bCs/>
          <w:color w:val="000000"/>
          <w:sz w:val="20"/>
          <w:szCs w:val="20"/>
        </w:rPr>
      </w:pPr>
      <w:r>
        <w:rPr>
          <w:rFonts w:ascii="Arial" w:hAnsi="Arial" w:cs="Arial"/>
          <w:bCs/>
          <w:color w:val="000000"/>
          <w:sz w:val="20"/>
          <w:szCs w:val="20"/>
        </w:rPr>
        <w:t xml:space="preserve">Elecsys </w:t>
      </w:r>
      <w:r w:rsidR="00EC3C2D">
        <w:rPr>
          <w:rFonts w:ascii="Arial" w:hAnsi="Arial" w:cs="Arial"/>
          <w:bCs/>
          <w:color w:val="000000"/>
          <w:sz w:val="20"/>
          <w:szCs w:val="20"/>
        </w:rPr>
        <w:t>Ferritin</w:t>
      </w:r>
      <w:r>
        <w:rPr>
          <w:rFonts w:ascii="Arial" w:hAnsi="Arial" w:cs="Arial"/>
          <w:bCs/>
          <w:color w:val="000000"/>
          <w:sz w:val="20"/>
          <w:szCs w:val="20"/>
        </w:rPr>
        <w:t xml:space="preserve"> </w:t>
      </w:r>
      <w:r w:rsidR="00BB54F3">
        <w:rPr>
          <w:rFonts w:ascii="Arial" w:hAnsi="Arial" w:cs="Arial"/>
          <w:bCs/>
          <w:color w:val="000000"/>
          <w:sz w:val="20"/>
          <w:szCs w:val="20"/>
        </w:rPr>
        <w:t>- (</w:t>
      </w:r>
      <w:r>
        <w:rPr>
          <w:rFonts w:ascii="Arial" w:hAnsi="Arial" w:cs="Arial"/>
          <w:bCs/>
          <w:color w:val="000000"/>
          <w:sz w:val="20"/>
          <w:szCs w:val="20"/>
        </w:rPr>
        <w:t xml:space="preserve">Ref # </w:t>
      </w:r>
      <w:r w:rsidR="00EC3C2D">
        <w:rPr>
          <w:rFonts w:ascii="Arial" w:hAnsi="Arial" w:cs="Arial"/>
          <w:bCs/>
          <w:color w:val="000000"/>
          <w:sz w:val="20"/>
          <w:szCs w:val="20"/>
        </w:rPr>
        <w:t>03737551 160</w:t>
      </w:r>
      <w:r>
        <w:rPr>
          <w:rFonts w:ascii="Arial" w:hAnsi="Arial" w:cs="Arial"/>
          <w:bCs/>
          <w:color w:val="000000"/>
          <w:sz w:val="20"/>
          <w:szCs w:val="20"/>
        </w:rPr>
        <w:t>) – ready for use</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Components:</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 pack </w:t>
      </w:r>
      <w:r w:rsidR="00471E1A">
        <w:rPr>
          <w:rFonts w:ascii="Arial" w:hAnsi="Arial" w:cs="Arial"/>
          <w:bCs/>
          <w:color w:val="000000"/>
          <w:sz w:val="20"/>
          <w:szCs w:val="20"/>
        </w:rPr>
        <w:t>is labeled as FERR</w:t>
      </w:r>
      <w:r>
        <w:rPr>
          <w:rFonts w:ascii="Arial" w:hAnsi="Arial" w:cs="Arial"/>
          <w:bCs/>
          <w:color w:val="000000"/>
          <w:sz w:val="20"/>
          <w:szCs w:val="20"/>
        </w:rPr>
        <w:t>.</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M – Streptavidin-coated microparticles </w:t>
      </w:r>
      <w:r w:rsidR="0057754F">
        <w:rPr>
          <w:rFonts w:ascii="Arial" w:hAnsi="Arial" w:cs="Arial"/>
          <w:bCs/>
          <w:color w:val="000000"/>
          <w:sz w:val="20"/>
          <w:szCs w:val="20"/>
        </w:rPr>
        <w:t>(transparent cap), 1 bottle, 6.5</w:t>
      </w:r>
      <w:r>
        <w:rPr>
          <w:rFonts w:ascii="Arial" w:hAnsi="Arial" w:cs="Arial"/>
          <w:bCs/>
          <w:color w:val="000000"/>
          <w:sz w:val="20"/>
          <w:szCs w:val="20"/>
        </w:rPr>
        <w:t xml:space="preserve"> mL: Streptavidin-coated microparticles 0.72 mg/mL; preservative.</w:t>
      </w:r>
    </w:p>
    <w:p w:rsidR="00471E1A" w:rsidRDefault="00471E1A"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R1 – Anti-Ferritin-Ab~biotin (gray cap), 1 bottle, 10 mL: Biotinylated monoclonal anti-ferritin antibody (mouse) 3.0 mg/L; phosphate buffer 100 mmol/L, pH 7.2; preservative.</w:t>
      </w:r>
    </w:p>
    <w:p w:rsidR="00ED303D" w:rsidRPr="001206FF" w:rsidRDefault="00471E1A" w:rsidP="00471E1A">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lastRenderedPageBreak/>
        <w:t>R2</w:t>
      </w:r>
      <w:r w:rsidR="00ED303D">
        <w:rPr>
          <w:rFonts w:ascii="Arial" w:hAnsi="Arial" w:cs="Arial"/>
          <w:bCs/>
          <w:color w:val="000000"/>
          <w:sz w:val="20"/>
          <w:szCs w:val="20"/>
        </w:rPr>
        <w:t xml:space="preserve"> – </w:t>
      </w:r>
      <w:r>
        <w:rPr>
          <w:rFonts w:ascii="Arial" w:hAnsi="Arial" w:cs="Arial"/>
          <w:bCs/>
          <w:color w:val="000000"/>
          <w:sz w:val="20"/>
          <w:szCs w:val="20"/>
        </w:rPr>
        <w:t>Anti-Ferritin-AB</w:t>
      </w:r>
      <w:r w:rsidR="00ED303D">
        <w:rPr>
          <w:rFonts w:ascii="Arial" w:hAnsi="Arial" w:cs="Arial"/>
          <w:bCs/>
          <w:color w:val="000000"/>
          <w:sz w:val="20"/>
          <w:szCs w:val="20"/>
        </w:rPr>
        <w:t>~Ru(bpy)</w:t>
      </w:r>
      <w:r w:rsidR="00ED303D">
        <w:rPr>
          <w:rFonts w:ascii="Arial" w:hAnsi="Arial" w:cs="Arial"/>
          <w:bCs/>
          <w:color w:val="000000"/>
          <w:sz w:val="20"/>
          <w:szCs w:val="20"/>
          <w:vertAlign w:val="subscript"/>
        </w:rPr>
        <w:t>3</w:t>
      </w:r>
      <w:r w:rsidR="00ED303D">
        <w:rPr>
          <w:rFonts w:ascii="Arial" w:hAnsi="Arial" w:cs="Arial"/>
          <w:bCs/>
          <w:color w:val="000000"/>
          <w:sz w:val="20"/>
          <w:szCs w:val="20"/>
          <w:vertAlign w:val="superscript"/>
        </w:rPr>
        <w:t>2+</w:t>
      </w:r>
      <w:r w:rsidR="0057754F">
        <w:rPr>
          <w:rFonts w:ascii="Arial" w:hAnsi="Arial" w:cs="Arial"/>
          <w:bCs/>
          <w:color w:val="000000"/>
          <w:sz w:val="20"/>
          <w:szCs w:val="20"/>
        </w:rPr>
        <w:t xml:space="preserve"> (</w:t>
      </w:r>
      <w:r>
        <w:rPr>
          <w:rFonts w:ascii="Arial" w:hAnsi="Arial" w:cs="Arial"/>
          <w:bCs/>
          <w:color w:val="000000"/>
          <w:sz w:val="20"/>
          <w:szCs w:val="20"/>
        </w:rPr>
        <w:t>black</w:t>
      </w:r>
      <w:r w:rsidR="0057754F">
        <w:rPr>
          <w:rFonts w:ascii="Arial" w:hAnsi="Arial" w:cs="Arial"/>
          <w:bCs/>
          <w:color w:val="000000"/>
          <w:sz w:val="20"/>
          <w:szCs w:val="20"/>
        </w:rPr>
        <w:t xml:space="preserve"> cap), 1 bottle, </w:t>
      </w:r>
      <w:r>
        <w:rPr>
          <w:rFonts w:ascii="Arial" w:hAnsi="Arial" w:cs="Arial"/>
          <w:bCs/>
          <w:color w:val="000000"/>
          <w:sz w:val="20"/>
          <w:szCs w:val="20"/>
        </w:rPr>
        <w:t>10</w:t>
      </w:r>
      <w:r w:rsidR="00ED303D">
        <w:rPr>
          <w:rFonts w:ascii="Arial" w:hAnsi="Arial" w:cs="Arial"/>
          <w:bCs/>
          <w:color w:val="000000"/>
          <w:sz w:val="20"/>
          <w:szCs w:val="20"/>
        </w:rPr>
        <w:t xml:space="preserve"> mL: </w:t>
      </w:r>
      <w:r>
        <w:rPr>
          <w:rFonts w:ascii="Arial" w:hAnsi="Arial" w:cs="Arial"/>
          <w:bCs/>
          <w:color w:val="000000"/>
          <w:sz w:val="20"/>
          <w:szCs w:val="20"/>
        </w:rPr>
        <w:t>Monoclonal anti-ferritin antibody (mouse) labeled with ruthenium complex 6.0 mg/L; phosphate buffer 100 mmol/L, pH 7.2;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reagents in the kit have been assembled into a ready-for-use unit that cannot be separated.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Store the Elecsys reagent kit upright in order to ensure complete availability of the microparticles during automatic mixing prior to use.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Shelf 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 xml:space="preserve">see expiration date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After opening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r>
      <w:r w:rsidR="00471E1A">
        <w:rPr>
          <w:rFonts w:ascii="Arial" w:hAnsi="Arial" w:cs="Arial"/>
          <w:bCs/>
          <w:color w:val="000000"/>
          <w:sz w:val="20"/>
          <w:szCs w:val="20"/>
        </w:rPr>
        <w:t xml:space="preserve">12 </w:t>
      </w:r>
      <w:r>
        <w:rPr>
          <w:rFonts w:ascii="Arial" w:hAnsi="Arial" w:cs="Arial"/>
          <w:bCs/>
          <w:color w:val="000000"/>
          <w:sz w:val="20"/>
          <w:szCs w:val="20"/>
        </w:rPr>
        <w:t>weeks</w:t>
      </w:r>
    </w:p>
    <w:p w:rsidR="00ED303D" w:rsidRDefault="00ED303D" w:rsidP="00ED303D">
      <w:pPr>
        <w:autoSpaceDE w:val="0"/>
        <w:autoSpaceDN w:val="0"/>
        <w:adjustRightInd w:val="0"/>
        <w:spacing w:after="240"/>
        <w:ind w:left="4320" w:hanging="2820"/>
        <w:jc w:val="both"/>
        <w:rPr>
          <w:rFonts w:ascii="Arial" w:hAnsi="Arial" w:cs="Arial"/>
          <w:bCs/>
          <w:color w:val="000000"/>
          <w:sz w:val="20"/>
          <w:szCs w:val="20"/>
        </w:rPr>
      </w:pPr>
      <w:r>
        <w:rPr>
          <w:rFonts w:ascii="Arial" w:hAnsi="Arial" w:cs="Arial"/>
          <w:bCs/>
          <w:color w:val="000000"/>
          <w:sz w:val="20"/>
          <w:szCs w:val="20"/>
        </w:rPr>
        <w:t>On-board</w:t>
      </w:r>
      <w:r w:rsidR="00CC7D43">
        <w:rPr>
          <w:rFonts w:ascii="Arial" w:hAnsi="Arial" w:cs="Arial"/>
          <w:bCs/>
          <w:color w:val="000000"/>
          <w:sz w:val="20"/>
          <w:szCs w:val="20"/>
        </w:rPr>
        <w:tab/>
      </w:r>
      <w:r w:rsidR="00471E1A">
        <w:rPr>
          <w:rFonts w:ascii="Arial" w:hAnsi="Arial" w:cs="Arial"/>
          <w:bCs/>
          <w:color w:val="000000"/>
          <w:sz w:val="20"/>
          <w:szCs w:val="20"/>
        </w:rPr>
        <w:t>6</w:t>
      </w:r>
      <w:r w:rsidR="00656857">
        <w:rPr>
          <w:rFonts w:ascii="Arial" w:hAnsi="Arial" w:cs="Arial"/>
          <w:bCs/>
          <w:color w:val="000000"/>
          <w:sz w:val="20"/>
          <w:szCs w:val="20"/>
        </w:rPr>
        <w:t xml:space="preserve"> weeks onboard </w:t>
      </w:r>
    </w:p>
    <w:p w:rsidR="00ED303D" w:rsidRPr="0039284A" w:rsidRDefault="00ED303D" w:rsidP="00ED303D">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Pr="0039284A">
        <w:rPr>
          <w:rFonts w:ascii="Arial" w:hAnsi="Arial" w:cs="Arial"/>
          <w:bCs/>
          <w:color w:val="000000"/>
          <w:sz w:val="20"/>
          <w:szCs w:val="20"/>
        </w:rPr>
        <w:t>Calibrator</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Calibrator</w:t>
      </w:r>
      <w:r w:rsidRPr="0039284A">
        <w:rPr>
          <w:rFonts w:ascii="Arial" w:hAnsi="Arial" w:cs="Arial"/>
          <w:sz w:val="20"/>
          <w:szCs w:val="20"/>
        </w:rPr>
        <w:tab/>
      </w:r>
      <w:r w:rsidRPr="0039284A">
        <w:rPr>
          <w:rFonts w:ascii="Arial" w:hAnsi="Arial" w:cs="Arial"/>
          <w:sz w:val="20"/>
          <w:szCs w:val="20"/>
        </w:rPr>
        <w:tab/>
      </w:r>
      <w:r w:rsidR="00471E1A">
        <w:rPr>
          <w:rFonts w:ascii="Arial" w:hAnsi="Arial" w:cs="Arial"/>
          <w:sz w:val="20"/>
          <w:szCs w:val="20"/>
        </w:rPr>
        <w:t>Ferritin</w:t>
      </w:r>
      <w:r>
        <w:rPr>
          <w:rFonts w:ascii="Arial" w:hAnsi="Arial" w:cs="Arial"/>
          <w:sz w:val="20"/>
          <w:szCs w:val="20"/>
        </w:rPr>
        <w:t xml:space="preserve"> CalSet</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ab/>
      </w:r>
      <w:r w:rsidRPr="0039284A">
        <w:rPr>
          <w:rFonts w:ascii="Arial" w:hAnsi="Arial" w:cs="Arial"/>
          <w:sz w:val="20"/>
          <w:szCs w:val="20"/>
        </w:rPr>
        <w:tab/>
      </w:r>
      <w:r w:rsidRPr="0039284A">
        <w:rPr>
          <w:rFonts w:ascii="Arial" w:hAnsi="Arial" w:cs="Arial"/>
          <w:sz w:val="20"/>
          <w:szCs w:val="20"/>
        </w:rPr>
        <w:tab/>
      </w:r>
    </w:p>
    <w:p w:rsidR="00ED303D" w:rsidRDefault="00ED303D" w:rsidP="00ED303D">
      <w:pPr>
        <w:pStyle w:val="NcclsPara"/>
        <w:ind w:left="1440"/>
        <w:rPr>
          <w:rFonts w:ascii="Arial" w:hAnsi="Arial" w:cs="Arial"/>
          <w:sz w:val="20"/>
          <w:szCs w:val="20"/>
        </w:rPr>
      </w:pPr>
      <w:r w:rsidRPr="0039284A">
        <w:rPr>
          <w:rFonts w:ascii="Arial" w:hAnsi="Arial" w:cs="Arial"/>
          <w:sz w:val="20"/>
          <w:szCs w:val="20"/>
        </w:rPr>
        <w:t xml:space="preserve">Traceability: This method has been standardized </w:t>
      </w:r>
      <w:r>
        <w:rPr>
          <w:rFonts w:ascii="Arial" w:hAnsi="Arial" w:cs="Arial"/>
          <w:sz w:val="20"/>
          <w:szCs w:val="20"/>
        </w:rPr>
        <w:t xml:space="preserve">against </w:t>
      </w:r>
      <w:r w:rsidR="000522F2">
        <w:rPr>
          <w:rFonts w:ascii="Arial" w:hAnsi="Arial" w:cs="Arial"/>
          <w:sz w:val="20"/>
          <w:szCs w:val="20"/>
        </w:rPr>
        <w:t xml:space="preserve">the </w:t>
      </w:r>
      <w:r w:rsidR="00471E1A">
        <w:rPr>
          <w:rFonts w:ascii="Arial" w:hAnsi="Arial" w:cs="Arial"/>
          <w:sz w:val="20"/>
          <w:szCs w:val="20"/>
        </w:rPr>
        <w:t xml:space="preserve">Ferritin assay (REF 11820982).  The Ferritin assay (REF 11820982) has been standardized </w:t>
      </w:r>
      <w:r w:rsidR="00C21C35">
        <w:rPr>
          <w:rFonts w:ascii="Arial" w:hAnsi="Arial" w:cs="Arial"/>
          <w:sz w:val="20"/>
          <w:szCs w:val="20"/>
        </w:rPr>
        <w:t>against</w:t>
      </w:r>
      <w:r w:rsidR="00471E1A">
        <w:rPr>
          <w:rFonts w:ascii="Arial" w:hAnsi="Arial" w:cs="Arial"/>
          <w:sz w:val="20"/>
          <w:szCs w:val="20"/>
        </w:rPr>
        <w:t xml:space="preserve"> the Enzymun-Test Ferritin method.  This in turn has been standardized </w:t>
      </w:r>
      <w:r w:rsidR="00C21C35">
        <w:rPr>
          <w:rFonts w:ascii="Arial" w:hAnsi="Arial" w:cs="Arial"/>
          <w:sz w:val="20"/>
          <w:szCs w:val="20"/>
        </w:rPr>
        <w:t>against</w:t>
      </w:r>
      <w:r w:rsidR="00471E1A">
        <w:rPr>
          <w:rFonts w:ascii="Arial" w:hAnsi="Arial" w:cs="Arial"/>
          <w:sz w:val="20"/>
          <w:szCs w:val="20"/>
        </w:rPr>
        <w:t xml:space="preserve"> the 1</w:t>
      </w:r>
      <w:r w:rsidR="00471E1A">
        <w:rPr>
          <w:rFonts w:ascii="Arial" w:hAnsi="Arial" w:cs="Arial"/>
          <w:sz w:val="20"/>
          <w:szCs w:val="20"/>
          <w:vertAlign w:val="superscript"/>
        </w:rPr>
        <w:t>st</w:t>
      </w:r>
      <w:r w:rsidR="00471E1A">
        <w:rPr>
          <w:rFonts w:ascii="Arial" w:hAnsi="Arial" w:cs="Arial"/>
          <w:sz w:val="20"/>
          <w:szCs w:val="20"/>
        </w:rPr>
        <w:t xml:space="preserve"> International Standard (IS) NIBSC (National Institute for Biological Standards and Control) “Reagent for Ferritin (human liver)” 80/602</w:t>
      </w:r>
    </w:p>
    <w:p w:rsidR="00471E1A" w:rsidRDefault="00471E1A" w:rsidP="00ED303D">
      <w:pPr>
        <w:pStyle w:val="NcclsPara"/>
        <w:ind w:left="1440"/>
        <w:rPr>
          <w:rFonts w:ascii="Arial" w:hAnsi="Arial" w:cs="Arial"/>
          <w:sz w:val="20"/>
          <w:szCs w:val="20"/>
        </w:rPr>
      </w:pPr>
      <w:r>
        <w:rPr>
          <w:rFonts w:ascii="Arial" w:hAnsi="Arial" w:cs="Arial"/>
          <w:sz w:val="20"/>
          <w:szCs w:val="20"/>
        </w:rPr>
        <w:t>Recovery studies, including a published study</w:t>
      </w:r>
      <w:r>
        <w:rPr>
          <w:rFonts w:ascii="Arial" w:hAnsi="Arial" w:cs="Arial"/>
          <w:sz w:val="20"/>
          <w:szCs w:val="20"/>
          <w:vertAlign w:val="superscript"/>
        </w:rPr>
        <w:t>9</w:t>
      </w:r>
      <w:r>
        <w:rPr>
          <w:rFonts w:ascii="Arial" w:hAnsi="Arial" w:cs="Arial"/>
          <w:sz w:val="20"/>
          <w:szCs w:val="20"/>
        </w:rPr>
        <w:t>, to assess traceability of the Elecsys Ferritin assay to more recent international standards (2</w:t>
      </w:r>
      <w:r w:rsidRPr="00471E1A">
        <w:rPr>
          <w:rFonts w:ascii="Arial" w:hAnsi="Arial" w:cs="Arial"/>
          <w:sz w:val="20"/>
          <w:szCs w:val="20"/>
          <w:vertAlign w:val="superscript"/>
        </w:rPr>
        <w:t>nd</w:t>
      </w:r>
      <w:r>
        <w:rPr>
          <w:rFonts w:ascii="Arial" w:hAnsi="Arial" w:cs="Arial"/>
          <w:sz w:val="20"/>
          <w:szCs w:val="20"/>
        </w:rPr>
        <w:t xml:space="preserve"> IS 80/578 and 3</w:t>
      </w:r>
      <w:r w:rsidRPr="00471E1A">
        <w:rPr>
          <w:rFonts w:ascii="Arial" w:hAnsi="Arial" w:cs="Arial"/>
          <w:sz w:val="20"/>
          <w:szCs w:val="20"/>
          <w:vertAlign w:val="superscript"/>
        </w:rPr>
        <w:t>rd</w:t>
      </w:r>
      <w:r>
        <w:rPr>
          <w:rFonts w:ascii="Arial" w:hAnsi="Arial" w:cs="Arial"/>
          <w:sz w:val="20"/>
          <w:szCs w:val="20"/>
        </w:rPr>
        <w:t xml:space="preserve"> IS 94/572) have been conducted, with results showing very good agreement.</w:t>
      </w:r>
    </w:p>
    <w:p w:rsidR="00471E1A" w:rsidRPr="00471E1A" w:rsidRDefault="00471E1A" w:rsidP="00ED303D">
      <w:pPr>
        <w:pStyle w:val="NcclsPara"/>
        <w:ind w:left="1440"/>
        <w:rPr>
          <w:rFonts w:ascii="Arial" w:hAnsi="Arial" w:cs="Arial"/>
          <w:sz w:val="20"/>
          <w:szCs w:val="20"/>
        </w:rPr>
      </w:pPr>
    </w:p>
    <w:p w:rsidR="00ED303D" w:rsidRDefault="00ED303D" w:rsidP="00ED303D">
      <w:pPr>
        <w:pStyle w:val="NcclsPara"/>
        <w:ind w:left="1440"/>
        <w:rPr>
          <w:rFonts w:ascii="Arial" w:hAnsi="Arial" w:cs="Arial"/>
          <w:sz w:val="20"/>
          <w:szCs w:val="20"/>
        </w:rPr>
      </w:pPr>
      <w:r>
        <w:rPr>
          <w:rFonts w:ascii="Arial" w:hAnsi="Arial" w:cs="Arial"/>
          <w:sz w:val="20"/>
          <w:szCs w:val="20"/>
        </w:rPr>
        <w:t>Every Elecsys reagent set has a barcoded label containing specific information for calibration of the particular reagent lot.  The predefined master curve is adapted to the analyzer using the relevant CalSet.</w:t>
      </w:r>
    </w:p>
    <w:p w:rsidR="00ED303D" w:rsidRDefault="00ED303D" w:rsidP="00ED303D">
      <w:pPr>
        <w:pStyle w:val="NcclsPara"/>
        <w:ind w:left="1440"/>
        <w:rPr>
          <w:rFonts w:ascii="Arial" w:hAnsi="Arial" w:cs="Arial"/>
          <w:sz w:val="20"/>
          <w:szCs w:val="20"/>
        </w:rPr>
      </w:pPr>
    </w:p>
    <w:p w:rsidR="00ED303D" w:rsidRPr="008654AC" w:rsidRDefault="00ED303D" w:rsidP="00ED303D">
      <w:pPr>
        <w:pStyle w:val="NoSpacing"/>
        <w:ind w:left="1440"/>
        <w:rPr>
          <w:rFonts w:ascii="Arial" w:hAnsi="Arial" w:cs="Arial"/>
          <w:sz w:val="20"/>
          <w:szCs w:val="20"/>
        </w:rPr>
      </w:pPr>
      <w:r w:rsidRPr="008654AC">
        <w:rPr>
          <w:rFonts w:ascii="Arial" w:hAnsi="Arial" w:cs="Arial"/>
          <w:i/>
          <w:sz w:val="20"/>
          <w:szCs w:val="20"/>
        </w:rPr>
        <w:t>Calibration frequency</w:t>
      </w:r>
      <w:r w:rsidRPr="008654AC">
        <w:rPr>
          <w:rFonts w:ascii="Arial" w:hAnsi="Arial" w:cs="Arial"/>
          <w:sz w:val="20"/>
          <w:szCs w:val="20"/>
        </w:rPr>
        <w:t>: Calibration must be performed once per reagent lot using fresh reagent (i.e. not more than 24 hours since the reagent kit was registered on the analyzer). Renewed calibration is recommended as follows:</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 xml:space="preserve">after </w:t>
      </w:r>
      <w:r w:rsidR="00471E1A">
        <w:rPr>
          <w:rFonts w:ascii="Arial" w:hAnsi="Arial" w:cs="Arial"/>
          <w:sz w:val="20"/>
          <w:szCs w:val="20"/>
        </w:rPr>
        <w:t>2</w:t>
      </w:r>
      <w:r w:rsidR="000522F2">
        <w:rPr>
          <w:rFonts w:ascii="Arial" w:hAnsi="Arial" w:cs="Arial"/>
          <w:sz w:val="20"/>
          <w:szCs w:val="20"/>
        </w:rPr>
        <w:t xml:space="preserve"> month</w:t>
      </w:r>
      <w:r w:rsidR="00471E1A">
        <w:rPr>
          <w:rFonts w:ascii="Arial" w:hAnsi="Arial" w:cs="Arial"/>
          <w:sz w:val="20"/>
          <w:szCs w:val="20"/>
        </w:rPr>
        <w:t>s (8 weeks</w:t>
      </w:r>
      <w:r w:rsidR="000522F2">
        <w:rPr>
          <w:rFonts w:ascii="Arial" w:hAnsi="Arial" w:cs="Arial"/>
          <w:sz w:val="20"/>
          <w:szCs w:val="20"/>
        </w:rPr>
        <w:t>)</w:t>
      </w:r>
      <w:r w:rsidRPr="008654AC">
        <w:rPr>
          <w:rFonts w:ascii="Arial" w:hAnsi="Arial" w:cs="Arial"/>
          <w:sz w:val="20"/>
          <w:szCs w:val="20"/>
        </w:rPr>
        <w:t xml:space="preserve"> when using the same reagent lot</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after 7 days (when using the same reagent kit on the analyzer)</w:t>
      </w:r>
    </w:p>
    <w:p w:rsidR="00ED303D"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as required: e.g. quality control findings outside the defined limits</w:t>
      </w:r>
    </w:p>
    <w:p w:rsidR="004A0E0E" w:rsidRDefault="004A0E0E" w:rsidP="00ED303D">
      <w:pPr>
        <w:pStyle w:val="NoSpacing"/>
        <w:ind w:left="1440"/>
        <w:rPr>
          <w:rFonts w:ascii="Arial" w:hAnsi="Arial" w:cs="Arial"/>
          <w:sz w:val="20"/>
          <w:szCs w:val="20"/>
        </w:rPr>
      </w:pPr>
    </w:p>
    <w:p w:rsidR="004A0E0E" w:rsidRPr="008654AC" w:rsidRDefault="004A0E0E" w:rsidP="00ED303D">
      <w:pPr>
        <w:pStyle w:val="NoSpacing"/>
        <w:ind w:left="1440"/>
        <w:rPr>
          <w:rFonts w:ascii="Arial" w:hAnsi="Arial" w:cs="Arial"/>
          <w:sz w:val="20"/>
          <w:szCs w:val="20"/>
        </w:rPr>
      </w:pPr>
    </w:p>
    <w:p w:rsidR="00ED303D" w:rsidRPr="00E97BA6" w:rsidRDefault="00ED303D" w:rsidP="00ED303D">
      <w:pPr>
        <w:numPr>
          <w:ilvl w:val="0"/>
          <w:numId w:val="22"/>
        </w:num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ED303D" w:rsidRPr="000522F2" w:rsidRDefault="00ED303D" w:rsidP="00ED303D">
      <w:pPr>
        <w:ind w:firstLine="720"/>
        <w:rPr>
          <w:rFonts w:ascii="Arial" w:hAnsi="Arial" w:cs="Arial"/>
          <w:sz w:val="20"/>
          <w:szCs w:val="20"/>
        </w:rPr>
      </w:pPr>
      <w:r w:rsidRPr="000522F2">
        <w:rPr>
          <w:rFonts w:ascii="Arial" w:hAnsi="Arial" w:cs="Arial"/>
          <w:sz w:val="20"/>
          <w:szCs w:val="20"/>
        </w:rPr>
        <w:t>Refer to general cobas e411 analyzer operating procedure SW.CP.GL.lab.0102</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Samples should not be taken from patients receiving therapy with high biotin doses</w:t>
      </w:r>
      <w:r w:rsidR="00BB54F3">
        <w:rPr>
          <w:rFonts w:ascii="Arial" w:hAnsi="Arial" w:cs="Arial"/>
          <w:bCs/>
          <w:color w:val="000000"/>
          <w:sz w:val="20"/>
          <w:szCs w:val="20"/>
        </w:rPr>
        <w:t xml:space="preserve"> (i</w:t>
      </w:r>
      <w:r>
        <w:rPr>
          <w:rFonts w:ascii="Arial" w:hAnsi="Arial" w:cs="Arial"/>
          <w:bCs/>
          <w:color w:val="000000"/>
          <w:sz w:val="20"/>
          <w:szCs w:val="20"/>
        </w:rPr>
        <w:t xml:space="preserve">.e. &gt;5 mg/day) until at least 8 hours following the last biotin administration.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No interference was observed from rheumatoid fa</w:t>
      </w:r>
      <w:r w:rsidR="00471E1A">
        <w:rPr>
          <w:rFonts w:ascii="Arial" w:hAnsi="Arial" w:cs="Arial"/>
          <w:bCs/>
          <w:color w:val="000000"/>
          <w:sz w:val="20"/>
          <w:szCs w:val="20"/>
        </w:rPr>
        <w:t>ctors up to a concentration of 25</w:t>
      </w:r>
      <w:r>
        <w:rPr>
          <w:rFonts w:ascii="Arial" w:hAnsi="Arial" w:cs="Arial"/>
          <w:bCs/>
          <w:color w:val="000000"/>
          <w:sz w:val="20"/>
          <w:szCs w:val="20"/>
        </w:rPr>
        <w:t>00 IU/mL</w:t>
      </w:r>
      <w:r w:rsidR="00471E1A">
        <w:rPr>
          <w:rFonts w:ascii="Arial" w:hAnsi="Arial" w:cs="Arial"/>
          <w:bCs/>
          <w:color w:val="000000"/>
          <w:sz w:val="20"/>
          <w:szCs w:val="20"/>
        </w:rPr>
        <w:t>.</w:t>
      </w:r>
    </w:p>
    <w:p w:rsidR="00471E1A" w:rsidRDefault="00471E1A"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lastRenderedPageBreak/>
        <w:t>There is no high-dose hook effect at ferritin concentrations of up to 100000 ug/L (ng/mL).</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In</w:t>
      </w:r>
      <w:r w:rsidR="00CC7D43">
        <w:rPr>
          <w:rFonts w:ascii="Arial" w:hAnsi="Arial" w:cs="Arial"/>
          <w:bCs/>
          <w:color w:val="000000"/>
          <w:sz w:val="20"/>
          <w:szCs w:val="20"/>
        </w:rPr>
        <w:t xml:space="preserve"> vitro tests were performed on </w:t>
      </w:r>
      <w:r w:rsidR="00656857">
        <w:rPr>
          <w:rFonts w:ascii="Arial" w:hAnsi="Arial" w:cs="Arial"/>
          <w:bCs/>
          <w:color w:val="000000"/>
          <w:sz w:val="20"/>
          <w:szCs w:val="20"/>
        </w:rPr>
        <w:t>1</w:t>
      </w:r>
      <w:r w:rsidR="00471E1A">
        <w:rPr>
          <w:rFonts w:ascii="Arial" w:hAnsi="Arial" w:cs="Arial"/>
          <w:bCs/>
          <w:color w:val="000000"/>
          <w:sz w:val="20"/>
          <w:szCs w:val="20"/>
        </w:rPr>
        <w:t>9</w:t>
      </w:r>
      <w:r>
        <w:rPr>
          <w:rFonts w:ascii="Arial" w:hAnsi="Arial" w:cs="Arial"/>
          <w:bCs/>
          <w:color w:val="000000"/>
          <w:sz w:val="20"/>
          <w:szCs w:val="20"/>
        </w:rPr>
        <w:t xml:space="preserve"> commonly used pharmaceuticals</w:t>
      </w:r>
      <w:r w:rsidR="00656857">
        <w:rPr>
          <w:rFonts w:ascii="Arial" w:hAnsi="Arial" w:cs="Arial"/>
          <w:bCs/>
          <w:color w:val="000000"/>
          <w:sz w:val="20"/>
          <w:szCs w:val="20"/>
        </w:rPr>
        <w:t xml:space="preserve"> and in addition on human erythropoietin</w:t>
      </w:r>
      <w:r>
        <w:rPr>
          <w:rFonts w:ascii="Arial" w:hAnsi="Arial" w:cs="Arial"/>
          <w:bCs/>
          <w:color w:val="000000"/>
          <w:sz w:val="20"/>
          <w:szCs w:val="20"/>
        </w:rPr>
        <w:t xml:space="preserve">.  No interference with the assay was found.  </w:t>
      </w:r>
    </w:p>
    <w:p w:rsidR="00C21C35" w:rsidRPr="00C21C35" w:rsidRDefault="00C21C35"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Iron</w:t>
      </w:r>
      <w:r>
        <w:rPr>
          <w:rFonts w:ascii="Arial" w:hAnsi="Arial" w:cs="Arial"/>
          <w:bCs/>
          <w:color w:val="000000"/>
          <w:sz w:val="20"/>
          <w:szCs w:val="20"/>
          <w:vertAlign w:val="superscript"/>
        </w:rPr>
        <w:t>2+</w:t>
      </w:r>
      <w:r>
        <w:rPr>
          <w:rFonts w:ascii="Arial" w:hAnsi="Arial" w:cs="Arial"/>
          <w:bCs/>
          <w:color w:val="000000"/>
          <w:sz w:val="20"/>
          <w:szCs w:val="20"/>
        </w:rPr>
        <w:t xml:space="preserve"> and iron</w:t>
      </w:r>
      <w:r>
        <w:rPr>
          <w:rFonts w:ascii="Arial" w:hAnsi="Arial" w:cs="Arial"/>
          <w:bCs/>
          <w:color w:val="000000"/>
          <w:sz w:val="20"/>
          <w:szCs w:val="20"/>
          <w:vertAlign w:val="superscript"/>
        </w:rPr>
        <w:t>3+</w:t>
      </w:r>
      <w:r>
        <w:rPr>
          <w:rFonts w:ascii="Arial" w:hAnsi="Arial" w:cs="Arial"/>
          <w:bCs/>
          <w:color w:val="000000"/>
          <w:sz w:val="20"/>
          <w:szCs w:val="20"/>
        </w:rPr>
        <w:t>-ions at therapeutic concentrations do not interfere with the Elecsys Ferritin assay.</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In rare cases, interference due to extremely high titers of antibodies to analyte-specific antibodies, streptavidin or ruthenium can occur.  These effects are minimized by suitable test design.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For diagnostic purposes, the results should always be assessed in conjunction </w:t>
      </w:r>
      <w:r w:rsidR="00A858A5">
        <w:rPr>
          <w:rFonts w:ascii="Arial" w:hAnsi="Arial" w:cs="Arial"/>
          <w:bCs/>
          <w:color w:val="000000"/>
          <w:sz w:val="20"/>
          <w:szCs w:val="20"/>
        </w:rPr>
        <w:t xml:space="preserve">RBC folate, </w:t>
      </w:r>
      <w:r>
        <w:rPr>
          <w:rFonts w:ascii="Arial" w:hAnsi="Arial" w:cs="Arial"/>
          <w:bCs/>
          <w:color w:val="000000"/>
          <w:sz w:val="20"/>
          <w:szCs w:val="20"/>
        </w:rPr>
        <w:t>the patient’s medical history, clinical examination</w:t>
      </w:r>
      <w:r w:rsidR="00A858A5">
        <w:rPr>
          <w:rFonts w:ascii="Arial" w:hAnsi="Arial" w:cs="Arial"/>
          <w:bCs/>
          <w:color w:val="000000"/>
          <w:sz w:val="20"/>
          <w:szCs w:val="20"/>
        </w:rPr>
        <w:t>,</w:t>
      </w:r>
      <w:r>
        <w:rPr>
          <w:rFonts w:ascii="Arial" w:hAnsi="Arial" w:cs="Arial"/>
          <w:bCs/>
          <w:color w:val="000000"/>
          <w:sz w:val="20"/>
          <w:szCs w:val="20"/>
        </w:rPr>
        <w:t xml:space="preserve"> and other findings.  </w:t>
      </w: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w:t>
      </w:r>
      <w:r w:rsidRPr="007C1D50">
        <w:rPr>
          <w:rFonts w:ascii="Arial" w:hAnsi="Arial" w:cs="Arial"/>
          <w:b/>
          <w:bCs/>
          <w:color w:val="000000"/>
          <w:sz w:val="20"/>
          <w:szCs w:val="20"/>
        </w:rPr>
        <w:tab/>
        <w:t>CALCULATIONS</w:t>
      </w:r>
    </w:p>
    <w:p w:rsidR="00ED303D" w:rsidRPr="00EC5430" w:rsidRDefault="00ED303D" w:rsidP="00ED303D">
      <w:pPr>
        <w:ind w:left="720"/>
        <w:rPr>
          <w:rFonts w:ascii="Arial" w:hAnsi="Arial" w:cs="Arial"/>
          <w:sz w:val="20"/>
          <w:szCs w:val="20"/>
        </w:rPr>
      </w:pPr>
      <w:r w:rsidRPr="00EC5430">
        <w:rPr>
          <w:rFonts w:ascii="Arial" w:hAnsi="Arial" w:cs="Arial"/>
          <w:sz w:val="20"/>
          <w:szCs w:val="20"/>
        </w:rPr>
        <w:t xml:space="preserve">COBAS </w:t>
      </w:r>
      <w:r>
        <w:rPr>
          <w:rFonts w:ascii="Arial" w:hAnsi="Arial" w:cs="Arial"/>
          <w:sz w:val="20"/>
          <w:szCs w:val="20"/>
        </w:rPr>
        <w:t>e411</w:t>
      </w:r>
      <w:r w:rsidRPr="00EC5430">
        <w:rPr>
          <w:rFonts w:ascii="Arial" w:hAnsi="Arial" w:cs="Arial"/>
          <w:sz w:val="20"/>
          <w:szCs w:val="20"/>
        </w:rPr>
        <w:t xml:space="preserve"> analyzers automatically calculate the analyte concentration of each sample.</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Pr="007C1D50">
        <w:rPr>
          <w:rFonts w:ascii="Arial" w:hAnsi="Arial" w:cs="Arial"/>
          <w:b/>
          <w:bCs/>
          <w:color w:val="000000"/>
          <w:sz w:val="20"/>
          <w:szCs w:val="20"/>
        </w:rPr>
        <w:tab/>
      </w:r>
      <w:r>
        <w:rPr>
          <w:rFonts w:ascii="Arial" w:hAnsi="Arial" w:cs="Arial"/>
          <w:b/>
          <w:bCs/>
          <w:color w:val="000000"/>
          <w:sz w:val="20"/>
          <w:szCs w:val="20"/>
        </w:rPr>
        <w:t>MEASURING RANGE AND DILUTIONS</w:t>
      </w:r>
    </w:p>
    <w:p w:rsidR="00ED303D" w:rsidRDefault="00ED303D" w:rsidP="00ED303D">
      <w:pPr>
        <w:pStyle w:val="NcclsPara"/>
        <w:ind w:left="720"/>
        <w:rPr>
          <w:rFonts w:ascii="Arial" w:hAnsi="Arial" w:cs="Arial"/>
          <w:sz w:val="20"/>
          <w:szCs w:val="20"/>
        </w:rPr>
      </w:pPr>
      <w:r>
        <w:rPr>
          <w:rFonts w:ascii="Arial" w:hAnsi="Arial" w:cs="Arial"/>
          <w:b/>
          <w:bCs/>
          <w:color w:val="000000"/>
          <w:sz w:val="20"/>
          <w:szCs w:val="20"/>
        </w:rPr>
        <w:t xml:space="preserve"> </w:t>
      </w:r>
      <w:r w:rsidRPr="00EC5430">
        <w:rPr>
          <w:rFonts w:ascii="Arial" w:hAnsi="Arial" w:cs="Arial"/>
          <w:sz w:val="20"/>
          <w:szCs w:val="20"/>
        </w:rPr>
        <w:t>Refer to the Roche Range Chart for the measuring range and manual dilution guidelines (SW.</w:t>
      </w:r>
      <w:r w:rsidR="005B6878">
        <w:rPr>
          <w:rFonts w:ascii="Arial" w:hAnsi="Arial" w:cs="Arial"/>
          <w:sz w:val="20"/>
          <w:szCs w:val="20"/>
        </w:rPr>
        <w:t>C</w:t>
      </w:r>
      <w:r w:rsidRPr="00EC5430">
        <w:rPr>
          <w:rFonts w:ascii="Arial" w:hAnsi="Arial" w:cs="Arial"/>
          <w:sz w:val="20"/>
          <w:szCs w:val="20"/>
        </w:rPr>
        <w:t>P.GL.jad.0104).</w:t>
      </w:r>
    </w:p>
    <w:p w:rsidR="005B6878" w:rsidRDefault="005B6878" w:rsidP="00ED303D">
      <w:pPr>
        <w:pStyle w:val="NcclsPara"/>
        <w:ind w:left="720"/>
        <w:rPr>
          <w:rFonts w:ascii="Arial" w:hAnsi="Arial" w:cs="Arial"/>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XII. </w:t>
      </w:r>
      <w:r>
        <w:rPr>
          <w:rFonts w:ascii="Arial" w:hAnsi="Arial" w:cs="Arial"/>
          <w:b/>
          <w:bCs/>
          <w:color w:val="000000"/>
          <w:sz w:val="20"/>
          <w:szCs w:val="20"/>
        </w:rPr>
        <w:tab/>
      </w:r>
      <w:r w:rsidRPr="007C1D50">
        <w:rPr>
          <w:rFonts w:ascii="Arial" w:hAnsi="Arial" w:cs="Arial"/>
          <w:b/>
          <w:bCs/>
          <w:color w:val="000000"/>
          <w:sz w:val="20"/>
          <w:szCs w:val="20"/>
        </w:rPr>
        <w:t>INTERPRETATION</w:t>
      </w:r>
    </w:p>
    <w:p w:rsidR="00ED303D" w:rsidRPr="00E35AAC" w:rsidRDefault="00ED303D" w:rsidP="00ED303D">
      <w:pPr>
        <w:ind w:left="720"/>
        <w:rPr>
          <w:b/>
        </w:rPr>
      </w:pPr>
      <w:r w:rsidRPr="002B7602">
        <w:t>Refer to Reference Range guide for age appropriate referen</w:t>
      </w:r>
      <w:r>
        <w:t>ce ranges and critical value levels (SW.CP.GL.jad.0103).</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Pr="007C1D50">
        <w:rPr>
          <w:rFonts w:ascii="Arial" w:hAnsi="Arial" w:cs="Arial"/>
          <w:b/>
          <w:bCs/>
          <w:color w:val="000000"/>
          <w:sz w:val="20"/>
          <w:szCs w:val="20"/>
        </w:rPr>
        <w:tab/>
        <w:t>RESULT REPORTING</w:t>
      </w:r>
    </w:p>
    <w:p w:rsidR="00ED303D" w:rsidRDefault="00ED303D" w:rsidP="00ED303D">
      <w:pPr>
        <w:ind w:left="720"/>
      </w:pPr>
      <w:r>
        <w:t>Results are generally reported via the DI Middleware-refer to procedure SW.CP.GL.lab.0103.</w:t>
      </w:r>
    </w:p>
    <w:p w:rsidR="00ED303D" w:rsidRPr="00A97B4F" w:rsidRDefault="00ED303D" w:rsidP="00ED303D">
      <w:pPr>
        <w:autoSpaceDE w:val="0"/>
        <w:autoSpaceDN w:val="0"/>
        <w:adjustRightInd w:val="0"/>
        <w:spacing w:after="240"/>
        <w:ind w:left="720"/>
        <w:jc w:val="both"/>
        <w:rPr>
          <w:rFonts w:ascii="Arial" w:hAnsi="Arial" w:cs="Arial"/>
          <w:sz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XIII.</w:t>
      </w:r>
      <w:r w:rsidRPr="007C1D50">
        <w:rPr>
          <w:rFonts w:ascii="Arial" w:hAnsi="Arial" w:cs="Arial"/>
          <w:b/>
          <w:bCs/>
          <w:color w:val="000000"/>
          <w:sz w:val="20"/>
          <w:szCs w:val="20"/>
        </w:rPr>
        <w:tab/>
        <w:t>TRAINING</w:t>
      </w:r>
    </w:p>
    <w:p w:rsidR="00ED303D" w:rsidRDefault="00ED303D" w:rsidP="00ED303D">
      <w:pPr>
        <w:autoSpaceDE w:val="0"/>
        <w:autoSpaceDN w:val="0"/>
        <w:adjustRightInd w:val="0"/>
        <w:spacing w:after="240"/>
        <w:ind w:left="720"/>
        <w:jc w:val="both"/>
        <w:rPr>
          <w:rFonts w:ascii="Arial" w:hAnsi="Arial" w:cs="Arial"/>
          <w:sz w:val="20"/>
        </w:rPr>
      </w:pPr>
    </w:p>
    <w:tbl>
      <w:tblPr>
        <w:tblW w:w="0" w:type="auto"/>
        <w:jc w:val="center"/>
        <w:tblLook w:val="01E0" w:firstRow="1" w:lastRow="1" w:firstColumn="1" w:lastColumn="1" w:noHBand="0" w:noVBand="0"/>
      </w:tblPr>
      <w:tblGrid>
        <w:gridCol w:w="1638"/>
        <w:gridCol w:w="2183"/>
      </w:tblGrid>
      <w:tr w:rsidR="00ED303D" w:rsidRPr="007C57E2"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Training Needed</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bl>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pStyle w:val="Second-OrderHeading"/>
        <w:numPr>
          <w:ilvl w:val="0"/>
          <w:numId w:val="0"/>
        </w:numPr>
        <w:tabs>
          <w:tab w:val="left" w:pos="6630"/>
        </w:tabs>
        <w:ind w:left="720" w:hanging="720"/>
        <w:rPr>
          <w:rFonts w:ascii="Arial" w:hAnsi="Arial" w:cs="Arial"/>
          <w:b/>
          <w:sz w:val="20"/>
        </w:rPr>
      </w:pPr>
      <w:r w:rsidRPr="007C1D50">
        <w:rPr>
          <w:rFonts w:ascii="Arial" w:hAnsi="Arial" w:cs="Arial"/>
          <w:b/>
          <w:sz w:val="20"/>
        </w:rPr>
        <w:lastRenderedPageBreak/>
        <w:t xml:space="preserve">IVX. </w:t>
      </w:r>
      <w:r w:rsidRPr="007C1D50">
        <w:rPr>
          <w:rFonts w:ascii="Arial" w:hAnsi="Arial" w:cs="Arial"/>
          <w:b/>
          <w:sz w:val="20"/>
        </w:rPr>
        <w:tab/>
        <w:t>REFERENCES</w:t>
      </w:r>
    </w:p>
    <w:p w:rsidR="009B2A5D" w:rsidRDefault="00C21C35"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798CD1D8" wp14:editId="0C5E8CA1">
            <wp:extent cx="3543300" cy="307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3300" cy="3076575"/>
                    </a:xfrm>
                    <a:prstGeom prst="rect">
                      <a:avLst/>
                    </a:prstGeom>
                  </pic:spPr>
                </pic:pic>
              </a:graphicData>
            </a:graphic>
          </wp:inline>
        </w:drawing>
      </w:r>
      <w:bookmarkStart w:id="0" w:name="_GoBack"/>
      <w:bookmarkEnd w:id="0"/>
    </w:p>
    <w:p w:rsidR="00C21C35" w:rsidRDefault="00C21C35"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43350DB4" wp14:editId="655B8688">
            <wp:extent cx="36385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38550" cy="1314450"/>
                    </a:xfrm>
                    <a:prstGeom prst="rect">
                      <a:avLst/>
                    </a:prstGeom>
                  </pic:spPr>
                </pic:pic>
              </a:graphicData>
            </a:graphic>
          </wp:inline>
        </w:drawing>
      </w:r>
    </w:p>
    <w:p w:rsidR="00A858A5" w:rsidRPr="009717B7" w:rsidRDefault="00A858A5" w:rsidP="009717B7">
      <w:pPr>
        <w:pStyle w:val="Second-OrderHeading"/>
        <w:numPr>
          <w:ilvl w:val="0"/>
          <w:numId w:val="0"/>
        </w:numPr>
        <w:tabs>
          <w:tab w:val="left" w:pos="6630"/>
        </w:tabs>
        <w:ind w:left="720" w:hanging="720"/>
        <w:rPr>
          <w:rFonts w:ascii="Arial" w:hAnsi="Arial" w:cs="Arial"/>
          <w:b/>
          <w:sz w:val="20"/>
        </w:rPr>
      </w:pPr>
    </w:p>
    <w:sectPr w:rsidR="00A858A5" w:rsidRPr="009717B7" w:rsidSect="005D32A9">
      <w:headerReference w:type="default"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5" w:rsidRDefault="00904945" w:rsidP="0020707A">
      <w:r>
        <w:separator/>
      </w:r>
    </w:p>
  </w:endnote>
  <w:endnote w:type="continuationSeparator" w:id="0">
    <w:p w:rsidR="00904945" w:rsidRDefault="00904945" w:rsidP="002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3399"/>
      <w:docPartObj>
        <w:docPartGallery w:val="Page Numbers (Bottom of Page)"/>
        <w:docPartUnique/>
      </w:docPartObj>
    </w:sdtPr>
    <w:sdtEndPr/>
    <w:sdtContent>
      <w:sdt>
        <w:sdtPr>
          <w:id w:val="860082579"/>
          <w:docPartObj>
            <w:docPartGallery w:val="Page Numbers (Top of Page)"/>
            <w:docPartUnique/>
          </w:docPartObj>
        </w:sdtPr>
        <w:sdtEndPr/>
        <w:sdtContent>
          <w:p w:rsidR="000D227F" w:rsidRDefault="000D227F">
            <w:pPr>
              <w:pStyle w:val="Footer"/>
              <w:jc w:val="right"/>
            </w:pPr>
            <w:r>
              <w:t xml:space="preserve">Page </w:t>
            </w:r>
            <w:r>
              <w:rPr>
                <w:b/>
                <w:bCs/>
              </w:rPr>
              <w:fldChar w:fldCharType="begin"/>
            </w:r>
            <w:r>
              <w:rPr>
                <w:b/>
                <w:bCs/>
              </w:rPr>
              <w:instrText xml:space="preserve"> PAGE </w:instrText>
            </w:r>
            <w:r>
              <w:rPr>
                <w:b/>
                <w:bCs/>
              </w:rPr>
              <w:fldChar w:fldCharType="separate"/>
            </w:r>
            <w:r w:rsidR="0098627F">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98627F">
              <w:rPr>
                <w:b/>
                <w:bCs/>
                <w:noProof/>
              </w:rPr>
              <w:t>8</w:t>
            </w:r>
            <w:r>
              <w:rPr>
                <w:b/>
                <w:bCs/>
              </w:rPr>
              <w:fldChar w:fldCharType="end"/>
            </w:r>
          </w:p>
        </w:sdtContent>
      </w:sdt>
    </w:sdtContent>
  </w:sdt>
  <w:p w:rsidR="000C0F10" w:rsidRDefault="00D401B8" w:rsidP="0020707A">
    <w:pPr>
      <w:pStyle w:val="Footer"/>
    </w:pPr>
    <w:r>
      <w:t>DEPARTMENT OF PAHOLOGY &amp; LABORATORY MEDICINE</w:t>
    </w:r>
    <w:r>
      <w:tab/>
      <w:t>SW.CP.GL.lab.01</w:t>
    </w:r>
    <w:r w:rsidR="00B22825">
      <w:t>4</w:t>
    </w:r>
    <w:r w:rsidR="00EC3C2D">
      <w:t>4</w:t>
    </w:r>
    <w:r>
      <w:t>.000</w:t>
    </w:r>
    <w:r w:rsidR="009717B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5" w:rsidRPr="00716900" w:rsidRDefault="00904945" w:rsidP="00716900">
      <w:pPr>
        <w:pStyle w:val="Footer"/>
      </w:pPr>
    </w:p>
  </w:footnote>
  <w:footnote w:type="continuationSeparator" w:id="0">
    <w:p w:rsidR="00904945" w:rsidRDefault="00904945" w:rsidP="0020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7" w:rsidRDefault="002B7A87" w:rsidP="002B7A87">
    <w:pPr>
      <w:pStyle w:val="Header"/>
    </w:pPr>
    <w:r>
      <w:t>URMC LABS AT STRONG WEST</w:t>
    </w:r>
    <w:r>
      <w:tab/>
    </w:r>
    <w:r>
      <w:tab/>
      <w:t>SW.CP.GL.lab.0</w:t>
    </w:r>
    <w:r w:rsidR="009717B7">
      <w:t>14</w:t>
    </w:r>
    <w:r w:rsidR="00EC3C2D">
      <w:t>4</w:t>
    </w:r>
    <w:r w:rsidR="00BD0B01">
      <w:t>.000</w:t>
    </w:r>
    <w:r w:rsidR="009717B7">
      <w:t>1</w:t>
    </w:r>
  </w:p>
  <w:p w:rsidR="002B7A87" w:rsidRDefault="002B7A87" w:rsidP="002B7A87">
    <w:pPr>
      <w:pStyle w:val="Header"/>
    </w:pPr>
    <w:r>
      <w:t>156 WEST AVE.</w:t>
    </w:r>
    <w:r>
      <w:tab/>
    </w:r>
    <w:r>
      <w:tab/>
      <w:t xml:space="preserve">ROCHE </w:t>
    </w:r>
    <w:r w:rsidR="00347E67">
      <w:t>e411</w:t>
    </w:r>
    <w:r>
      <w:t xml:space="preserve"> PROCEDURE</w:t>
    </w:r>
  </w:p>
  <w:p w:rsidR="0020707A" w:rsidRPr="002B7A87" w:rsidRDefault="002B7A87" w:rsidP="002B7A87">
    <w:pPr>
      <w:pStyle w:val="Header"/>
    </w:pPr>
    <w:r>
      <w:t>BROCKPORT, NY 14420</w:t>
    </w:r>
    <w:r>
      <w:tab/>
    </w:r>
    <w:r>
      <w:tab/>
    </w:r>
    <w:r w:rsidR="00EC3C2D">
      <w:t>Ferritin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32FCFA"/>
    <w:lvl w:ilvl="0">
      <w:start w:val="1"/>
      <w:numFmt w:val="bullet"/>
      <w:lvlText w:val=""/>
      <w:lvlJc w:val="left"/>
      <w:pPr>
        <w:tabs>
          <w:tab w:val="num" w:pos="360"/>
        </w:tabs>
        <w:ind w:left="360" w:hanging="360"/>
      </w:pPr>
      <w:rPr>
        <w:rFonts w:ascii="Symbol" w:hAnsi="Symbol" w:hint="default"/>
      </w:rPr>
    </w:lvl>
  </w:abstractNum>
  <w:abstractNum w:abstractNumId="1">
    <w:nsid w:val="084E5173"/>
    <w:multiLevelType w:val="hybridMultilevel"/>
    <w:tmpl w:val="6CF2EEFC"/>
    <w:lvl w:ilvl="0" w:tplc="D9E4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282AC2"/>
    <w:multiLevelType w:val="hybridMultilevel"/>
    <w:tmpl w:val="30E6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EA6301"/>
    <w:multiLevelType w:val="hybridMultilevel"/>
    <w:tmpl w:val="DFE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90B91"/>
    <w:multiLevelType w:val="hybridMultilevel"/>
    <w:tmpl w:val="981279A6"/>
    <w:lvl w:ilvl="0" w:tplc="4B602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920222"/>
    <w:multiLevelType w:val="hybridMultilevel"/>
    <w:tmpl w:val="08786584"/>
    <w:lvl w:ilvl="0" w:tplc="B9C8A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F78DB"/>
    <w:multiLevelType w:val="hybridMultilevel"/>
    <w:tmpl w:val="6F0CA592"/>
    <w:lvl w:ilvl="0" w:tplc="6BA2AA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BA1527"/>
    <w:multiLevelType w:val="hybridMultilevel"/>
    <w:tmpl w:val="459E20D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nsid w:val="3F9D190F"/>
    <w:multiLevelType w:val="hybridMultilevel"/>
    <w:tmpl w:val="23E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F31C6"/>
    <w:multiLevelType w:val="hybridMultilevel"/>
    <w:tmpl w:val="6ABAFB34"/>
    <w:lvl w:ilvl="0" w:tplc="A3E61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53D0158"/>
    <w:multiLevelType w:val="hybridMultilevel"/>
    <w:tmpl w:val="0A4EB1B4"/>
    <w:lvl w:ilvl="0" w:tplc="BE4E3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A1FAF"/>
    <w:multiLevelType w:val="hybridMultilevel"/>
    <w:tmpl w:val="F1DAE3EE"/>
    <w:lvl w:ilvl="0" w:tplc="18CE0D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4FD42E92"/>
    <w:multiLevelType w:val="hybridMultilevel"/>
    <w:tmpl w:val="9470FE1C"/>
    <w:lvl w:ilvl="0" w:tplc="87B005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nsid w:val="5637464D"/>
    <w:multiLevelType w:val="hybridMultilevel"/>
    <w:tmpl w:val="DD9EB0FC"/>
    <w:lvl w:ilvl="0" w:tplc="CA98C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0C3994"/>
    <w:multiLevelType w:val="hybridMultilevel"/>
    <w:tmpl w:val="4A6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86213"/>
    <w:multiLevelType w:val="hybridMultilevel"/>
    <w:tmpl w:val="894A5FEC"/>
    <w:lvl w:ilvl="0" w:tplc="B9C8A5D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622922"/>
    <w:multiLevelType w:val="hybridMultilevel"/>
    <w:tmpl w:val="65C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370455"/>
    <w:multiLevelType w:val="hybridMultilevel"/>
    <w:tmpl w:val="CFF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8"/>
  </w:num>
  <w:num w:numId="5">
    <w:abstractNumId w:val="6"/>
  </w:num>
  <w:num w:numId="6">
    <w:abstractNumId w:val="3"/>
  </w:num>
  <w:num w:numId="7">
    <w:abstractNumId w:val="18"/>
  </w:num>
  <w:num w:numId="8">
    <w:abstractNumId w:val="9"/>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7"/>
  </w:num>
  <w:num w:numId="14">
    <w:abstractNumId w:val="15"/>
  </w:num>
  <w:num w:numId="15">
    <w:abstractNumId w:val="12"/>
  </w:num>
  <w:num w:numId="16">
    <w:abstractNumId w:val="1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20"/>
  </w:num>
  <w:num w:numId="22">
    <w:abstractNumId w:val="14"/>
  </w:num>
  <w:num w:numId="23">
    <w:abstractNumId w:val="2"/>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B"/>
    <w:rsid w:val="000326C3"/>
    <w:rsid w:val="000522F2"/>
    <w:rsid w:val="000A28E5"/>
    <w:rsid w:val="000A5018"/>
    <w:rsid w:val="000C0F10"/>
    <w:rsid w:val="000D227F"/>
    <w:rsid w:val="000E3FDD"/>
    <w:rsid w:val="001240F8"/>
    <w:rsid w:val="00125CFD"/>
    <w:rsid w:val="001313DB"/>
    <w:rsid w:val="00141FF8"/>
    <w:rsid w:val="001A4F38"/>
    <w:rsid w:val="001D5336"/>
    <w:rsid w:val="001F6E10"/>
    <w:rsid w:val="0020707A"/>
    <w:rsid w:val="002373E4"/>
    <w:rsid w:val="00257BA4"/>
    <w:rsid w:val="00293E9B"/>
    <w:rsid w:val="002B7A87"/>
    <w:rsid w:val="002D1D00"/>
    <w:rsid w:val="002D3CF1"/>
    <w:rsid w:val="002D546C"/>
    <w:rsid w:val="002E60A3"/>
    <w:rsid w:val="003213C6"/>
    <w:rsid w:val="00330B26"/>
    <w:rsid w:val="00347E67"/>
    <w:rsid w:val="00375408"/>
    <w:rsid w:val="00392ABE"/>
    <w:rsid w:val="003B28D0"/>
    <w:rsid w:val="003D3CF2"/>
    <w:rsid w:val="00415C02"/>
    <w:rsid w:val="0042783E"/>
    <w:rsid w:val="0044166A"/>
    <w:rsid w:val="00471E1A"/>
    <w:rsid w:val="00474172"/>
    <w:rsid w:val="00486DB6"/>
    <w:rsid w:val="004A0E0E"/>
    <w:rsid w:val="004B16BB"/>
    <w:rsid w:val="00502D0E"/>
    <w:rsid w:val="005365A2"/>
    <w:rsid w:val="00544BE3"/>
    <w:rsid w:val="00555556"/>
    <w:rsid w:val="0057754F"/>
    <w:rsid w:val="005A3CC9"/>
    <w:rsid w:val="005B6878"/>
    <w:rsid w:val="005C0966"/>
    <w:rsid w:val="005D32A9"/>
    <w:rsid w:val="005E72BC"/>
    <w:rsid w:val="00601380"/>
    <w:rsid w:val="00607686"/>
    <w:rsid w:val="00656857"/>
    <w:rsid w:val="00672CEB"/>
    <w:rsid w:val="00673E28"/>
    <w:rsid w:val="006B0BA0"/>
    <w:rsid w:val="006B4327"/>
    <w:rsid w:val="006D799D"/>
    <w:rsid w:val="006E5178"/>
    <w:rsid w:val="00716900"/>
    <w:rsid w:val="0073412B"/>
    <w:rsid w:val="0074443F"/>
    <w:rsid w:val="00771B42"/>
    <w:rsid w:val="007D44C0"/>
    <w:rsid w:val="007D6836"/>
    <w:rsid w:val="008044B0"/>
    <w:rsid w:val="00814379"/>
    <w:rsid w:val="00842E38"/>
    <w:rsid w:val="00857273"/>
    <w:rsid w:val="008B4BB0"/>
    <w:rsid w:val="008D0C9A"/>
    <w:rsid w:val="008D791C"/>
    <w:rsid w:val="008E7A72"/>
    <w:rsid w:val="00904945"/>
    <w:rsid w:val="009717B7"/>
    <w:rsid w:val="009809CA"/>
    <w:rsid w:val="00983126"/>
    <w:rsid w:val="0098627F"/>
    <w:rsid w:val="009A3D11"/>
    <w:rsid w:val="009A4964"/>
    <w:rsid w:val="009B04C2"/>
    <w:rsid w:val="009B2A5D"/>
    <w:rsid w:val="009E6960"/>
    <w:rsid w:val="00A0683B"/>
    <w:rsid w:val="00A344FC"/>
    <w:rsid w:val="00A36065"/>
    <w:rsid w:val="00A53EC8"/>
    <w:rsid w:val="00A858A5"/>
    <w:rsid w:val="00AA16D9"/>
    <w:rsid w:val="00AA5DEB"/>
    <w:rsid w:val="00AD25B2"/>
    <w:rsid w:val="00AD77B4"/>
    <w:rsid w:val="00AF09F2"/>
    <w:rsid w:val="00AF4E76"/>
    <w:rsid w:val="00B049A9"/>
    <w:rsid w:val="00B22825"/>
    <w:rsid w:val="00B42D05"/>
    <w:rsid w:val="00B565FE"/>
    <w:rsid w:val="00B71EAB"/>
    <w:rsid w:val="00BA024A"/>
    <w:rsid w:val="00BB54F3"/>
    <w:rsid w:val="00BD0B01"/>
    <w:rsid w:val="00C02CC8"/>
    <w:rsid w:val="00C21C35"/>
    <w:rsid w:val="00C327FD"/>
    <w:rsid w:val="00C43197"/>
    <w:rsid w:val="00CC7D43"/>
    <w:rsid w:val="00CD345E"/>
    <w:rsid w:val="00CE29B4"/>
    <w:rsid w:val="00CF769B"/>
    <w:rsid w:val="00D0020F"/>
    <w:rsid w:val="00D210F8"/>
    <w:rsid w:val="00D21128"/>
    <w:rsid w:val="00D2333D"/>
    <w:rsid w:val="00D36B38"/>
    <w:rsid w:val="00D401B8"/>
    <w:rsid w:val="00D63971"/>
    <w:rsid w:val="00DA18F3"/>
    <w:rsid w:val="00E219C5"/>
    <w:rsid w:val="00E378D8"/>
    <w:rsid w:val="00EC3C2D"/>
    <w:rsid w:val="00ED303D"/>
    <w:rsid w:val="00EF4DC2"/>
    <w:rsid w:val="00F428E5"/>
    <w:rsid w:val="00F47F58"/>
    <w:rsid w:val="00F57B8C"/>
    <w:rsid w:val="00F80EC0"/>
    <w:rsid w:val="00F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F57B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F57B8C"/>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F57B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F57B8C"/>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40">
      <w:bodyDiv w:val="1"/>
      <w:marLeft w:val="0"/>
      <w:marRight w:val="0"/>
      <w:marTop w:val="0"/>
      <w:marBottom w:val="0"/>
      <w:divBdr>
        <w:top w:val="none" w:sz="0" w:space="0" w:color="auto"/>
        <w:left w:val="none" w:sz="0" w:space="0" w:color="auto"/>
        <w:bottom w:val="none" w:sz="0" w:space="0" w:color="auto"/>
        <w:right w:val="none" w:sz="0" w:space="0" w:color="auto"/>
      </w:divBdr>
    </w:div>
    <w:div w:id="192812584">
      <w:bodyDiv w:val="1"/>
      <w:marLeft w:val="0"/>
      <w:marRight w:val="0"/>
      <w:marTop w:val="0"/>
      <w:marBottom w:val="0"/>
      <w:divBdr>
        <w:top w:val="none" w:sz="0" w:space="0" w:color="auto"/>
        <w:left w:val="none" w:sz="0" w:space="0" w:color="auto"/>
        <w:bottom w:val="none" w:sz="0" w:space="0" w:color="auto"/>
        <w:right w:val="none" w:sz="0" w:space="0" w:color="auto"/>
      </w:divBdr>
    </w:div>
    <w:div w:id="251210116">
      <w:bodyDiv w:val="1"/>
      <w:marLeft w:val="0"/>
      <w:marRight w:val="0"/>
      <w:marTop w:val="0"/>
      <w:marBottom w:val="0"/>
      <w:divBdr>
        <w:top w:val="none" w:sz="0" w:space="0" w:color="auto"/>
        <w:left w:val="none" w:sz="0" w:space="0" w:color="auto"/>
        <w:bottom w:val="none" w:sz="0" w:space="0" w:color="auto"/>
        <w:right w:val="none" w:sz="0" w:space="0" w:color="auto"/>
      </w:divBdr>
    </w:div>
    <w:div w:id="259526294">
      <w:bodyDiv w:val="1"/>
      <w:marLeft w:val="0"/>
      <w:marRight w:val="0"/>
      <w:marTop w:val="0"/>
      <w:marBottom w:val="0"/>
      <w:divBdr>
        <w:top w:val="none" w:sz="0" w:space="0" w:color="auto"/>
        <w:left w:val="none" w:sz="0" w:space="0" w:color="auto"/>
        <w:bottom w:val="none" w:sz="0" w:space="0" w:color="auto"/>
        <w:right w:val="none" w:sz="0" w:space="0" w:color="auto"/>
      </w:divBdr>
    </w:div>
    <w:div w:id="339356633">
      <w:bodyDiv w:val="1"/>
      <w:marLeft w:val="0"/>
      <w:marRight w:val="0"/>
      <w:marTop w:val="0"/>
      <w:marBottom w:val="0"/>
      <w:divBdr>
        <w:top w:val="none" w:sz="0" w:space="0" w:color="auto"/>
        <w:left w:val="none" w:sz="0" w:space="0" w:color="auto"/>
        <w:bottom w:val="none" w:sz="0" w:space="0" w:color="auto"/>
        <w:right w:val="none" w:sz="0" w:space="0" w:color="auto"/>
      </w:divBdr>
    </w:div>
    <w:div w:id="366177155">
      <w:bodyDiv w:val="1"/>
      <w:marLeft w:val="0"/>
      <w:marRight w:val="0"/>
      <w:marTop w:val="0"/>
      <w:marBottom w:val="0"/>
      <w:divBdr>
        <w:top w:val="none" w:sz="0" w:space="0" w:color="auto"/>
        <w:left w:val="none" w:sz="0" w:space="0" w:color="auto"/>
        <w:bottom w:val="none" w:sz="0" w:space="0" w:color="auto"/>
        <w:right w:val="none" w:sz="0" w:space="0" w:color="auto"/>
      </w:divBdr>
    </w:div>
    <w:div w:id="418404003">
      <w:bodyDiv w:val="1"/>
      <w:marLeft w:val="0"/>
      <w:marRight w:val="0"/>
      <w:marTop w:val="0"/>
      <w:marBottom w:val="0"/>
      <w:divBdr>
        <w:top w:val="none" w:sz="0" w:space="0" w:color="auto"/>
        <w:left w:val="none" w:sz="0" w:space="0" w:color="auto"/>
        <w:bottom w:val="none" w:sz="0" w:space="0" w:color="auto"/>
        <w:right w:val="none" w:sz="0" w:space="0" w:color="auto"/>
      </w:divBdr>
    </w:div>
    <w:div w:id="457453440">
      <w:bodyDiv w:val="1"/>
      <w:marLeft w:val="0"/>
      <w:marRight w:val="0"/>
      <w:marTop w:val="0"/>
      <w:marBottom w:val="0"/>
      <w:divBdr>
        <w:top w:val="none" w:sz="0" w:space="0" w:color="auto"/>
        <w:left w:val="none" w:sz="0" w:space="0" w:color="auto"/>
        <w:bottom w:val="none" w:sz="0" w:space="0" w:color="auto"/>
        <w:right w:val="none" w:sz="0" w:space="0" w:color="auto"/>
      </w:divBdr>
    </w:div>
    <w:div w:id="509954282">
      <w:bodyDiv w:val="1"/>
      <w:marLeft w:val="0"/>
      <w:marRight w:val="0"/>
      <w:marTop w:val="0"/>
      <w:marBottom w:val="0"/>
      <w:divBdr>
        <w:top w:val="none" w:sz="0" w:space="0" w:color="auto"/>
        <w:left w:val="none" w:sz="0" w:space="0" w:color="auto"/>
        <w:bottom w:val="none" w:sz="0" w:space="0" w:color="auto"/>
        <w:right w:val="none" w:sz="0" w:space="0" w:color="auto"/>
      </w:divBdr>
    </w:div>
    <w:div w:id="540090388">
      <w:bodyDiv w:val="1"/>
      <w:marLeft w:val="0"/>
      <w:marRight w:val="0"/>
      <w:marTop w:val="0"/>
      <w:marBottom w:val="0"/>
      <w:divBdr>
        <w:top w:val="none" w:sz="0" w:space="0" w:color="auto"/>
        <w:left w:val="none" w:sz="0" w:space="0" w:color="auto"/>
        <w:bottom w:val="none" w:sz="0" w:space="0" w:color="auto"/>
        <w:right w:val="none" w:sz="0" w:space="0" w:color="auto"/>
      </w:divBdr>
    </w:div>
    <w:div w:id="690955695">
      <w:bodyDiv w:val="1"/>
      <w:marLeft w:val="0"/>
      <w:marRight w:val="0"/>
      <w:marTop w:val="0"/>
      <w:marBottom w:val="0"/>
      <w:divBdr>
        <w:top w:val="none" w:sz="0" w:space="0" w:color="auto"/>
        <w:left w:val="none" w:sz="0" w:space="0" w:color="auto"/>
        <w:bottom w:val="none" w:sz="0" w:space="0" w:color="auto"/>
        <w:right w:val="none" w:sz="0" w:space="0" w:color="auto"/>
      </w:divBdr>
    </w:div>
    <w:div w:id="710810067">
      <w:bodyDiv w:val="1"/>
      <w:marLeft w:val="0"/>
      <w:marRight w:val="0"/>
      <w:marTop w:val="0"/>
      <w:marBottom w:val="0"/>
      <w:divBdr>
        <w:top w:val="none" w:sz="0" w:space="0" w:color="auto"/>
        <w:left w:val="none" w:sz="0" w:space="0" w:color="auto"/>
        <w:bottom w:val="none" w:sz="0" w:space="0" w:color="auto"/>
        <w:right w:val="none" w:sz="0" w:space="0" w:color="auto"/>
      </w:divBdr>
    </w:div>
    <w:div w:id="727849903">
      <w:bodyDiv w:val="1"/>
      <w:marLeft w:val="0"/>
      <w:marRight w:val="0"/>
      <w:marTop w:val="0"/>
      <w:marBottom w:val="0"/>
      <w:divBdr>
        <w:top w:val="none" w:sz="0" w:space="0" w:color="auto"/>
        <w:left w:val="none" w:sz="0" w:space="0" w:color="auto"/>
        <w:bottom w:val="none" w:sz="0" w:space="0" w:color="auto"/>
        <w:right w:val="none" w:sz="0" w:space="0" w:color="auto"/>
      </w:divBdr>
    </w:div>
    <w:div w:id="868177110">
      <w:bodyDiv w:val="1"/>
      <w:marLeft w:val="0"/>
      <w:marRight w:val="0"/>
      <w:marTop w:val="0"/>
      <w:marBottom w:val="0"/>
      <w:divBdr>
        <w:top w:val="none" w:sz="0" w:space="0" w:color="auto"/>
        <w:left w:val="none" w:sz="0" w:space="0" w:color="auto"/>
        <w:bottom w:val="none" w:sz="0" w:space="0" w:color="auto"/>
        <w:right w:val="none" w:sz="0" w:space="0" w:color="auto"/>
      </w:divBdr>
    </w:div>
    <w:div w:id="1026563520">
      <w:bodyDiv w:val="1"/>
      <w:marLeft w:val="0"/>
      <w:marRight w:val="0"/>
      <w:marTop w:val="0"/>
      <w:marBottom w:val="0"/>
      <w:divBdr>
        <w:top w:val="none" w:sz="0" w:space="0" w:color="auto"/>
        <w:left w:val="none" w:sz="0" w:space="0" w:color="auto"/>
        <w:bottom w:val="none" w:sz="0" w:space="0" w:color="auto"/>
        <w:right w:val="none" w:sz="0" w:space="0" w:color="auto"/>
      </w:divBdr>
    </w:div>
    <w:div w:id="1040059293">
      <w:bodyDiv w:val="1"/>
      <w:marLeft w:val="0"/>
      <w:marRight w:val="0"/>
      <w:marTop w:val="0"/>
      <w:marBottom w:val="0"/>
      <w:divBdr>
        <w:top w:val="none" w:sz="0" w:space="0" w:color="auto"/>
        <w:left w:val="none" w:sz="0" w:space="0" w:color="auto"/>
        <w:bottom w:val="none" w:sz="0" w:space="0" w:color="auto"/>
        <w:right w:val="none" w:sz="0" w:space="0" w:color="auto"/>
      </w:divBdr>
    </w:div>
    <w:div w:id="1047340902">
      <w:bodyDiv w:val="1"/>
      <w:marLeft w:val="0"/>
      <w:marRight w:val="0"/>
      <w:marTop w:val="0"/>
      <w:marBottom w:val="0"/>
      <w:divBdr>
        <w:top w:val="none" w:sz="0" w:space="0" w:color="auto"/>
        <w:left w:val="none" w:sz="0" w:space="0" w:color="auto"/>
        <w:bottom w:val="none" w:sz="0" w:space="0" w:color="auto"/>
        <w:right w:val="none" w:sz="0" w:space="0" w:color="auto"/>
      </w:divBdr>
    </w:div>
    <w:div w:id="1301611915">
      <w:bodyDiv w:val="1"/>
      <w:marLeft w:val="0"/>
      <w:marRight w:val="0"/>
      <w:marTop w:val="0"/>
      <w:marBottom w:val="0"/>
      <w:divBdr>
        <w:top w:val="none" w:sz="0" w:space="0" w:color="auto"/>
        <w:left w:val="none" w:sz="0" w:space="0" w:color="auto"/>
        <w:bottom w:val="none" w:sz="0" w:space="0" w:color="auto"/>
        <w:right w:val="none" w:sz="0" w:space="0" w:color="auto"/>
      </w:divBdr>
    </w:div>
    <w:div w:id="1408108054">
      <w:bodyDiv w:val="1"/>
      <w:marLeft w:val="0"/>
      <w:marRight w:val="0"/>
      <w:marTop w:val="0"/>
      <w:marBottom w:val="0"/>
      <w:divBdr>
        <w:top w:val="none" w:sz="0" w:space="0" w:color="auto"/>
        <w:left w:val="none" w:sz="0" w:space="0" w:color="auto"/>
        <w:bottom w:val="none" w:sz="0" w:space="0" w:color="auto"/>
        <w:right w:val="none" w:sz="0" w:space="0" w:color="auto"/>
      </w:divBdr>
    </w:div>
    <w:div w:id="1505708114">
      <w:bodyDiv w:val="1"/>
      <w:marLeft w:val="0"/>
      <w:marRight w:val="0"/>
      <w:marTop w:val="0"/>
      <w:marBottom w:val="0"/>
      <w:divBdr>
        <w:top w:val="none" w:sz="0" w:space="0" w:color="auto"/>
        <w:left w:val="none" w:sz="0" w:space="0" w:color="auto"/>
        <w:bottom w:val="none" w:sz="0" w:space="0" w:color="auto"/>
        <w:right w:val="none" w:sz="0" w:space="0" w:color="auto"/>
      </w:divBdr>
    </w:div>
    <w:div w:id="1601260306">
      <w:bodyDiv w:val="1"/>
      <w:marLeft w:val="0"/>
      <w:marRight w:val="0"/>
      <w:marTop w:val="0"/>
      <w:marBottom w:val="0"/>
      <w:divBdr>
        <w:top w:val="none" w:sz="0" w:space="0" w:color="auto"/>
        <w:left w:val="none" w:sz="0" w:space="0" w:color="auto"/>
        <w:bottom w:val="none" w:sz="0" w:space="0" w:color="auto"/>
        <w:right w:val="none" w:sz="0" w:space="0" w:color="auto"/>
      </w:divBdr>
    </w:div>
    <w:div w:id="1692761943">
      <w:bodyDiv w:val="1"/>
      <w:marLeft w:val="0"/>
      <w:marRight w:val="0"/>
      <w:marTop w:val="0"/>
      <w:marBottom w:val="0"/>
      <w:divBdr>
        <w:top w:val="none" w:sz="0" w:space="0" w:color="auto"/>
        <w:left w:val="none" w:sz="0" w:space="0" w:color="auto"/>
        <w:bottom w:val="none" w:sz="0" w:space="0" w:color="auto"/>
        <w:right w:val="none" w:sz="0" w:space="0" w:color="auto"/>
      </w:divBdr>
    </w:div>
    <w:div w:id="1718122108">
      <w:bodyDiv w:val="1"/>
      <w:marLeft w:val="0"/>
      <w:marRight w:val="0"/>
      <w:marTop w:val="0"/>
      <w:marBottom w:val="0"/>
      <w:divBdr>
        <w:top w:val="none" w:sz="0" w:space="0" w:color="auto"/>
        <w:left w:val="none" w:sz="0" w:space="0" w:color="auto"/>
        <w:bottom w:val="none" w:sz="0" w:space="0" w:color="auto"/>
        <w:right w:val="none" w:sz="0" w:space="0" w:color="auto"/>
      </w:divBdr>
    </w:div>
    <w:div w:id="1739203028">
      <w:bodyDiv w:val="1"/>
      <w:marLeft w:val="0"/>
      <w:marRight w:val="0"/>
      <w:marTop w:val="0"/>
      <w:marBottom w:val="0"/>
      <w:divBdr>
        <w:top w:val="none" w:sz="0" w:space="0" w:color="auto"/>
        <w:left w:val="none" w:sz="0" w:space="0" w:color="auto"/>
        <w:bottom w:val="none" w:sz="0" w:space="0" w:color="auto"/>
        <w:right w:val="none" w:sz="0" w:space="0" w:color="auto"/>
      </w:divBdr>
    </w:div>
    <w:div w:id="1984775777">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E29C4A00FA4AA9B32D2EB1F7E192" ma:contentTypeVersion="0" ma:contentTypeDescription="Create a new document." ma:contentTypeScope="" ma:versionID="5e6091525808ca76fba1cb255e0939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1ABB-F3FB-4A28-8328-A00CA257332E}">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C33D6C-3C78-43BF-886C-6D1FF175B12B}">
  <ds:schemaRefs>
    <ds:schemaRef ds:uri="http://schemas.microsoft.com/sharepoint/v3/contenttype/forms"/>
  </ds:schemaRefs>
</ds:datastoreItem>
</file>

<file path=customXml/itemProps3.xml><?xml version="1.0" encoding="utf-8"?>
<ds:datastoreItem xmlns:ds="http://schemas.openxmlformats.org/officeDocument/2006/customXml" ds:itemID="{A8F7E447-4B9D-4BEE-A8AA-07BF1244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C57BB4-2D3F-4AE4-B2EE-98455105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8</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Barbara</dc:creator>
  <cp:lastModifiedBy>Baker, Susan L</cp:lastModifiedBy>
  <cp:revision>4</cp:revision>
  <cp:lastPrinted>2019-03-05T20:43:00Z</cp:lastPrinted>
  <dcterms:created xsi:type="dcterms:W3CDTF">2019-03-05T20:19:00Z</dcterms:created>
  <dcterms:modified xsi:type="dcterms:W3CDTF">2019-03-08T16:43:00Z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0x0101001D0BE29C4A00FA4AA9B32D2EB1F7E192</vt:lpwstr>
  </property>
</Properties>
</file>