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3D" w:rsidRPr="007C1D50" w:rsidRDefault="00ED303D" w:rsidP="00ED303D">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b/>
          <w:bCs/>
          <w:sz w:val="20"/>
          <w:szCs w:val="20"/>
        </w:rPr>
        <w:t>Title:</w:t>
      </w:r>
      <w:r w:rsidRPr="007C1D50">
        <w:rPr>
          <w:rFonts w:ascii="Arial" w:hAnsi="Arial" w:cs="Arial"/>
          <w:sz w:val="20"/>
          <w:szCs w:val="20"/>
        </w:rPr>
        <w:tab/>
      </w:r>
      <w:r>
        <w:rPr>
          <w:rFonts w:ascii="Arial" w:hAnsi="Arial" w:cs="Arial"/>
          <w:sz w:val="20"/>
          <w:szCs w:val="20"/>
        </w:rPr>
        <w:t>Vitamin B</w:t>
      </w:r>
      <w:r>
        <w:rPr>
          <w:rFonts w:ascii="Arial" w:hAnsi="Arial" w:cs="Arial"/>
          <w:sz w:val="20"/>
          <w:szCs w:val="20"/>
          <w:vertAlign w:val="subscript"/>
        </w:rPr>
        <w:t>12</w:t>
      </w:r>
      <w:r w:rsidRPr="007C1D50">
        <w:rPr>
          <w:rFonts w:ascii="Arial" w:hAnsi="Arial" w:cs="Arial"/>
          <w:sz w:val="20"/>
          <w:szCs w:val="20"/>
        </w:rPr>
        <w:tab/>
      </w: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641"/>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Supersedes Procedure #</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9E7E76" w:rsidRDefault="009717B7" w:rsidP="00DE6319">
            <w:pPr>
              <w:pStyle w:val="Header"/>
              <w:rPr>
                <w:rFonts w:ascii="Arial" w:hAnsi="Arial" w:cs="Arial"/>
                <w:sz w:val="20"/>
                <w:szCs w:val="20"/>
              </w:rPr>
            </w:pPr>
            <w:r>
              <w:rPr>
                <w:rFonts w:ascii="Arial" w:hAnsi="Arial" w:cs="Arial"/>
                <w:sz w:val="20"/>
                <w:szCs w:val="20"/>
              </w:rPr>
              <w:t>Sue Baker</w:t>
            </w: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9717B7" w:rsidP="00DE6319">
            <w:pPr>
              <w:jc w:val="center"/>
              <w:rPr>
                <w:rFonts w:ascii="Arial" w:hAnsi="Arial" w:cs="Arial"/>
                <w:sz w:val="20"/>
                <w:szCs w:val="20"/>
              </w:rPr>
            </w:pPr>
            <w:r>
              <w:rPr>
                <w:rFonts w:ascii="Arial" w:hAnsi="Arial" w:cs="Arial"/>
                <w:sz w:val="20"/>
                <w:szCs w:val="20"/>
              </w:rPr>
              <w:t>NEW</w:t>
            </w:r>
          </w:p>
        </w:tc>
      </w:tr>
    </w:tbl>
    <w:p w:rsidR="00ED303D" w:rsidRPr="007C1D50" w:rsidRDefault="00ED303D" w:rsidP="00ED303D">
      <w:pPr>
        <w:jc w:val="both"/>
        <w:rPr>
          <w:rFonts w:ascii="Arial" w:hAnsi="Arial" w:cs="Arial"/>
          <w:sz w:val="20"/>
          <w:szCs w:val="20"/>
        </w:rPr>
      </w:pP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782"/>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(adopted)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ED303D" w:rsidP="00DE6319">
            <w:pPr>
              <w:jc w:val="center"/>
              <w:rPr>
                <w:rFonts w:ascii="Arial" w:hAnsi="Arial" w:cs="Arial"/>
                <w:sz w:val="20"/>
                <w:szCs w:val="20"/>
              </w:rPr>
            </w:pPr>
          </w:p>
        </w:tc>
      </w:tr>
    </w:tbl>
    <w:p w:rsidR="00ED303D" w:rsidRPr="007C1D50" w:rsidRDefault="00ED303D" w:rsidP="00ED303D">
      <w:pPr>
        <w:jc w:val="both"/>
        <w:rPr>
          <w:rFonts w:ascii="Arial" w:hAnsi="Arial" w:cs="Arial"/>
          <w:sz w:val="20"/>
          <w:szCs w:val="20"/>
        </w:rPr>
      </w:pPr>
    </w:p>
    <w:p w:rsidR="00ED303D" w:rsidRPr="007C1D50" w:rsidRDefault="00ED303D" w:rsidP="00ED303D">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5760"/>
        <w:gridCol w:w="3870"/>
      </w:tblGrid>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Date</w:t>
            </w: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Dr. Xiaolan Ou,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222CB"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9717B7" w:rsidP="00DE6319">
            <w:pPr>
              <w:jc w:val="center"/>
              <w:rPr>
                <w:rFonts w:ascii="Arial" w:hAnsi="Arial" w:cs="Arial"/>
                <w:sz w:val="20"/>
                <w:szCs w:val="20"/>
              </w:rPr>
            </w:pPr>
            <w:r>
              <w:rPr>
                <w:rFonts w:ascii="Arial" w:hAnsi="Arial" w:cs="Arial"/>
                <w:sz w:val="20"/>
                <w:szCs w:val="20"/>
              </w:rPr>
              <w:t>Mary Johnson, Chief Supervisor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Susan Baker, Assistant Supervisor</w:t>
            </w: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D303D" w:rsidRPr="006877B5" w:rsidRDefault="00ED303D" w:rsidP="00DE6319">
            <w:pPr>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bl>
    <w:p w:rsidR="00ED303D" w:rsidRPr="007C1D50" w:rsidRDefault="00ED303D" w:rsidP="00ED303D">
      <w:pPr>
        <w:rPr>
          <w:rFonts w:ascii="Arial" w:hAnsi="Arial" w:cs="Arial"/>
          <w:sz w:val="20"/>
          <w:szCs w:val="20"/>
        </w:rPr>
      </w:pPr>
    </w:p>
    <w:p w:rsidR="00ED303D" w:rsidRPr="007C1D50" w:rsidRDefault="00ED303D" w:rsidP="00ED303D">
      <w:pPr>
        <w:jc w:val="both"/>
        <w:rPr>
          <w:rFonts w:ascii="Arial" w:hAnsi="Arial" w:cs="Arial"/>
          <w:sz w:val="20"/>
          <w:szCs w:val="20"/>
        </w:rPr>
      </w:pPr>
    </w:p>
    <w:p w:rsidR="00ED303D" w:rsidRPr="007C1D50" w:rsidRDefault="00ED303D" w:rsidP="00ED303D">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ED303D" w:rsidRPr="007C1D50" w:rsidTr="00DE6319">
        <w:tc>
          <w:tcPr>
            <w:tcW w:w="4002"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r>
      <w:tr w:rsidR="00ED303D" w:rsidRPr="007C1D50" w:rsidTr="00DE6319">
        <w:tc>
          <w:tcPr>
            <w:tcW w:w="4002" w:type="dxa"/>
            <w:tcBorders>
              <w:top w:val="single" w:sz="4"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Lab</w:t>
            </w:r>
          </w:p>
        </w:tc>
        <w:tc>
          <w:tcPr>
            <w:tcW w:w="1260" w:type="dxa"/>
            <w:tcBorders>
              <w:top w:val="single" w:sz="4"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Office</w:t>
            </w: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bl>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b/>
          <w:sz w:val="20"/>
          <w:szCs w:val="20"/>
        </w:rPr>
      </w:pPr>
      <w:r>
        <w:rPr>
          <w:rFonts w:ascii="Arial" w:hAnsi="Arial" w:cs="Arial"/>
          <w:sz w:val="20"/>
          <w:szCs w:val="20"/>
        </w:rPr>
        <w:br w:type="page"/>
      </w:r>
      <w:r w:rsidRPr="00D234FD">
        <w:rPr>
          <w:rFonts w:ascii="Arial" w:hAnsi="Arial" w:cs="Arial"/>
          <w:b/>
          <w:sz w:val="20"/>
          <w:szCs w:val="20"/>
        </w:rPr>
        <w:lastRenderedPageBreak/>
        <w:t>REVISION HISTORY</w:t>
      </w:r>
    </w:p>
    <w:p w:rsidR="00ED303D" w:rsidRDefault="00ED303D" w:rsidP="00ED303D">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ED303D" w:rsidRPr="00520F5D" w:rsidTr="00DE6319">
        <w:trPr>
          <w:trHeight w:val="263"/>
          <w:jc w:val="center"/>
        </w:trPr>
        <w:tc>
          <w:tcPr>
            <w:tcW w:w="1738"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Reason for Revision</w:t>
            </w:r>
          </w:p>
        </w:tc>
      </w:tr>
      <w:tr w:rsidR="00ED303D" w:rsidRPr="00520F5D" w:rsidTr="00DE6319">
        <w:trPr>
          <w:trHeight w:val="263"/>
          <w:jc w:val="center"/>
        </w:trPr>
        <w:tc>
          <w:tcPr>
            <w:tcW w:w="1738" w:type="dxa"/>
            <w:tcBorders>
              <w:top w:val="single" w:sz="4" w:space="0" w:color="auto"/>
            </w:tcBorders>
            <w:shd w:val="clear" w:color="auto" w:fill="auto"/>
          </w:tcPr>
          <w:p w:rsidR="00ED303D" w:rsidRPr="007A2997" w:rsidRDefault="00ED303D" w:rsidP="00DE6319">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ED303D" w:rsidRPr="007A2997" w:rsidRDefault="00ED303D" w:rsidP="00DE6319">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ED303D" w:rsidRPr="007A2997" w:rsidRDefault="00ED303D" w:rsidP="00DE6319">
            <w:pPr>
              <w:pStyle w:val="Header"/>
              <w:rPr>
                <w:rFonts w:ascii="Arial" w:hAnsi="Arial" w:cs="Arial"/>
                <w:b/>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bl>
    <w:p w:rsidR="00ED303D" w:rsidRDefault="00ED303D" w:rsidP="00ED303D">
      <w:pPr>
        <w:jc w:val="center"/>
        <w:rPr>
          <w:rFonts w:ascii="Arial" w:hAnsi="Arial" w:cs="Arial"/>
          <w:b/>
          <w:sz w:val="20"/>
          <w:szCs w:val="20"/>
        </w:rPr>
      </w:pPr>
    </w:p>
    <w:p w:rsidR="00ED303D" w:rsidRDefault="00ED303D" w:rsidP="00ED303D">
      <w:pPr>
        <w:jc w:val="center"/>
        <w:rPr>
          <w:rFonts w:ascii="Arial" w:hAnsi="Arial" w:cs="Arial"/>
          <w:b/>
          <w:sz w:val="20"/>
          <w:szCs w:val="20"/>
        </w:rPr>
      </w:pPr>
    </w:p>
    <w:p w:rsidR="00ED303D" w:rsidRPr="007C1D50" w:rsidRDefault="00ED303D" w:rsidP="00ED303D">
      <w:pPr>
        <w:rPr>
          <w:rFonts w:ascii="Arial" w:hAnsi="Arial" w:cs="Arial"/>
          <w:sz w:val="20"/>
          <w:szCs w:val="20"/>
        </w:rPr>
      </w:pPr>
      <w:r>
        <w:rPr>
          <w:rFonts w:ascii="Arial" w:hAnsi="Arial" w:cs="Arial"/>
          <w:b/>
          <w:sz w:val="20"/>
          <w:szCs w:val="20"/>
        </w:rPr>
        <w:br w:type="page"/>
      </w:r>
    </w:p>
    <w:p w:rsidR="00ED303D" w:rsidRPr="007C1D50" w:rsidRDefault="00ED303D" w:rsidP="00ED303D">
      <w:pPr>
        <w:pStyle w:val="Heading1"/>
        <w:rPr>
          <w:rFonts w:ascii="Arial" w:hAnsi="Arial" w:cs="Arial"/>
          <w:sz w:val="20"/>
          <w:szCs w:val="20"/>
        </w:rPr>
      </w:pPr>
      <w:r w:rsidRPr="007C1D50">
        <w:rPr>
          <w:rFonts w:ascii="Arial" w:hAnsi="Arial" w:cs="Arial"/>
          <w:sz w:val="20"/>
          <w:szCs w:val="20"/>
        </w:rPr>
        <w:lastRenderedPageBreak/>
        <w:t xml:space="preserve">TITLE: </w:t>
      </w:r>
    </w:p>
    <w:p w:rsidR="00ED303D" w:rsidRPr="007C1D50" w:rsidRDefault="00ED303D" w:rsidP="00ED303D">
      <w:pPr>
        <w:rPr>
          <w:rFonts w:ascii="Arial" w:hAnsi="Arial" w:cs="Arial"/>
          <w:sz w:val="20"/>
          <w:szCs w:val="20"/>
        </w:rPr>
      </w:pPr>
    </w:p>
    <w:p w:rsidR="00ED303D" w:rsidRDefault="00ED303D" w:rsidP="00ED303D">
      <w:pPr>
        <w:pStyle w:val="First-OrderHeading"/>
        <w:numPr>
          <w:ilvl w:val="0"/>
          <w:numId w:val="21"/>
        </w:numPr>
        <w:tabs>
          <w:tab w:val="clear" w:pos="1080"/>
          <w:tab w:val="num" w:pos="0"/>
        </w:tabs>
        <w:ind w:left="0" w:firstLine="0"/>
        <w:rPr>
          <w:rFonts w:ascii="Arial" w:hAnsi="Arial" w:cs="Arial"/>
          <w:sz w:val="20"/>
        </w:rPr>
      </w:pPr>
      <w:r w:rsidRPr="007C1D50">
        <w:rPr>
          <w:rFonts w:ascii="Arial" w:hAnsi="Arial" w:cs="Arial"/>
          <w:sz w:val="20"/>
        </w:rPr>
        <w:t>Purpose</w:t>
      </w:r>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Vitamin B</w:t>
      </w:r>
      <w:r>
        <w:rPr>
          <w:rFonts w:ascii="Arial" w:hAnsi="Arial" w:cs="Arial"/>
          <w:b w:val="0"/>
          <w:caps w:val="0"/>
          <w:sz w:val="20"/>
          <w:vertAlign w:val="subscript"/>
        </w:rPr>
        <w:t>12</w:t>
      </w:r>
      <w:r>
        <w:rPr>
          <w:rFonts w:ascii="Arial" w:hAnsi="Arial" w:cs="Arial"/>
          <w:b w:val="0"/>
          <w:caps w:val="0"/>
          <w:sz w:val="20"/>
        </w:rPr>
        <w:t xml:space="preserve">, also referred to as cobalamin, is a complex organometallic compound in which a cobalt atom is situated within a </w:t>
      </w:r>
      <w:proofErr w:type="spellStart"/>
      <w:r>
        <w:rPr>
          <w:rFonts w:ascii="Arial" w:hAnsi="Arial" w:cs="Arial"/>
          <w:b w:val="0"/>
          <w:caps w:val="0"/>
          <w:sz w:val="20"/>
        </w:rPr>
        <w:t>corrin</w:t>
      </w:r>
      <w:proofErr w:type="spellEnd"/>
      <w:r>
        <w:rPr>
          <w:rFonts w:ascii="Arial" w:hAnsi="Arial" w:cs="Arial"/>
          <w:b w:val="0"/>
          <w:caps w:val="0"/>
          <w:sz w:val="20"/>
        </w:rPr>
        <w:t xml:space="preserve"> ring.  It is a water-soluble vitamin which is synthesized by microorganisms.  It cannot be synthesized in the human body and is seldom found in products of plant origin.  Main sources of vitamin B</w:t>
      </w:r>
      <w:r>
        <w:rPr>
          <w:rFonts w:ascii="Arial" w:hAnsi="Arial" w:cs="Arial"/>
          <w:b w:val="0"/>
          <w:caps w:val="0"/>
          <w:sz w:val="20"/>
          <w:vertAlign w:val="subscript"/>
        </w:rPr>
        <w:t>12</w:t>
      </w:r>
      <w:r>
        <w:rPr>
          <w:rFonts w:ascii="Arial" w:hAnsi="Arial" w:cs="Arial"/>
          <w:b w:val="0"/>
          <w:caps w:val="0"/>
          <w:sz w:val="20"/>
        </w:rPr>
        <w:t xml:space="preserve"> are meat, fish, eggs, and dairy </w:t>
      </w:r>
      <w:proofErr w:type="gramStart"/>
      <w:r>
        <w:rPr>
          <w:rFonts w:ascii="Arial" w:hAnsi="Arial" w:cs="Arial"/>
          <w:b w:val="0"/>
          <w:caps w:val="0"/>
          <w:sz w:val="20"/>
        </w:rPr>
        <w:t>products.</w:t>
      </w:r>
      <w:r>
        <w:rPr>
          <w:rFonts w:ascii="Arial" w:hAnsi="Arial" w:cs="Arial"/>
          <w:b w:val="0"/>
          <w:caps w:val="0"/>
          <w:sz w:val="20"/>
          <w:vertAlign w:val="superscript"/>
        </w:rPr>
        <w:t>1</w:t>
      </w:r>
      <w:r>
        <w:rPr>
          <w:rFonts w:ascii="Arial" w:hAnsi="Arial" w:cs="Arial"/>
          <w:b w:val="0"/>
          <w:caps w:val="0"/>
          <w:sz w:val="20"/>
        </w:rPr>
        <w:t xml:space="preserve">  The</w:t>
      </w:r>
      <w:proofErr w:type="gramEnd"/>
      <w:r>
        <w:rPr>
          <w:rFonts w:ascii="Arial" w:hAnsi="Arial" w:cs="Arial"/>
          <w:b w:val="0"/>
          <w:caps w:val="0"/>
          <w:sz w:val="20"/>
        </w:rPr>
        <w:t xml:space="preserve"> uptake in the gastrointestinal tract depends on intrinsic factor, which is synthesized by the gastric parietal cells, and on the “</w:t>
      </w:r>
      <w:proofErr w:type="spellStart"/>
      <w:r>
        <w:rPr>
          <w:rFonts w:ascii="Arial" w:hAnsi="Arial" w:cs="Arial"/>
          <w:b w:val="0"/>
          <w:caps w:val="0"/>
          <w:sz w:val="20"/>
        </w:rPr>
        <w:t>cubam</w:t>
      </w:r>
      <w:proofErr w:type="spellEnd"/>
      <w:r>
        <w:rPr>
          <w:rFonts w:ascii="Arial" w:hAnsi="Arial" w:cs="Arial"/>
          <w:b w:val="0"/>
          <w:caps w:val="0"/>
          <w:sz w:val="20"/>
        </w:rPr>
        <w:t xml:space="preserve"> receptor” in the distal ileum.  The most frequent cause of severe vitamin B</w:t>
      </w:r>
      <w:r>
        <w:rPr>
          <w:rFonts w:ascii="Arial" w:hAnsi="Arial" w:cs="Arial"/>
          <w:b w:val="0"/>
          <w:caps w:val="0"/>
          <w:sz w:val="20"/>
          <w:vertAlign w:val="subscript"/>
        </w:rPr>
        <w:t>12</w:t>
      </w:r>
      <w:r>
        <w:rPr>
          <w:rFonts w:ascii="Arial" w:hAnsi="Arial" w:cs="Arial"/>
          <w:b w:val="0"/>
          <w:caps w:val="0"/>
          <w:sz w:val="20"/>
        </w:rPr>
        <w:t xml:space="preserve"> deficiency is a lack of intrinsic factor due to autoimmune atrophic gastritis.  The disease is historically called “pernicious anemia: even though many patients present with mainly neurologic manifestations.  Examples of other causes for vitamin B</w:t>
      </w:r>
      <w:r>
        <w:rPr>
          <w:rFonts w:ascii="Arial" w:hAnsi="Arial" w:cs="Arial"/>
          <w:b w:val="0"/>
          <w:caps w:val="0"/>
          <w:sz w:val="20"/>
          <w:vertAlign w:val="subscript"/>
        </w:rPr>
        <w:t>12</w:t>
      </w:r>
      <w:r>
        <w:rPr>
          <w:rFonts w:ascii="Arial" w:hAnsi="Arial" w:cs="Arial"/>
          <w:b w:val="0"/>
          <w:caps w:val="0"/>
          <w:sz w:val="20"/>
        </w:rPr>
        <w:t>deficiency are malabsorption due to gastrectomy, inflammatory bowel disease or dietary deficiency, e.g. in strict vegetarians (vegans).</w:t>
      </w:r>
      <w:proofErr w:type="gramStart"/>
      <w:r>
        <w:rPr>
          <w:rFonts w:ascii="Arial" w:hAnsi="Arial" w:cs="Arial"/>
          <w:b w:val="0"/>
          <w:caps w:val="0"/>
          <w:sz w:val="20"/>
          <w:vertAlign w:val="superscript"/>
        </w:rPr>
        <w:t>2</w:t>
      </w:r>
      <w:r>
        <w:rPr>
          <w:rFonts w:ascii="Arial" w:hAnsi="Arial" w:cs="Arial"/>
          <w:b w:val="0"/>
          <w:caps w:val="0"/>
          <w:sz w:val="20"/>
        </w:rPr>
        <w:t xml:space="preserve">  Vitamin</w:t>
      </w:r>
      <w:proofErr w:type="gramEnd"/>
      <w:r>
        <w:rPr>
          <w:rFonts w:ascii="Arial" w:hAnsi="Arial" w:cs="Arial"/>
          <w:b w:val="0"/>
          <w:caps w:val="0"/>
          <w:sz w:val="20"/>
        </w:rPr>
        <w:t xml:space="preserve"> B</w:t>
      </w:r>
      <w:r>
        <w:rPr>
          <w:rFonts w:ascii="Arial" w:hAnsi="Arial" w:cs="Arial"/>
          <w:b w:val="0"/>
          <w:caps w:val="0"/>
          <w:sz w:val="20"/>
          <w:vertAlign w:val="subscript"/>
        </w:rPr>
        <w:t>12</w:t>
      </w:r>
      <w:r>
        <w:rPr>
          <w:rFonts w:ascii="Arial" w:hAnsi="Arial" w:cs="Arial"/>
          <w:b w:val="0"/>
          <w:caps w:val="0"/>
          <w:sz w:val="20"/>
        </w:rPr>
        <w:t xml:space="preserve"> is the cofactor for two enzymes, methionine synthase and </w:t>
      </w:r>
      <w:proofErr w:type="spellStart"/>
      <w:r>
        <w:rPr>
          <w:rFonts w:ascii="Arial" w:hAnsi="Arial" w:cs="Arial"/>
          <w:b w:val="0"/>
          <w:caps w:val="0"/>
          <w:sz w:val="20"/>
        </w:rPr>
        <w:t>methylmalonyl</w:t>
      </w:r>
      <w:proofErr w:type="spellEnd"/>
      <w:r>
        <w:rPr>
          <w:rFonts w:ascii="Arial" w:hAnsi="Arial" w:cs="Arial"/>
          <w:b w:val="0"/>
          <w:caps w:val="0"/>
          <w:sz w:val="20"/>
        </w:rPr>
        <w:t xml:space="preserve"> CoA mutase.</w:t>
      </w:r>
      <w:r>
        <w:rPr>
          <w:rFonts w:ascii="Arial" w:hAnsi="Arial" w:cs="Arial"/>
          <w:b w:val="0"/>
          <w:caps w:val="0"/>
          <w:sz w:val="20"/>
          <w:vertAlign w:val="superscript"/>
        </w:rPr>
        <w:t>2,3</w:t>
      </w:r>
      <w:r>
        <w:rPr>
          <w:rFonts w:ascii="Arial" w:hAnsi="Arial" w:cs="Arial"/>
          <w:b w:val="0"/>
          <w:caps w:val="0"/>
          <w:sz w:val="20"/>
        </w:rPr>
        <w:t xml:space="preserve">  Methionine synthase, located in the cytoplasm, requires vitamin B</w:t>
      </w:r>
      <w:r>
        <w:rPr>
          <w:rFonts w:ascii="Arial" w:hAnsi="Arial" w:cs="Arial"/>
          <w:b w:val="0"/>
          <w:caps w:val="0"/>
          <w:sz w:val="20"/>
          <w:vertAlign w:val="subscript"/>
        </w:rPr>
        <w:t>12</w:t>
      </w:r>
      <w:r>
        <w:rPr>
          <w:rFonts w:ascii="Arial" w:hAnsi="Arial" w:cs="Arial"/>
          <w:b w:val="0"/>
          <w:caps w:val="0"/>
          <w:sz w:val="20"/>
        </w:rPr>
        <w:t xml:space="preserve"> in the form of </w:t>
      </w:r>
      <w:proofErr w:type="spellStart"/>
      <w:r>
        <w:rPr>
          <w:rFonts w:ascii="Arial" w:hAnsi="Arial" w:cs="Arial"/>
          <w:b w:val="0"/>
          <w:caps w:val="0"/>
          <w:sz w:val="20"/>
        </w:rPr>
        <w:t>methylcobalamin</w:t>
      </w:r>
      <w:proofErr w:type="spellEnd"/>
      <w:r>
        <w:rPr>
          <w:rFonts w:ascii="Arial" w:hAnsi="Arial" w:cs="Arial"/>
          <w:b w:val="0"/>
          <w:caps w:val="0"/>
          <w:sz w:val="20"/>
        </w:rPr>
        <w:t xml:space="preserve"> and catalyzes the conversion of homocysteine to methionine, an essential amino acid.  During the step a methyl group is transferred from </w:t>
      </w:r>
      <w:proofErr w:type="spellStart"/>
      <w:r>
        <w:rPr>
          <w:rFonts w:ascii="Arial" w:hAnsi="Arial" w:cs="Arial"/>
          <w:b w:val="0"/>
          <w:caps w:val="0"/>
          <w:sz w:val="20"/>
        </w:rPr>
        <w:t>methyltetrahydrofolate</w:t>
      </w:r>
      <w:proofErr w:type="spellEnd"/>
      <w:r>
        <w:rPr>
          <w:rFonts w:ascii="Arial" w:hAnsi="Arial" w:cs="Arial"/>
          <w:b w:val="0"/>
          <w:caps w:val="0"/>
          <w:sz w:val="20"/>
        </w:rPr>
        <w:t xml:space="preserve"> to the amino </w:t>
      </w:r>
      <w:proofErr w:type="gramStart"/>
      <w:r>
        <w:rPr>
          <w:rFonts w:ascii="Arial" w:hAnsi="Arial" w:cs="Arial"/>
          <w:b w:val="0"/>
          <w:caps w:val="0"/>
          <w:sz w:val="20"/>
        </w:rPr>
        <w:t>acid.</w:t>
      </w:r>
      <w:r>
        <w:rPr>
          <w:rFonts w:ascii="Arial" w:hAnsi="Arial" w:cs="Arial"/>
          <w:b w:val="0"/>
          <w:caps w:val="0"/>
          <w:sz w:val="20"/>
          <w:vertAlign w:val="superscript"/>
        </w:rPr>
        <w:t>3</w:t>
      </w:r>
      <w:r>
        <w:rPr>
          <w:rFonts w:ascii="Arial" w:hAnsi="Arial" w:cs="Arial"/>
          <w:b w:val="0"/>
          <w:caps w:val="0"/>
          <w:sz w:val="20"/>
        </w:rPr>
        <w:t xml:space="preserve">  This</w:t>
      </w:r>
      <w:proofErr w:type="gramEnd"/>
      <w:r>
        <w:rPr>
          <w:rFonts w:ascii="Arial" w:hAnsi="Arial" w:cs="Arial"/>
          <w:b w:val="0"/>
          <w:caps w:val="0"/>
          <w:sz w:val="20"/>
        </w:rPr>
        <w:t xml:space="preserve"> enzyme links the methylation pathway through synthesis of the methyl donor S-</w:t>
      </w:r>
      <w:proofErr w:type="spellStart"/>
      <w:r>
        <w:rPr>
          <w:rFonts w:ascii="Arial" w:hAnsi="Arial" w:cs="Arial"/>
          <w:b w:val="0"/>
          <w:caps w:val="0"/>
          <w:sz w:val="20"/>
        </w:rPr>
        <w:t>Adenosyl</w:t>
      </w:r>
      <w:proofErr w:type="spellEnd"/>
      <w:r>
        <w:rPr>
          <w:rFonts w:ascii="Arial" w:hAnsi="Arial" w:cs="Arial"/>
          <w:b w:val="0"/>
          <w:caps w:val="0"/>
          <w:sz w:val="20"/>
        </w:rPr>
        <w:t xml:space="preserve"> methionine and the pathway in which purine and pyrimidine are synthesized via generation of tetrahydrofolate.</w:t>
      </w:r>
      <w:r>
        <w:rPr>
          <w:rFonts w:ascii="Arial" w:hAnsi="Arial" w:cs="Arial"/>
          <w:b w:val="0"/>
          <w:caps w:val="0"/>
          <w:sz w:val="20"/>
          <w:vertAlign w:val="superscript"/>
        </w:rPr>
        <w:t>3</w:t>
      </w:r>
      <w:r>
        <w:rPr>
          <w:rFonts w:ascii="Arial" w:hAnsi="Arial" w:cs="Arial"/>
          <w:b w:val="0"/>
          <w:caps w:val="0"/>
          <w:sz w:val="20"/>
        </w:rPr>
        <w:t xml:space="preserve">  In the form of 5’-deoxyadenosylcobalamin, vitamin B</w:t>
      </w:r>
      <w:r>
        <w:rPr>
          <w:rFonts w:ascii="Arial" w:hAnsi="Arial" w:cs="Arial"/>
          <w:b w:val="0"/>
          <w:caps w:val="0"/>
          <w:sz w:val="20"/>
          <w:vertAlign w:val="subscript"/>
        </w:rPr>
        <w:t>12</w:t>
      </w:r>
      <w:r>
        <w:rPr>
          <w:rFonts w:ascii="Arial" w:hAnsi="Arial" w:cs="Arial"/>
          <w:b w:val="0"/>
          <w:caps w:val="0"/>
          <w:sz w:val="20"/>
        </w:rPr>
        <w:t xml:space="preserve"> is also required for the mitochondrial enzyme </w:t>
      </w:r>
      <w:proofErr w:type="spellStart"/>
      <w:r>
        <w:rPr>
          <w:rFonts w:ascii="Arial" w:hAnsi="Arial" w:cs="Arial"/>
          <w:b w:val="0"/>
          <w:caps w:val="0"/>
          <w:sz w:val="20"/>
        </w:rPr>
        <w:t>methylmalonyl</w:t>
      </w:r>
      <w:proofErr w:type="spellEnd"/>
      <w:r>
        <w:rPr>
          <w:rFonts w:ascii="Arial" w:hAnsi="Arial" w:cs="Arial"/>
          <w:b w:val="0"/>
          <w:caps w:val="0"/>
          <w:sz w:val="20"/>
        </w:rPr>
        <w:t xml:space="preserve"> CoA mutase, which converts </w:t>
      </w:r>
      <w:proofErr w:type="spellStart"/>
      <w:r>
        <w:rPr>
          <w:rFonts w:ascii="Arial" w:hAnsi="Arial" w:cs="Arial"/>
          <w:b w:val="0"/>
          <w:caps w:val="0"/>
          <w:sz w:val="20"/>
        </w:rPr>
        <w:t>methylmalonyl</w:t>
      </w:r>
      <w:proofErr w:type="spellEnd"/>
      <w:r>
        <w:rPr>
          <w:rFonts w:ascii="Arial" w:hAnsi="Arial" w:cs="Arial"/>
          <w:b w:val="0"/>
          <w:caps w:val="0"/>
          <w:sz w:val="20"/>
        </w:rPr>
        <w:t xml:space="preserve"> CoA to </w:t>
      </w:r>
      <w:proofErr w:type="spellStart"/>
      <w:r>
        <w:rPr>
          <w:rFonts w:ascii="Arial" w:hAnsi="Arial" w:cs="Arial"/>
          <w:b w:val="0"/>
          <w:caps w:val="0"/>
          <w:sz w:val="20"/>
        </w:rPr>
        <w:t>succinyl</w:t>
      </w:r>
      <w:proofErr w:type="spellEnd"/>
      <w:r>
        <w:rPr>
          <w:rFonts w:ascii="Arial" w:hAnsi="Arial" w:cs="Arial"/>
          <w:b w:val="0"/>
          <w:caps w:val="0"/>
          <w:sz w:val="20"/>
        </w:rPr>
        <w:t xml:space="preserve"> CoA.  This step in the oxidation of odd-chain fatty acids and catabolism of ketogenic amino </w:t>
      </w:r>
      <w:proofErr w:type="gramStart"/>
      <w:r>
        <w:rPr>
          <w:rFonts w:ascii="Arial" w:hAnsi="Arial" w:cs="Arial"/>
          <w:b w:val="0"/>
          <w:caps w:val="0"/>
          <w:sz w:val="20"/>
        </w:rPr>
        <w:t>acids.</w:t>
      </w:r>
      <w:r>
        <w:rPr>
          <w:rFonts w:ascii="Arial" w:hAnsi="Arial" w:cs="Arial"/>
          <w:b w:val="0"/>
          <w:caps w:val="0"/>
          <w:sz w:val="20"/>
          <w:vertAlign w:val="superscript"/>
        </w:rPr>
        <w:t>3</w:t>
      </w:r>
      <w:r>
        <w:rPr>
          <w:rFonts w:ascii="Arial" w:hAnsi="Arial" w:cs="Arial"/>
          <w:b w:val="0"/>
          <w:caps w:val="0"/>
          <w:sz w:val="20"/>
        </w:rPr>
        <w:t xml:space="preserve">  Thus</w:t>
      </w:r>
      <w:proofErr w:type="gramEnd"/>
      <w:r>
        <w:rPr>
          <w:rFonts w:ascii="Arial" w:hAnsi="Arial" w:cs="Arial"/>
          <w:b w:val="0"/>
          <w:caps w:val="0"/>
          <w:sz w:val="20"/>
        </w:rPr>
        <w:t>, vitamin B</w:t>
      </w:r>
      <w:r>
        <w:rPr>
          <w:rFonts w:ascii="Arial" w:hAnsi="Arial" w:cs="Arial"/>
          <w:b w:val="0"/>
          <w:caps w:val="0"/>
          <w:sz w:val="20"/>
          <w:vertAlign w:val="subscript"/>
        </w:rPr>
        <w:t>12</w:t>
      </w:r>
      <w:r>
        <w:rPr>
          <w:rFonts w:ascii="Arial" w:hAnsi="Arial" w:cs="Arial"/>
          <w:b w:val="0"/>
          <w:caps w:val="0"/>
          <w:sz w:val="20"/>
        </w:rPr>
        <w:t xml:space="preserve"> is important for DNA synthesis, regenerating methionine for protein synthesis and methylation, as well as for the development and initial myelination of the central nervous system (CNS) and for the maintenance of normal CNS function.</w:t>
      </w:r>
      <w:r>
        <w:rPr>
          <w:rFonts w:ascii="Arial" w:hAnsi="Arial" w:cs="Arial"/>
          <w:b w:val="0"/>
          <w:caps w:val="0"/>
          <w:sz w:val="20"/>
          <w:vertAlign w:val="superscript"/>
        </w:rPr>
        <w:t>2,3</w:t>
      </w:r>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Vitamin B</w:t>
      </w:r>
      <w:r>
        <w:rPr>
          <w:rFonts w:ascii="Arial" w:hAnsi="Arial" w:cs="Arial"/>
          <w:b w:val="0"/>
          <w:caps w:val="0"/>
          <w:sz w:val="20"/>
          <w:vertAlign w:val="subscript"/>
        </w:rPr>
        <w:t>12</w:t>
      </w:r>
      <w:r>
        <w:rPr>
          <w:rFonts w:ascii="Arial" w:hAnsi="Arial" w:cs="Arial"/>
          <w:b w:val="0"/>
          <w:caps w:val="0"/>
          <w:sz w:val="20"/>
        </w:rPr>
        <w:t xml:space="preserve"> deficiencies are common in wealthier countries principally among the elderly and the most prevalent in poorer populations.  In general the prevalence increases with age.</w:t>
      </w:r>
      <w:r>
        <w:rPr>
          <w:rFonts w:ascii="Arial" w:hAnsi="Arial" w:cs="Arial"/>
          <w:b w:val="0"/>
          <w:caps w:val="0"/>
          <w:sz w:val="20"/>
          <w:vertAlign w:val="superscript"/>
        </w:rPr>
        <w:t>4</w:t>
      </w:r>
      <w:proofErr w:type="gramStart"/>
      <w:r>
        <w:rPr>
          <w:rFonts w:ascii="Arial" w:hAnsi="Arial" w:cs="Arial"/>
          <w:b w:val="0"/>
          <w:caps w:val="0"/>
          <w:sz w:val="20"/>
          <w:vertAlign w:val="superscript"/>
        </w:rPr>
        <w:t>,5</w:t>
      </w:r>
      <w:proofErr w:type="gramEnd"/>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Vitamin B</w:t>
      </w:r>
      <w:r>
        <w:rPr>
          <w:rFonts w:ascii="Arial" w:hAnsi="Arial" w:cs="Arial"/>
          <w:b w:val="0"/>
          <w:caps w:val="0"/>
          <w:sz w:val="20"/>
          <w:vertAlign w:val="subscript"/>
        </w:rPr>
        <w:t>12</w:t>
      </w:r>
      <w:r>
        <w:rPr>
          <w:rFonts w:ascii="Arial" w:hAnsi="Arial" w:cs="Arial"/>
          <w:b w:val="0"/>
          <w:caps w:val="0"/>
          <w:sz w:val="20"/>
        </w:rPr>
        <w:t xml:space="preserve"> deficiency impacts red blood cell synthesis, resulting in megaloblastic anemia due to abnormal DNA synthesis.</w:t>
      </w:r>
      <w:r>
        <w:rPr>
          <w:rFonts w:ascii="Arial" w:hAnsi="Arial" w:cs="Arial"/>
          <w:b w:val="0"/>
          <w:caps w:val="0"/>
          <w:sz w:val="20"/>
          <w:vertAlign w:val="superscript"/>
        </w:rPr>
        <w:t>3</w:t>
      </w:r>
      <w:r>
        <w:rPr>
          <w:rFonts w:ascii="Arial" w:hAnsi="Arial" w:cs="Arial"/>
          <w:b w:val="0"/>
          <w:caps w:val="0"/>
          <w:sz w:val="20"/>
        </w:rPr>
        <w:t xml:space="preserve">  In addition it impairs neurological function, in particular demyelination of nerves in part due to abnormal methylation, leading to peripheral neuropathy, dementia, poor cognitive performance, and depression.</w:t>
      </w:r>
      <w:r>
        <w:rPr>
          <w:rFonts w:ascii="Arial" w:hAnsi="Arial" w:cs="Arial"/>
          <w:b w:val="0"/>
          <w:caps w:val="0"/>
          <w:sz w:val="20"/>
          <w:vertAlign w:val="superscript"/>
        </w:rPr>
        <w:t>3</w:t>
      </w:r>
      <w:r>
        <w:rPr>
          <w:rFonts w:ascii="Arial" w:hAnsi="Arial" w:cs="Arial"/>
          <w:b w:val="0"/>
          <w:caps w:val="0"/>
          <w:sz w:val="20"/>
        </w:rPr>
        <w:t xml:space="preserve">  Other effects of vitamin B</w:t>
      </w:r>
      <w:r>
        <w:rPr>
          <w:rFonts w:ascii="Arial" w:hAnsi="Arial" w:cs="Arial"/>
          <w:b w:val="0"/>
          <w:caps w:val="0"/>
          <w:sz w:val="20"/>
          <w:vertAlign w:val="subscript"/>
        </w:rPr>
        <w:t>12</w:t>
      </w:r>
      <w:r>
        <w:rPr>
          <w:rFonts w:ascii="Arial" w:hAnsi="Arial" w:cs="Arial"/>
          <w:b w:val="0"/>
          <w:caps w:val="0"/>
          <w:sz w:val="20"/>
        </w:rPr>
        <w:t xml:space="preserve"> deficiency or depletion are increased risk of neural tube defects, osteoporosis, cerebrovascular and cardiovascular diseases.</w:t>
      </w:r>
      <w:r>
        <w:rPr>
          <w:rFonts w:ascii="Arial" w:hAnsi="Arial" w:cs="Arial"/>
          <w:b w:val="0"/>
          <w:caps w:val="0"/>
          <w:sz w:val="20"/>
          <w:vertAlign w:val="superscript"/>
        </w:rPr>
        <w:t>3</w:t>
      </w:r>
      <w:r>
        <w:rPr>
          <w:rFonts w:ascii="Arial" w:hAnsi="Arial" w:cs="Arial"/>
          <w:b w:val="0"/>
          <w:caps w:val="0"/>
          <w:sz w:val="20"/>
        </w:rPr>
        <w:t xml:space="preserve">  Early diagnosis is essential, because of the latent nature of this disorder and the risk of permanent neurological damage.</w:t>
      </w:r>
      <w:r>
        <w:rPr>
          <w:rFonts w:ascii="Arial" w:hAnsi="Arial" w:cs="Arial"/>
          <w:b w:val="0"/>
          <w:caps w:val="0"/>
          <w:sz w:val="20"/>
          <w:vertAlign w:val="superscript"/>
        </w:rPr>
        <w:t>3,5</w:t>
      </w:r>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Generally, the primary test performed to confirm the diagnosis of vitamin B</w:t>
      </w:r>
      <w:r>
        <w:rPr>
          <w:rFonts w:ascii="Arial" w:hAnsi="Arial" w:cs="Arial"/>
          <w:b w:val="0"/>
          <w:caps w:val="0"/>
          <w:sz w:val="20"/>
          <w:vertAlign w:val="subscript"/>
        </w:rPr>
        <w:t>12</w:t>
      </w:r>
      <w:r>
        <w:rPr>
          <w:rFonts w:ascii="Arial" w:hAnsi="Arial" w:cs="Arial"/>
          <w:b w:val="0"/>
          <w:caps w:val="0"/>
          <w:sz w:val="20"/>
        </w:rPr>
        <w:t xml:space="preserve"> deficiency is measurement of serum vitamin B</w:t>
      </w:r>
      <w:r>
        <w:rPr>
          <w:rFonts w:ascii="Arial" w:hAnsi="Arial" w:cs="Arial"/>
          <w:b w:val="0"/>
          <w:caps w:val="0"/>
          <w:sz w:val="20"/>
          <w:vertAlign w:val="subscript"/>
        </w:rPr>
        <w:t>12</w:t>
      </w:r>
      <w:r>
        <w:rPr>
          <w:rFonts w:ascii="Arial" w:hAnsi="Arial" w:cs="Arial"/>
          <w:b w:val="0"/>
          <w:caps w:val="0"/>
          <w:sz w:val="20"/>
        </w:rPr>
        <w:t xml:space="preserve"> level.</w:t>
      </w:r>
      <w:r>
        <w:rPr>
          <w:rFonts w:ascii="Arial" w:hAnsi="Arial" w:cs="Arial"/>
          <w:b w:val="0"/>
          <w:caps w:val="0"/>
          <w:sz w:val="20"/>
          <w:vertAlign w:val="superscript"/>
        </w:rPr>
        <w:t>2</w:t>
      </w:r>
      <w:r>
        <w:rPr>
          <w:rFonts w:ascii="Arial" w:hAnsi="Arial" w:cs="Arial"/>
          <w:b w:val="0"/>
          <w:caps w:val="0"/>
          <w:sz w:val="20"/>
        </w:rPr>
        <w:t xml:space="preserve">  Recent publications suggest that in addition the following biomarkers should be measured to improve the specificity of diagnosis: folate, </w:t>
      </w:r>
      <w:proofErr w:type="spellStart"/>
      <w:r>
        <w:rPr>
          <w:rFonts w:ascii="Arial" w:hAnsi="Arial" w:cs="Arial"/>
          <w:b w:val="0"/>
          <w:caps w:val="0"/>
          <w:sz w:val="20"/>
        </w:rPr>
        <w:t>methylmalonic</w:t>
      </w:r>
      <w:proofErr w:type="spellEnd"/>
      <w:r>
        <w:rPr>
          <w:rFonts w:ascii="Arial" w:hAnsi="Arial" w:cs="Arial"/>
          <w:b w:val="0"/>
          <w:caps w:val="0"/>
          <w:sz w:val="20"/>
        </w:rPr>
        <w:t xml:space="preserve"> acid (MMA), homocysteine, and holotranscobalamin.</w:t>
      </w:r>
      <w:r>
        <w:rPr>
          <w:rFonts w:ascii="Arial" w:hAnsi="Arial" w:cs="Arial"/>
          <w:b w:val="0"/>
          <w:caps w:val="0"/>
          <w:sz w:val="20"/>
          <w:vertAlign w:val="superscript"/>
        </w:rPr>
        <w:t>2,5,6,7</w:t>
      </w:r>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The </w:t>
      </w:r>
      <w:proofErr w:type="spellStart"/>
      <w:r>
        <w:rPr>
          <w:rFonts w:ascii="Arial" w:hAnsi="Arial" w:cs="Arial"/>
          <w:b w:val="0"/>
          <w:caps w:val="0"/>
          <w:sz w:val="20"/>
        </w:rPr>
        <w:t>Elecsys</w:t>
      </w:r>
      <w:proofErr w:type="spellEnd"/>
      <w:r>
        <w:rPr>
          <w:rFonts w:ascii="Arial" w:hAnsi="Arial" w:cs="Arial"/>
          <w:b w:val="0"/>
          <w:caps w:val="0"/>
          <w:sz w:val="20"/>
        </w:rPr>
        <w:t xml:space="preserve"> Vitamin B12 II assay employs a competitive test principle using intrinsic factor specific for vitamin B</w:t>
      </w:r>
      <w:r>
        <w:rPr>
          <w:rFonts w:ascii="Arial" w:hAnsi="Arial" w:cs="Arial"/>
          <w:b w:val="0"/>
          <w:caps w:val="0"/>
          <w:sz w:val="20"/>
          <w:vertAlign w:val="subscript"/>
        </w:rPr>
        <w:t>12</w:t>
      </w:r>
      <w:r>
        <w:rPr>
          <w:rFonts w:ascii="Arial" w:hAnsi="Arial" w:cs="Arial"/>
          <w:b w:val="0"/>
          <w:caps w:val="0"/>
          <w:sz w:val="20"/>
        </w:rPr>
        <w:t>.  Vitamin B</w:t>
      </w:r>
      <w:r>
        <w:rPr>
          <w:rFonts w:ascii="Arial" w:hAnsi="Arial" w:cs="Arial"/>
          <w:b w:val="0"/>
          <w:caps w:val="0"/>
          <w:sz w:val="20"/>
          <w:vertAlign w:val="subscript"/>
        </w:rPr>
        <w:t>12</w:t>
      </w:r>
      <w:r>
        <w:rPr>
          <w:rFonts w:ascii="Arial" w:hAnsi="Arial" w:cs="Arial"/>
          <w:b w:val="0"/>
          <w:caps w:val="0"/>
          <w:sz w:val="20"/>
        </w:rPr>
        <w:t xml:space="preserve"> in the sample competes with the added vitamin B</w:t>
      </w:r>
      <w:r>
        <w:rPr>
          <w:rFonts w:ascii="Arial" w:hAnsi="Arial" w:cs="Arial"/>
          <w:b w:val="0"/>
          <w:caps w:val="0"/>
          <w:sz w:val="20"/>
          <w:vertAlign w:val="subscript"/>
        </w:rPr>
        <w:t>12</w:t>
      </w:r>
      <w:r>
        <w:rPr>
          <w:rFonts w:ascii="Arial" w:hAnsi="Arial" w:cs="Arial"/>
          <w:b w:val="0"/>
          <w:caps w:val="0"/>
          <w:sz w:val="20"/>
        </w:rPr>
        <w:t xml:space="preserve"> labeled with biotin for the binding sites on the ruthenium-labeled intrinsic factor </w:t>
      </w:r>
      <w:proofErr w:type="spellStart"/>
      <w:r>
        <w:rPr>
          <w:rFonts w:ascii="Arial" w:hAnsi="Arial" w:cs="Arial"/>
          <w:b w:val="0"/>
          <w:caps w:val="0"/>
          <w:sz w:val="20"/>
        </w:rPr>
        <w:t>complex</w:t>
      </w:r>
      <w:r>
        <w:rPr>
          <w:rFonts w:ascii="Arial" w:hAnsi="Arial" w:cs="Arial"/>
          <w:b w:val="0"/>
          <w:caps w:val="0"/>
          <w:sz w:val="20"/>
          <w:vertAlign w:val="superscript"/>
        </w:rPr>
        <w:t>a</w:t>
      </w:r>
      <w:proofErr w:type="spellEnd"/>
      <w:r>
        <w:rPr>
          <w:rFonts w:ascii="Arial" w:hAnsi="Arial" w:cs="Arial"/>
          <w:b w:val="0"/>
          <w:caps w:val="0"/>
          <w:sz w:val="20"/>
          <w:vertAlign w:val="superscript"/>
        </w:rPr>
        <w:t>)</w:t>
      </w:r>
      <w:r>
        <w:rPr>
          <w:rFonts w:ascii="Arial" w:hAnsi="Arial" w:cs="Arial"/>
          <w:b w:val="0"/>
          <w:caps w:val="0"/>
          <w:sz w:val="20"/>
        </w:rPr>
        <w:t>.</w:t>
      </w:r>
    </w:p>
    <w:p w:rsidR="00ED303D" w:rsidRPr="00AD21DB" w:rsidRDefault="00ED303D" w:rsidP="00ED303D">
      <w:pPr>
        <w:pStyle w:val="First-OrderHeading"/>
        <w:numPr>
          <w:ilvl w:val="0"/>
          <w:numId w:val="0"/>
        </w:numPr>
        <w:ind w:left="720"/>
        <w:rPr>
          <w:rFonts w:ascii="Arial" w:hAnsi="Arial" w:cs="Arial"/>
          <w:b w:val="0"/>
          <w:caps w:val="0"/>
          <w:sz w:val="20"/>
          <w:vertAlign w:val="subscript"/>
        </w:rPr>
      </w:pPr>
      <w:proofErr w:type="gramStart"/>
      <w:r>
        <w:rPr>
          <w:rFonts w:ascii="Arial" w:hAnsi="Arial" w:cs="Arial"/>
          <w:b w:val="0"/>
          <w:caps w:val="0"/>
          <w:sz w:val="20"/>
          <w:vertAlign w:val="subscript"/>
        </w:rPr>
        <w:t>a)</w:t>
      </w:r>
      <w:proofErr w:type="spellStart"/>
      <w:proofErr w:type="gramEnd"/>
      <w:r>
        <w:rPr>
          <w:rFonts w:ascii="Arial" w:hAnsi="Arial" w:cs="Arial"/>
          <w:b w:val="0"/>
          <w:caps w:val="0"/>
          <w:sz w:val="20"/>
          <w:vertAlign w:val="subscript"/>
        </w:rPr>
        <w:t>Tris</w:t>
      </w:r>
      <w:proofErr w:type="spellEnd"/>
      <w:r>
        <w:rPr>
          <w:rFonts w:ascii="Arial" w:hAnsi="Arial" w:cs="Arial"/>
          <w:b w:val="0"/>
          <w:caps w:val="0"/>
          <w:sz w:val="20"/>
          <w:vertAlign w:val="subscript"/>
        </w:rPr>
        <w:t>(2,2’-bipyridyl)ruthenium(II)-complex(Ru(</w:t>
      </w:r>
      <w:proofErr w:type="spellStart"/>
      <w:r>
        <w:rPr>
          <w:rFonts w:ascii="Arial" w:hAnsi="Arial" w:cs="Arial"/>
          <w:b w:val="0"/>
          <w:caps w:val="0"/>
          <w:sz w:val="20"/>
          <w:vertAlign w:val="subscript"/>
        </w:rPr>
        <w:t>bpy</w:t>
      </w:r>
      <w:proofErr w:type="spellEnd"/>
      <w:r>
        <w:rPr>
          <w:rFonts w:ascii="Arial" w:hAnsi="Arial" w:cs="Arial"/>
          <w:b w:val="0"/>
          <w:caps w:val="0"/>
          <w:sz w:val="20"/>
          <w:vertAlign w:val="subscript"/>
        </w:rPr>
        <w:t>)3</w:t>
      </w:r>
      <w:r>
        <w:rPr>
          <w:rFonts w:ascii="Arial" w:hAnsi="Arial" w:cs="Arial"/>
          <w:b w:val="0"/>
          <w:caps w:val="0"/>
          <w:sz w:val="20"/>
          <w:vertAlign w:val="superscript"/>
        </w:rPr>
        <w:t>2+</w:t>
      </w:r>
      <w:r>
        <w:rPr>
          <w:rFonts w:ascii="Arial" w:hAnsi="Arial" w:cs="Arial"/>
          <w:b w:val="0"/>
          <w:caps w:val="0"/>
          <w:sz w:val="20"/>
          <w:vertAlign w:val="subscript"/>
        </w:rPr>
        <w:t>)</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TEST PRINCIPLE</w:t>
      </w:r>
    </w:p>
    <w:p w:rsidR="00ED303D" w:rsidRDefault="00ED303D" w:rsidP="00ED303D">
      <w:pPr>
        <w:pStyle w:val="First-OrderHeading"/>
        <w:numPr>
          <w:ilvl w:val="0"/>
          <w:numId w:val="0"/>
        </w:numPr>
        <w:ind w:left="720"/>
        <w:rPr>
          <w:rFonts w:ascii="Arial" w:hAnsi="Arial" w:cs="Arial"/>
          <w:b w:val="0"/>
          <w:caps w:val="0"/>
          <w:sz w:val="20"/>
        </w:rPr>
      </w:pPr>
      <w:proofErr w:type="gramStart"/>
      <w:r>
        <w:rPr>
          <w:rFonts w:ascii="Arial" w:hAnsi="Arial" w:cs="Arial"/>
          <w:b w:val="0"/>
          <w:caps w:val="0"/>
          <w:sz w:val="20"/>
        </w:rPr>
        <w:t>Competition principle.</w:t>
      </w:r>
      <w:proofErr w:type="gramEnd"/>
      <w:r>
        <w:rPr>
          <w:rFonts w:ascii="Arial" w:hAnsi="Arial" w:cs="Arial"/>
          <w:b w:val="0"/>
          <w:caps w:val="0"/>
          <w:sz w:val="20"/>
        </w:rPr>
        <w:t xml:space="preserve">  Total duration of assay: 27 minutes.</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lastRenderedPageBreak/>
        <w:t>1</w:t>
      </w:r>
      <w:r>
        <w:rPr>
          <w:rFonts w:ascii="Arial" w:hAnsi="Arial" w:cs="Arial"/>
          <w:b w:val="0"/>
          <w:caps w:val="0"/>
          <w:sz w:val="20"/>
          <w:vertAlign w:val="superscript"/>
        </w:rPr>
        <w:t>st</w:t>
      </w:r>
      <w:r>
        <w:rPr>
          <w:rFonts w:ascii="Arial" w:hAnsi="Arial" w:cs="Arial"/>
          <w:b w:val="0"/>
          <w:caps w:val="0"/>
          <w:sz w:val="20"/>
        </w:rPr>
        <w:t xml:space="preserve"> incubation: By incubation the sample (15 </w:t>
      </w:r>
      <w:proofErr w:type="spellStart"/>
      <w:r>
        <w:rPr>
          <w:rFonts w:ascii="Arial" w:hAnsi="Arial" w:cs="Arial"/>
          <w:b w:val="0"/>
          <w:caps w:val="0"/>
          <w:sz w:val="20"/>
        </w:rPr>
        <w:t>uL</w:t>
      </w:r>
      <w:proofErr w:type="spellEnd"/>
      <w:r>
        <w:rPr>
          <w:rFonts w:ascii="Arial" w:hAnsi="Arial" w:cs="Arial"/>
          <w:b w:val="0"/>
          <w:caps w:val="0"/>
          <w:sz w:val="20"/>
        </w:rPr>
        <w:t>) with the vitamin B</w:t>
      </w:r>
      <w:r>
        <w:rPr>
          <w:rFonts w:ascii="Arial" w:hAnsi="Arial" w:cs="Arial"/>
          <w:b w:val="0"/>
          <w:caps w:val="0"/>
          <w:sz w:val="20"/>
          <w:vertAlign w:val="subscript"/>
        </w:rPr>
        <w:t>12</w:t>
      </w:r>
      <w:r>
        <w:rPr>
          <w:rFonts w:ascii="Arial" w:hAnsi="Arial" w:cs="Arial"/>
          <w:b w:val="0"/>
          <w:caps w:val="0"/>
          <w:sz w:val="20"/>
        </w:rPr>
        <w:t xml:space="preserve"> pretreatment 1 and pretreatment 2, bound vitamin B</w:t>
      </w:r>
      <w:r>
        <w:rPr>
          <w:rFonts w:ascii="Arial" w:hAnsi="Arial" w:cs="Arial"/>
          <w:b w:val="0"/>
          <w:caps w:val="0"/>
          <w:sz w:val="20"/>
          <w:vertAlign w:val="subscript"/>
        </w:rPr>
        <w:t>12</w:t>
      </w:r>
      <w:r>
        <w:rPr>
          <w:rFonts w:ascii="Arial" w:hAnsi="Arial" w:cs="Arial"/>
          <w:b w:val="0"/>
          <w:caps w:val="0"/>
          <w:sz w:val="20"/>
        </w:rPr>
        <w:t xml:space="preserve"> is released.</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2</w:t>
      </w:r>
      <w:r>
        <w:rPr>
          <w:rFonts w:ascii="Arial" w:hAnsi="Arial" w:cs="Arial"/>
          <w:b w:val="0"/>
          <w:caps w:val="0"/>
          <w:sz w:val="20"/>
          <w:vertAlign w:val="superscript"/>
        </w:rPr>
        <w:t>nd</w:t>
      </w:r>
      <w:r>
        <w:rPr>
          <w:rFonts w:ascii="Arial" w:hAnsi="Arial" w:cs="Arial"/>
          <w:b w:val="0"/>
          <w:caps w:val="0"/>
          <w:sz w:val="20"/>
        </w:rPr>
        <w:t xml:space="preserve"> incubation: By incubating the pretreated sample with the ruthenium labeled intrinsic factor, a vitamin B</w:t>
      </w:r>
      <w:r>
        <w:rPr>
          <w:rFonts w:ascii="Arial" w:hAnsi="Arial" w:cs="Arial"/>
          <w:b w:val="0"/>
          <w:caps w:val="0"/>
          <w:sz w:val="20"/>
          <w:vertAlign w:val="subscript"/>
        </w:rPr>
        <w:t>12</w:t>
      </w:r>
      <w:r>
        <w:rPr>
          <w:rFonts w:ascii="Arial" w:hAnsi="Arial" w:cs="Arial"/>
          <w:b w:val="0"/>
          <w:caps w:val="0"/>
          <w:sz w:val="20"/>
        </w:rPr>
        <w:t>-binding protein complex is formed, the amount of which is dependent upon the analyte concentration in the sample.</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3</w:t>
      </w:r>
      <w:r>
        <w:rPr>
          <w:rFonts w:ascii="Arial" w:hAnsi="Arial" w:cs="Arial"/>
          <w:b w:val="0"/>
          <w:caps w:val="0"/>
          <w:sz w:val="20"/>
          <w:vertAlign w:val="superscript"/>
        </w:rPr>
        <w:t>rd</w:t>
      </w:r>
      <w:r>
        <w:rPr>
          <w:rFonts w:ascii="Arial" w:hAnsi="Arial" w:cs="Arial"/>
          <w:b w:val="0"/>
          <w:caps w:val="0"/>
          <w:sz w:val="20"/>
        </w:rPr>
        <w:t xml:space="preserve"> incubation: After addition of streptavidin-coated </w:t>
      </w:r>
      <w:proofErr w:type="spellStart"/>
      <w:r>
        <w:rPr>
          <w:rFonts w:ascii="Arial" w:hAnsi="Arial" w:cs="Arial"/>
          <w:b w:val="0"/>
          <w:caps w:val="0"/>
          <w:sz w:val="20"/>
        </w:rPr>
        <w:t>microparticles</w:t>
      </w:r>
      <w:proofErr w:type="spellEnd"/>
      <w:r>
        <w:rPr>
          <w:rFonts w:ascii="Arial" w:hAnsi="Arial" w:cs="Arial"/>
          <w:b w:val="0"/>
          <w:caps w:val="0"/>
          <w:sz w:val="20"/>
        </w:rPr>
        <w:t xml:space="preserve"> and vitamin B</w:t>
      </w:r>
      <w:r>
        <w:rPr>
          <w:rFonts w:ascii="Arial" w:hAnsi="Arial" w:cs="Arial"/>
          <w:b w:val="0"/>
          <w:caps w:val="0"/>
          <w:sz w:val="20"/>
          <w:vertAlign w:val="subscript"/>
        </w:rPr>
        <w:t>12</w:t>
      </w:r>
      <w:r>
        <w:rPr>
          <w:rFonts w:ascii="Arial" w:hAnsi="Arial" w:cs="Arial"/>
          <w:b w:val="0"/>
          <w:caps w:val="0"/>
          <w:sz w:val="20"/>
        </w:rPr>
        <w:t xml:space="preserve"> labeled with biotin, the still vacant sites of the ruthenium labeled intrinsic factor become occupied, with formation of a ruthenium labeled intrinsic factor vitamin B</w:t>
      </w:r>
      <w:r>
        <w:rPr>
          <w:rFonts w:ascii="Arial" w:hAnsi="Arial" w:cs="Arial"/>
          <w:b w:val="0"/>
          <w:caps w:val="0"/>
          <w:sz w:val="20"/>
          <w:vertAlign w:val="subscript"/>
        </w:rPr>
        <w:t>12</w:t>
      </w:r>
      <w:r>
        <w:rPr>
          <w:rFonts w:ascii="Arial" w:hAnsi="Arial" w:cs="Arial"/>
          <w:b w:val="0"/>
          <w:caps w:val="0"/>
          <w:sz w:val="20"/>
        </w:rPr>
        <w:t xml:space="preserve"> biotin complex.  The entire complex becomes bound to the solid phase via interaction of biotin and streptavidin.  </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 xml:space="preserve">The reaction mixture is aspirated into the measuring cell where the </w:t>
      </w:r>
      <w:proofErr w:type="spellStart"/>
      <w:r>
        <w:rPr>
          <w:rFonts w:ascii="Arial" w:hAnsi="Arial" w:cs="Arial"/>
          <w:b w:val="0"/>
          <w:caps w:val="0"/>
          <w:sz w:val="20"/>
        </w:rPr>
        <w:t>microparticles</w:t>
      </w:r>
      <w:proofErr w:type="spellEnd"/>
      <w:r>
        <w:rPr>
          <w:rFonts w:ascii="Arial" w:hAnsi="Arial" w:cs="Arial"/>
          <w:b w:val="0"/>
          <w:caps w:val="0"/>
          <w:sz w:val="20"/>
        </w:rPr>
        <w:t xml:space="preserve"> are magnetically captured onto the surface of the electrode.  Unbound substances are then removed with </w:t>
      </w:r>
      <w:proofErr w:type="spellStart"/>
      <w:r>
        <w:rPr>
          <w:rFonts w:ascii="Arial" w:hAnsi="Arial" w:cs="Arial"/>
          <w:b w:val="0"/>
          <w:caps w:val="0"/>
          <w:sz w:val="20"/>
        </w:rPr>
        <w:t>ProCell</w:t>
      </w:r>
      <w:proofErr w:type="spellEnd"/>
      <w:r>
        <w:rPr>
          <w:rFonts w:ascii="Arial" w:hAnsi="Arial" w:cs="Arial"/>
          <w:b w:val="0"/>
          <w:caps w:val="0"/>
          <w:sz w:val="20"/>
        </w:rPr>
        <w:t>/</w:t>
      </w:r>
      <w:proofErr w:type="spellStart"/>
      <w:r>
        <w:rPr>
          <w:rFonts w:ascii="Arial" w:hAnsi="Arial" w:cs="Arial"/>
          <w:b w:val="0"/>
          <w:caps w:val="0"/>
          <w:sz w:val="20"/>
        </w:rPr>
        <w:t>ProCell</w:t>
      </w:r>
      <w:proofErr w:type="spellEnd"/>
      <w:r>
        <w:rPr>
          <w:rFonts w:ascii="Arial" w:hAnsi="Arial" w:cs="Arial"/>
          <w:b w:val="0"/>
          <w:caps w:val="0"/>
          <w:sz w:val="20"/>
        </w:rPr>
        <w:t xml:space="preserve"> M.  Application of a voltage to the electrode then induces chemiluminescent emission which is measured by a photomultiplier.</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 xml:space="preserve">Results are determined via a calibration curve which is instrument-specifically generated by 2-point calibration and a master curve provided via the reagent barcode or e-barcode. </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SCOPE</w:t>
      </w:r>
    </w:p>
    <w:p w:rsidR="00ED303D" w:rsidRDefault="00ED303D" w:rsidP="00ED303D">
      <w:pPr>
        <w:pStyle w:val="First-OrderHeading"/>
        <w:numPr>
          <w:ilvl w:val="0"/>
          <w:numId w:val="0"/>
        </w:numPr>
        <w:ind w:left="720"/>
        <w:rPr>
          <w:rFonts w:ascii="Arial" w:hAnsi="Arial" w:cs="Arial"/>
          <w:b w:val="0"/>
          <w:caps w:val="0"/>
          <w:sz w:val="20"/>
        </w:rPr>
      </w:pPr>
      <w:proofErr w:type="gramStart"/>
      <w:r>
        <w:rPr>
          <w:rFonts w:ascii="Arial" w:hAnsi="Arial" w:cs="Arial"/>
          <w:b w:val="0"/>
          <w:caps w:val="0"/>
          <w:sz w:val="20"/>
        </w:rPr>
        <w:t>Binding assay for the in vitro quantitative determination of vitamin B</w:t>
      </w:r>
      <w:r>
        <w:rPr>
          <w:rFonts w:ascii="Arial" w:hAnsi="Arial" w:cs="Arial"/>
          <w:b w:val="0"/>
          <w:caps w:val="0"/>
          <w:sz w:val="20"/>
          <w:vertAlign w:val="subscript"/>
        </w:rPr>
        <w:t>12</w:t>
      </w:r>
      <w:r>
        <w:rPr>
          <w:rFonts w:ascii="Arial" w:hAnsi="Arial" w:cs="Arial"/>
          <w:b w:val="0"/>
          <w:caps w:val="0"/>
          <w:sz w:val="20"/>
        </w:rPr>
        <w:t xml:space="preserve"> in human serum and plasma.</w:t>
      </w:r>
      <w:proofErr w:type="gramEnd"/>
      <w:r>
        <w:rPr>
          <w:rFonts w:ascii="Arial" w:hAnsi="Arial" w:cs="Arial"/>
          <w:b w:val="0"/>
          <w:caps w:val="0"/>
          <w:sz w:val="20"/>
        </w:rPr>
        <w:t xml:space="preserve">  Measurements obtained by this device are used in the diagnosis and treatment of anemias of gastrointestinal malabsorption.  </w:t>
      </w:r>
    </w:p>
    <w:p w:rsidR="00ED303D" w:rsidRPr="003B030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The </w:t>
      </w:r>
      <w:proofErr w:type="spellStart"/>
      <w:r>
        <w:rPr>
          <w:rFonts w:ascii="Arial" w:hAnsi="Arial" w:cs="Arial"/>
          <w:b w:val="0"/>
          <w:caps w:val="0"/>
          <w:sz w:val="20"/>
        </w:rPr>
        <w:t>electrochemiluminescence</w:t>
      </w:r>
      <w:proofErr w:type="spellEnd"/>
      <w:r>
        <w:rPr>
          <w:rFonts w:ascii="Arial" w:hAnsi="Arial" w:cs="Arial"/>
          <w:b w:val="0"/>
          <w:caps w:val="0"/>
          <w:sz w:val="20"/>
        </w:rPr>
        <w:t xml:space="preserve"> immunoassay “ECLIA” is intended for use on </w:t>
      </w:r>
      <w:proofErr w:type="spellStart"/>
      <w:r>
        <w:rPr>
          <w:rFonts w:ascii="Arial" w:hAnsi="Arial" w:cs="Arial"/>
          <w:b w:val="0"/>
          <w:caps w:val="0"/>
          <w:sz w:val="20"/>
        </w:rPr>
        <w:t>Elecsys</w:t>
      </w:r>
      <w:proofErr w:type="spellEnd"/>
      <w:r>
        <w:rPr>
          <w:rFonts w:ascii="Arial" w:hAnsi="Arial" w:cs="Arial"/>
          <w:b w:val="0"/>
          <w:caps w:val="0"/>
          <w:sz w:val="20"/>
        </w:rPr>
        <w:t xml:space="preserve"> and </w:t>
      </w:r>
      <w:r>
        <w:rPr>
          <w:rFonts w:ascii="Arial" w:hAnsi="Arial" w:cs="Arial"/>
          <w:caps w:val="0"/>
          <w:sz w:val="20"/>
        </w:rPr>
        <w:t>cobas e</w:t>
      </w:r>
      <w:r>
        <w:rPr>
          <w:rFonts w:ascii="Arial" w:hAnsi="Arial" w:cs="Arial"/>
          <w:b w:val="0"/>
          <w:caps w:val="0"/>
          <w:sz w:val="20"/>
        </w:rPr>
        <w:t xml:space="preserve"> immunoassay analyzers. </w:t>
      </w:r>
    </w:p>
    <w:p w:rsidR="00ED303D" w:rsidRPr="00164355" w:rsidRDefault="00ED303D" w:rsidP="00ED303D">
      <w:pPr>
        <w:pStyle w:val="First-OrderHeading"/>
        <w:numPr>
          <w:ilvl w:val="0"/>
          <w:numId w:val="21"/>
        </w:numPr>
        <w:tabs>
          <w:tab w:val="clear" w:pos="1080"/>
          <w:tab w:val="num" w:pos="0"/>
        </w:tabs>
        <w:ind w:left="0" w:firstLine="0"/>
        <w:rPr>
          <w:rFonts w:ascii="Arial" w:hAnsi="Arial" w:cs="Arial"/>
          <w:sz w:val="20"/>
        </w:rPr>
      </w:pPr>
      <w:r w:rsidRPr="00164355">
        <w:rPr>
          <w:rFonts w:ascii="Arial" w:hAnsi="Arial" w:cs="Arial"/>
          <w:sz w:val="20"/>
        </w:rPr>
        <w:t>RESPONSIBILITIES</w:t>
      </w:r>
    </w:p>
    <w:p w:rsidR="00ED303D" w:rsidRDefault="00ED303D" w:rsidP="00ED303D">
      <w:pPr>
        <w:rPr>
          <w:rFonts w:ascii="Arial" w:hAnsi="Arial" w:cs="Arial"/>
          <w:sz w:val="20"/>
          <w:szCs w:val="20"/>
        </w:rPr>
      </w:pPr>
      <w:r>
        <w:tab/>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ED303D" w:rsidRPr="0063785F" w:rsidTr="00DE6319">
        <w:tc>
          <w:tcPr>
            <w:tcW w:w="2808" w:type="dxa"/>
          </w:tcPr>
          <w:p w:rsidR="00ED303D" w:rsidRPr="0063785F" w:rsidRDefault="00ED303D" w:rsidP="00DE6319">
            <w:pPr>
              <w:rPr>
                <w:rFonts w:ascii="Arial" w:hAnsi="Arial" w:cs="Arial"/>
                <w:b/>
                <w:sz w:val="20"/>
                <w:szCs w:val="20"/>
              </w:rPr>
            </w:pPr>
            <w:r w:rsidRPr="0063785F">
              <w:rPr>
                <w:rFonts w:ascii="Arial" w:hAnsi="Arial" w:cs="Arial"/>
                <w:b/>
                <w:sz w:val="20"/>
                <w:szCs w:val="20"/>
              </w:rPr>
              <w:t>Roles</w:t>
            </w:r>
          </w:p>
        </w:tc>
        <w:tc>
          <w:tcPr>
            <w:tcW w:w="5310" w:type="dxa"/>
          </w:tcPr>
          <w:p w:rsidR="00ED303D" w:rsidRPr="0063785F" w:rsidRDefault="00ED303D" w:rsidP="00DE6319">
            <w:pPr>
              <w:rPr>
                <w:rFonts w:ascii="Arial" w:hAnsi="Arial" w:cs="Arial"/>
                <w:b/>
                <w:sz w:val="20"/>
                <w:szCs w:val="20"/>
              </w:rPr>
            </w:pPr>
            <w:r w:rsidRPr="0063785F">
              <w:rPr>
                <w:rFonts w:ascii="Arial" w:hAnsi="Arial" w:cs="Arial"/>
                <w:b/>
                <w:sz w:val="20"/>
                <w:szCs w:val="20"/>
              </w:rPr>
              <w:t>Responsibilities</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Quality Assurance</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process including provide leadership and/or assistance in support of the process.</w:t>
            </w:r>
          </w:p>
          <w:p w:rsidR="00ED303D" w:rsidRPr="0063785F" w:rsidRDefault="00ED303D" w:rsidP="00DE6319">
            <w:pPr>
              <w:rPr>
                <w:rFonts w:ascii="Arial" w:hAnsi="Arial" w:cs="Arial"/>
                <w:sz w:val="20"/>
                <w:szCs w:val="20"/>
              </w:rPr>
            </w:pPr>
            <w:r w:rsidRPr="0063785F">
              <w:rPr>
                <w:rFonts w:ascii="Arial" w:hAnsi="Arial" w:cs="Arial"/>
                <w:sz w:val="20"/>
                <w:szCs w:val="20"/>
              </w:rPr>
              <w:t xml:space="preserve">Review and approval of procedure </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Medical Director</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development of the document.</w:t>
            </w:r>
          </w:p>
          <w:p w:rsidR="00ED303D" w:rsidRPr="0063785F" w:rsidRDefault="00ED303D" w:rsidP="00DE6319">
            <w:pPr>
              <w:rPr>
                <w:rFonts w:ascii="Arial" w:hAnsi="Arial" w:cs="Arial"/>
                <w:sz w:val="20"/>
                <w:szCs w:val="20"/>
              </w:rPr>
            </w:pPr>
            <w:r w:rsidRPr="0063785F">
              <w:rPr>
                <w:rFonts w:ascii="Arial" w:hAnsi="Arial" w:cs="Arial"/>
                <w:sz w:val="20"/>
                <w:szCs w:val="20"/>
              </w:rPr>
              <w:t>Review and approval of the document.</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Management</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Review and approve the document.</w:t>
            </w:r>
          </w:p>
          <w:p w:rsidR="00ED303D" w:rsidRPr="0063785F" w:rsidRDefault="00ED303D" w:rsidP="00DE6319">
            <w:pPr>
              <w:rPr>
                <w:rFonts w:ascii="Arial" w:hAnsi="Arial" w:cs="Arial"/>
                <w:sz w:val="20"/>
                <w:szCs w:val="20"/>
              </w:rPr>
            </w:pPr>
            <w:r w:rsidRPr="0063785F">
              <w:rPr>
                <w:rFonts w:ascii="Arial" w:hAnsi="Arial" w:cs="Arial"/>
                <w:sz w:val="20"/>
                <w:szCs w:val="20"/>
              </w:rPr>
              <w:t>Ensure that procedure is followed.</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Laboratory Technical staff</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Follows procedure.</w:t>
            </w:r>
          </w:p>
        </w:tc>
      </w:tr>
    </w:tbl>
    <w:p w:rsidR="00ED303D" w:rsidRPr="00843DA9" w:rsidRDefault="00ED303D" w:rsidP="00ED303D">
      <w:pPr>
        <w:rPr>
          <w:rFonts w:ascii="Arial" w:hAnsi="Arial" w:cs="Arial"/>
          <w:sz w:val="20"/>
          <w:szCs w:val="20"/>
        </w:rPr>
      </w:pPr>
    </w:p>
    <w:p w:rsidR="00ED303D" w:rsidRPr="00862851"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Pr>
          <w:rFonts w:ascii="Arial" w:hAnsi="Arial" w:cs="Arial"/>
          <w:b/>
          <w:sz w:val="20"/>
        </w:rPr>
        <w:t>ACRONYMS/DEFINITIONS</w:t>
      </w:r>
    </w:p>
    <w:p w:rsidR="00ED303D" w:rsidRDefault="00ED303D" w:rsidP="00ED303D">
      <w:pPr>
        <w:pStyle w:val="Second-OrderHeading"/>
        <w:numPr>
          <w:ilvl w:val="0"/>
          <w:numId w:val="0"/>
        </w:numPr>
        <w:spacing w:after="0"/>
        <w:ind w:left="72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URMC</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University of Rochester Medical Center</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VB12</w:t>
            </w:r>
          </w:p>
        </w:tc>
        <w:tc>
          <w:tcPr>
            <w:tcW w:w="5580" w:type="dxa"/>
          </w:tcPr>
          <w:p w:rsidR="00ED303D" w:rsidRPr="00B0633A" w:rsidRDefault="00ED303D" w:rsidP="00DE6319">
            <w:pPr>
              <w:rPr>
                <w:rFonts w:ascii="Arial" w:hAnsi="Arial" w:cs="Arial"/>
                <w:sz w:val="20"/>
                <w:szCs w:val="20"/>
                <w:vertAlign w:val="subscript"/>
              </w:rPr>
            </w:pPr>
            <w:r>
              <w:rPr>
                <w:rFonts w:ascii="Arial" w:hAnsi="Arial" w:cs="Arial"/>
                <w:sz w:val="20"/>
                <w:szCs w:val="20"/>
              </w:rPr>
              <w:t>Vitamin B</w:t>
            </w:r>
            <w:r>
              <w:rPr>
                <w:rFonts w:ascii="Arial" w:hAnsi="Arial" w:cs="Arial"/>
                <w:sz w:val="20"/>
                <w:szCs w:val="20"/>
                <w:vertAlign w:val="subscript"/>
              </w:rPr>
              <w:t>12</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SW</w:t>
            </w:r>
          </w:p>
        </w:tc>
        <w:tc>
          <w:tcPr>
            <w:tcW w:w="5580" w:type="dxa"/>
          </w:tcPr>
          <w:p w:rsidR="00ED303D" w:rsidRPr="00CB5ABE" w:rsidRDefault="00ED303D" w:rsidP="00DE6319">
            <w:pPr>
              <w:rPr>
                <w:rFonts w:ascii="Arial" w:hAnsi="Arial" w:cs="Arial"/>
                <w:sz w:val="20"/>
                <w:szCs w:val="20"/>
              </w:rPr>
            </w:pPr>
            <w:r>
              <w:rPr>
                <w:rFonts w:ascii="Arial" w:hAnsi="Arial" w:cs="Arial"/>
                <w:sz w:val="20"/>
                <w:szCs w:val="20"/>
              </w:rPr>
              <w:t>Strong West</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RR</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Ridgeland Road Laboratory</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SMH</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Strong Memorial Hospital</w:t>
            </w:r>
          </w:p>
        </w:tc>
      </w:tr>
    </w:tbl>
    <w:p w:rsidR="00ED303D"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sidRPr="007C1D50">
        <w:rPr>
          <w:rFonts w:ascii="Arial" w:hAnsi="Arial" w:cs="Arial"/>
          <w:b/>
          <w:sz w:val="20"/>
        </w:rPr>
        <w:lastRenderedPageBreak/>
        <w:t>SPECIMENS</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For specimen collection and preparation only use suitable tubes or collection containers. </w:t>
      </w:r>
      <w:r>
        <w:rPr>
          <w:rFonts w:ascii="Arial" w:hAnsi="Arial" w:cs="Arial"/>
          <w:sz w:val="20"/>
        </w:rPr>
        <w:tab/>
        <w:t xml:space="preserve"> Only the specimens listed below were tested and found acceptable.  </w:t>
      </w:r>
    </w:p>
    <w:p w:rsidR="00ED303D" w:rsidRDefault="00ED303D" w:rsidP="00ED303D">
      <w:pPr>
        <w:pStyle w:val="Second-OrderHeading"/>
        <w:numPr>
          <w:ilvl w:val="0"/>
          <w:numId w:val="0"/>
        </w:numPr>
        <w:spacing w:before="240"/>
        <w:ind w:firstLine="720"/>
        <w:rPr>
          <w:rFonts w:ascii="Arial" w:hAnsi="Arial" w:cs="Arial"/>
          <w:sz w:val="20"/>
        </w:rPr>
      </w:pPr>
      <w:r>
        <w:rPr>
          <w:rFonts w:ascii="Arial" w:hAnsi="Arial" w:cs="Arial"/>
          <w:sz w:val="20"/>
        </w:rPr>
        <w:t>Serum</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Plasma: Na-heparin, Li-heparin, K</w:t>
      </w:r>
      <w:r>
        <w:rPr>
          <w:rFonts w:ascii="Arial" w:hAnsi="Arial" w:cs="Arial"/>
          <w:sz w:val="20"/>
          <w:vertAlign w:val="subscript"/>
        </w:rPr>
        <w:t>2-</w:t>
      </w:r>
      <w:r>
        <w:rPr>
          <w:rFonts w:ascii="Arial" w:hAnsi="Arial" w:cs="Arial"/>
          <w:sz w:val="20"/>
        </w:rPr>
        <w:t xml:space="preserve"> and K</w:t>
      </w:r>
      <w:r>
        <w:rPr>
          <w:rFonts w:ascii="Arial" w:hAnsi="Arial" w:cs="Arial"/>
          <w:sz w:val="20"/>
          <w:vertAlign w:val="subscript"/>
        </w:rPr>
        <w:t>3-</w:t>
      </w:r>
      <w:r>
        <w:rPr>
          <w:rFonts w:ascii="Arial" w:hAnsi="Arial" w:cs="Arial"/>
          <w:sz w:val="20"/>
        </w:rPr>
        <w:t xml:space="preserve"> EDTA plasma.  Li-heparin plasma tubes containing separating gel can be used.</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Centrifuge samples containing precipitates before performing the assy.  Do not use any hemolyzed samples because samples showing visible signs of hemolysis will have falsely low results.  Do not use heat-inactivated samples.  Do not use samples and controls stabilized with </w:t>
      </w:r>
      <w:proofErr w:type="spellStart"/>
      <w:r>
        <w:rPr>
          <w:rFonts w:ascii="Arial" w:hAnsi="Arial" w:cs="Arial"/>
          <w:sz w:val="20"/>
        </w:rPr>
        <w:t>azide</w:t>
      </w:r>
      <w:proofErr w:type="spellEnd"/>
      <w:r>
        <w:rPr>
          <w:rFonts w:ascii="Arial" w:hAnsi="Arial" w:cs="Arial"/>
          <w:sz w:val="20"/>
        </w:rPr>
        <w:t xml:space="preserve">.  </w:t>
      </w:r>
    </w:p>
    <w:p w:rsidR="00ED303D" w:rsidRPr="00666798"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Vitamin B</w:t>
      </w:r>
      <w:r>
        <w:rPr>
          <w:rFonts w:ascii="Arial" w:hAnsi="Arial" w:cs="Arial"/>
          <w:sz w:val="20"/>
          <w:vertAlign w:val="subscript"/>
        </w:rPr>
        <w:t>12</w:t>
      </w:r>
      <w:r>
        <w:rPr>
          <w:rFonts w:ascii="Arial" w:hAnsi="Arial" w:cs="Arial"/>
          <w:sz w:val="20"/>
        </w:rPr>
        <w:t xml:space="preserve"> determinations should be performed on serum or plasma samples from fasting patients.  </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Ensure the samples, calibrators, and controls are at 20-25</w:t>
      </w:r>
      <w:r>
        <w:rPr>
          <w:rFonts w:ascii="Calibri" w:hAnsi="Calibri" w:cs="Arial"/>
          <w:sz w:val="20"/>
        </w:rPr>
        <w:t>°</w:t>
      </w:r>
      <w:r>
        <w:rPr>
          <w:rFonts w:ascii="Arial" w:hAnsi="Arial" w:cs="Arial"/>
          <w:sz w:val="20"/>
        </w:rPr>
        <w:t xml:space="preserve">C prior to measurement.  Due to possible evaporation effects, samples, calibrators, and controls on the analyzers should be </w:t>
      </w:r>
      <w:proofErr w:type="gramStart"/>
      <w:r>
        <w:rPr>
          <w:rFonts w:ascii="Arial" w:hAnsi="Arial" w:cs="Arial"/>
          <w:sz w:val="20"/>
        </w:rPr>
        <w:t>analyzed/measured</w:t>
      </w:r>
      <w:proofErr w:type="gramEnd"/>
      <w:r>
        <w:rPr>
          <w:rFonts w:ascii="Arial" w:hAnsi="Arial" w:cs="Arial"/>
          <w:sz w:val="20"/>
        </w:rPr>
        <w:t xml:space="preserve"> within 2 hours.</w:t>
      </w:r>
    </w:p>
    <w:p w:rsidR="00ED303D" w:rsidRPr="00B500C7" w:rsidRDefault="00ED303D" w:rsidP="00ED303D">
      <w:pPr>
        <w:pStyle w:val="Second-OrderHeading"/>
        <w:numPr>
          <w:ilvl w:val="0"/>
          <w:numId w:val="0"/>
        </w:numPr>
        <w:spacing w:before="240"/>
        <w:ind w:firstLine="720"/>
        <w:rPr>
          <w:rFonts w:ascii="Arial" w:hAnsi="Arial" w:cs="Arial"/>
          <w:sz w:val="20"/>
        </w:rPr>
      </w:pPr>
      <w:r>
        <w:rPr>
          <w:rFonts w:ascii="Arial" w:hAnsi="Arial" w:cs="Arial"/>
          <w:sz w:val="20"/>
        </w:rPr>
        <w:t xml:space="preserve">Refer to SW.CP.GL.jad.0101 for sample stability.  </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QUALITY CONTROL</w:t>
      </w:r>
    </w:p>
    <w:p w:rsidR="00ED303D" w:rsidRDefault="00ED303D" w:rsidP="00ED303D">
      <w:pPr>
        <w:pStyle w:val="Second-OrderHeading"/>
        <w:numPr>
          <w:ilvl w:val="0"/>
          <w:numId w:val="0"/>
        </w:numPr>
        <w:ind w:left="720"/>
        <w:rPr>
          <w:rFonts w:ascii="Arial" w:hAnsi="Arial" w:cs="Arial"/>
          <w:sz w:val="20"/>
        </w:rPr>
      </w:pPr>
      <w:r>
        <w:rPr>
          <w:rFonts w:ascii="Arial" w:hAnsi="Arial" w:cs="Arial"/>
          <w:sz w:val="20"/>
        </w:rPr>
        <w:t>Analyze quality control materials as indicated on the Roche e411 analyzer set up form SW.CP.GL.frm.0102</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 xml:space="preserve">SPECIAL SAFETY PRECAUTIONS </w:t>
      </w:r>
    </w:p>
    <w:p w:rsidR="00ED303D" w:rsidRDefault="00ED303D" w:rsidP="00ED303D">
      <w:pPr>
        <w:pStyle w:val="NoSpacing"/>
        <w:ind w:left="720"/>
        <w:rPr>
          <w:rFonts w:ascii="Arial" w:hAnsi="Arial" w:cs="Arial"/>
          <w:sz w:val="20"/>
          <w:szCs w:val="20"/>
        </w:rPr>
      </w:pPr>
      <w:r w:rsidRPr="003B030D">
        <w:rPr>
          <w:rFonts w:ascii="Arial" w:hAnsi="Arial" w:cs="Arial"/>
          <w:sz w:val="20"/>
          <w:szCs w:val="20"/>
        </w:rPr>
        <w:t>Exercise the normal precautions required for handling all laboratory reagents and biohazardous patient samples.  Refer to Safety data sheets. Disposal of all waste material should be in accordance with local guidelines.  Refer to Safety procedure SW.CP.GL.adm.0005</w:t>
      </w:r>
    </w:p>
    <w:p w:rsidR="005B6878" w:rsidRPr="003B030D" w:rsidRDefault="005B6878" w:rsidP="00ED303D">
      <w:pPr>
        <w:pStyle w:val="NoSpacing"/>
        <w:ind w:left="720"/>
        <w:rPr>
          <w:rFonts w:ascii="Arial" w:hAnsi="Arial" w:cs="Arial"/>
          <w:sz w:val="20"/>
          <w:szCs w:val="20"/>
        </w:rPr>
      </w:pPr>
    </w:p>
    <w:p w:rsidR="00ED303D" w:rsidRPr="00E97BA6" w:rsidRDefault="00ED303D" w:rsidP="00ED303D">
      <w:pPr>
        <w:autoSpaceDE w:val="0"/>
        <w:autoSpaceDN w:val="0"/>
        <w:adjustRightInd w:val="0"/>
        <w:spacing w:after="240"/>
        <w:ind w:left="720" w:hanging="720"/>
        <w:jc w:val="both"/>
        <w:rPr>
          <w:rFonts w:ascii="Arial" w:hAnsi="Arial" w:cs="Arial"/>
          <w:bCs/>
          <w:color w:val="000000"/>
          <w:sz w:val="20"/>
          <w:szCs w:val="20"/>
        </w:rPr>
      </w:pPr>
      <w:r w:rsidRPr="007C1D50">
        <w:rPr>
          <w:rFonts w:ascii="Arial" w:hAnsi="Arial" w:cs="Arial"/>
          <w:b/>
          <w:bCs/>
          <w:color w:val="000000"/>
          <w:sz w:val="20"/>
          <w:szCs w:val="20"/>
        </w:rPr>
        <w:t>VII</w:t>
      </w:r>
      <w:r>
        <w:rPr>
          <w:rFonts w:ascii="Arial" w:hAnsi="Arial" w:cs="Arial"/>
          <w:b/>
          <w:bCs/>
          <w:color w:val="000000"/>
          <w:sz w:val="20"/>
          <w:szCs w:val="20"/>
        </w:rPr>
        <w:t>I</w:t>
      </w:r>
      <w:r w:rsidRPr="007C1D50">
        <w:rPr>
          <w:rFonts w:ascii="Arial" w:hAnsi="Arial" w:cs="Arial"/>
          <w:b/>
          <w:bCs/>
          <w:color w:val="000000"/>
          <w:sz w:val="20"/>
          <w:szCs w:val="20"/>
        </w:rPr>
        <w:t>.</w:t>
      </w:r>
      <w:r w:rsidRPr="007C1D50">
        <w:rPr>
          <w:rFonts w:ascii="Arial" w:hAnsi="Arial" w:cs="Arial"/>
          <w:b/>
          <w:bCs/>
          <w:color w:val="000000"/>
          <w:sz w:val="20"/>
          <w:szCs w:val="20"/>
        </w:rPr>
        <w:tab/>
        <w:t xml:space="preserve">MATERIALS </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r w:rsidRPr="001C17C2">
        <w:rPr>
          <w:rFonts w:ascii="Arial" w:hAnsi="Arial" w:cs="Arial"/>
          <w:b/>
          <w:bCs/>
          <w:color w:val="000000"/>
          <w:sz w:val="20"/>
          <w:szCs w:val="20"/>
        </w:rPr>
        <w:t xml:space="preserve"> </w:t>
      </w:r>
      <w:r w:rsidRPr="007C1D50">
        <w:rPr>
          <w:rFonts w:ascii="Arial" w:hAnsi="Arial" w:cs="Arial"/>
          <w:b/>
          <w:bCs/>
          <w:color w:val="000000"/>
          <w:sz w:val="20"/>
          <w:szCs w:val="20"/>
        </w:rPr>
        <w:t>A.</w:t>
      </w:r>
      <w:r w:rsidRPr="007C1D50">
        <w:rPr>
          <w:rFonts w:ascii="Arial" w:hAnsi="Arial" w:cs="Arial"/>
          <w:b/>
          <w:bCs/>
          <w:color w:val="000000"/>
          <w:sz w:val="20"/>
          <w:szCs w:val="20"/>
        </w:rPr>
        <w:tab/>
        <w:t xml:space="preserve">Equipment </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Cs/>
          <w:color w:val="000000"/>
          <w:sz w:val="20"/>
          <w:szCs w:val="20"/>
        </w:rPr>
        <w:t>Roche cobas e 411 analyzer</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Data Innovations Middleware</w:t>
      </w:r>
    </w:p>
    <w:p w:rsidR="00ED303D" w:rsidRPr="00E97BA6"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Bio-Rad Unity Real Time QC Application</w:t>
      </w:r>
    </w:p>
    <w:p w:rsidR="00ED303D" w:rsidRDefault="00ED303D" w:rsidP="00ED303D">
      <w:pPr>
        <w:autoSpaceDE w:val="0"/>
        <w:autoSpaceDN w:val="0"/>
        <w:adjustRightInd w:val="0"/>
        <w:spacing w:after="120"/>
        <w:ind w:left="720"/>
        <w:jc w:val="both"/>
        <w:rPr>
          <w:rFonts w:ascii="Arial" w:hAnsi="Arial" w:cs="Arial"/>
          <w:b/>
          <w:bCs/>
          <w:color w:val="000000"/>
          <w:sz w:val="20"/>
          <w:szCs w:val="20"/>
        </w:rPr>
      </w:pPr>
      <w:r w:rsidRPr="007C1D50">
        <w:rPr>
          <w:rFonts w:ascii="Arial" w:hAnsi="Arial" w:cs="Arial"/>
          <w:b/>
          <w:bCs/>
          <w:color w:val="000000"/>
          <w:sz w:val="20"/>
          <w:szCs w:val="20"/>
        </w:rPr>
        <w:t>B.</w:t>
      </w:r>
      <w:r w:rsidRPr="007C1D50">
        <w:rPr>
          <w:rFonts w:ascii="Arial" w:hAnsi="Arial" w:cs="Arial"/>
          <w:b/>
          <w:bCs/>
          <w:color w:val="000000"/>
          <w:sz w:val="20"/>
          <w:szCs w:val="20"/>
        </w:rPr>
        <w:tab/>
        <w:t>Supplies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Roche Sample cups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Falcon tubes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 tips</w:t>
      </w:r>
    </w:p>
    <w:p w:rsidR="00ED303D" w:rsidRPr="007C1D50" w:rsidRDefault="00ED303D" w:rsidP="00ED303D">
      <w:pPr>
        <w:autoSpaceDE w:val="0"/>
        <w:autoSpaceDN w:val="0"/>
        <w:adjustRightInd w:val="0"/>
        <w:spacing w:after="120"/>
        <w:ind w:left="720"/>
        <w:jc w:val="both"/>
        <w:rPr>
          <w:rFonts w:ascii="Arial" w:hAnsi="Arial" w:cs="Arial"/>
          <w:bCs/>
          <w:color w:val="000000"/>
          <w:sz w:val="20"/>
          <w:szCs w:val="20"/>
        </w:rPr>
      </w:pPr>
      <w:r w:rsidRPr="007C1D50">
        <w:rPr>
          <w:rFonts w:ascii="Arial" w:hAnsi="Arial" w:cs="Arial"/>
          <w:bCs/>
          <w:color w:val="000000"/>
          <w:sz w:val="20"/>
          <w:szCs w:val="20"/>
        </w:rPr>
        <w:tab/>
        <w:t xml:space="preserve">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sidRPr="007C1D50">
        <w:rPr>
          <w:rFonts w:ascii="Arial" w:hAnsi="Arial" w:cs="Arial"/>
          <w:b/>
          <w:bCs/>
          <w:color w:val="000000"/>
          <w:sz w:val="20"/>
          <w:szCs w:val="20"/>
        </w:rPr>
        <w:t>C.</w:t>
      </w:r>
      <w:r w:rsidRPr="007C1D50">
        <w:rPr>
          <w:rFonts w:ascii="Arial" w:hAnsi="Arial" w:cs="Arial"/>
          <w:b/>
          <w:bCs/>
          <w:color w:val="000000"/>
          <w:sz w:val="20"/>
          <w:szCs w:val="20"/>
        </w:rPr>
        <w:tab/>
        <w:t>Reagents</w:t>
      </w:r>
    </w:p>
    <w:p w:rsidR="00ED303D" w:rsidRDefault="00ED303D" w:rsidP="00ED303D">
      <w:pPr>
        <w:autoSpaceDE w:val="0"/>
        <w:autoSpaceDN w:val="0"/>
        <w:adjustRightInd w:val="0"/>
        <w:spacing w:after="240"/>
        <w:ind w:left="720" w:firstLine="720"/>
        <w:jc w:val="both"/>
        <w:rPr>
          <w:rFonts w:ascii="Arial" w:hAnsi="Arial" w:cs="Arial"/>
          <w:bCs/>
          <w:color w:val="000000"/>
          <w:sz w:val="20"/>
          <w:szCs w:val="20"/>
        </w:rPr>
      </w:pPr>
      <w:proofErr w:type="spellStart"/>
      <w:r>
        <w:rPr>
          <w:rFonts w:ascii="Arial" w:hAnsi="Arial" w:cs="Arial"/>
          <w:bCs/>
          <w:color w:val="000000"/>
          <w:sz w:val="20"/>
          <w:szCs w:val="20"/>
        </w:rPr>
        <w:t>Elecsys</w:t>
      </w:r>
      <w:proofErr w:type="spellEnd"/>
      <w:r>
        <w:rPr>
          <w:rFonts w:ascii="Arial" w:hAnsi="Arial" w:cs="Arial"/>
          <w:bCs/>
          <w:color w:val="000000"/>
          <w:sz w:val="20"/>
          <w:szCs w:val="20"/>
        </w:rPr>
        <w:t xml:space="preserve"> Vitamin B12 II </w:t>
      </w:r>
      <w:proofErr w:type="gramStart"/>
      <w:r>
        <w:rPr>
          <w:rFonts w:ascii="Arial" w:hAnsi="Arial" w:cs="Arial"/>
          <w:bCs/>
          <w:color w:val="000000"/>
          <w:sz w:val="20"/>
          <w:szCs w:val="20"/>
        </w:rPr>
        <w:t>-  (</w:t>
      </w:r>
      <w:proofErr w:type="gramEnd"/>
      <w:r>
        <w:rPr>
          <w:rFonts w:ascii="Arial" w:hAnsi="Arial" w:cs="Arial"/>
          <w:bCs/>
          <w:color w:val="000000"/>
          <w:sz w:val="20"/>
          <w:szCs w:val="20"/>
        </w:rPr>
        <w:t>Ref # 07212771160) – ready for use</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lastRenderedPageBreak/>
        <w:tab/>
        <w:t>Components:</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 pack (M, R1, </w:t>
      </w:r>
      <w:proofErr w:type="gramStart"/>
      <w:r>
        <w:rPr>
          <w:rFonts w:ascii="Arial" w:hAnsi="Arial" w:cs="Arial"/>
          <w:bCs/>
          <w:color w:val="000000"/>
          <w:sz w:val="20"/>
          <w:szCs w:val="20"/>
        </w:rPr>
        <w:t>R2</w:t>
      </w:r>
      <w:proofErr w:type="gramEnd"/>
      <w:r>
        <w:rPr>
          <w:rFonts w:ascii="Arial" w:hAnsi="Arial" w:cs="Arial"/>
          <w:bCs/>
          <w:color w:val="000000"/>
          <w:sz w:val="20"/>
          <w:szCs w:val="20"/>
        </w:rPr>
        <w:t>) and the pretreatment reagents (PT1, PT2) are labeled as B12 II.</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proofErr w:type="gramStart"/>
      <w:r>
        <w:rPr>
          <w:rFonts w:ascii="Arial" w:hAnsi="Arial" w:cs="Arial"/>
          <w:bCs/>
          <w:color w:val="000000"/>
          <w:sz w:val="20"/>
          <w:szCs w:val="20"/>
        </w:rPr>
        <w:t>PT1  -</w:t>
      </w:r>
      <w:proofErr w:type="gramEnd"/>
      <w:r>
        <w:rPr>
          <w:rFonts w:ascii="Arial" w:hAnsi="Arial" w:cs="Arial"/>
          <w:bCs/>
          <w:color w:val="000000"/>
          <w:sz w:val="20"/>
          <w:szCs w:val="20"/>
        </w:rPr>
        <w:t xml:space="preserve"> Pretreatment reagent 1 (white cap), 1 bottle, 4 mL: </w:t>
      </w:r>
      <w:proofErr w:type="spellStart"/>
      <w:r>
        <w:rPr>
          <w:rFonts w:ascii="Arial" w:hAnsi="Arial" w:cs="Arial"/>
          <w:bCs/>
          <w:color w:val="000000"/>
          <w:sz w:val="20"/>
          <w:szCs w:val="20"/>
        </w:rPr>
        <w:t>Bithiothreitol</w:t>
      </w:r>
      <w:proofErr w:type="spellEnd"/>
      <w:r>
        <w:rPr>
          <w:rFonts w:ascii="Arial" w:hAnsi="Arial" w:cs="Arial"/>
          <w:bCs/>
          <w:color w:val="000000"/>
          <w:sz w:val="20"/>
          <w:szCs w:val="20"/>
        </w:rPr>
        <w:t xml:space="preserve"> 1.028 g/L; stabilizer, pH 5.5</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PT2 – Pretreatment reagent 2 (gray cap), 1 bottle, 4 mL: Sodium hydroxide 40 g/L; sodium cyanide 2.205 g/L.</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M – Streptavidin-coated </w:t>
      </w:r>
      <w:proofErr w:type="spellStart"/>
      <w:r>
        <w:rPr>
          <w:rFonts w:ascii="Arial" w:hAnsi="Arial" w:cs="Arial"/>
          <w:bCs/>
          <w:color w:val="000000"/>
          <w:sz w:val="20"/>
          <w:szCs w:val="20"/>
        </w:rPr>
        <w:t>microparticles</w:t>
      </w:r>
      <w:proofErr w:type="spellEnd"/>
      <w:r>
        <w:rPr>
          <w:rFonts w:ascii="Arial" w:hAnsi="Arial" w:cs="Arial"/>
          <w:bCs/>
          <w:color w:val="000000"/>
          <w:sz w:val="20"/>
          <w:szCs w:val="20"/>
        </w:rPr>
        <w:t xml:space="preserve"> (transparent cap), 1 bottle, </w:t>
      </w:r>
      <w:proofErr w:type="gramStart"/>
      <w:r>
        <w:rPr>
          <w:rFonts w:ascii="Arial" w:hAnsi="Arial" w:cs="Arial"/>
          <w:bCs/>
          <w:color w:val="000000"/>
          <w:sz w:val="20"/>
          <w:szCs w:val="20"/>
        </w:rPr>
        <w:t>6.5</w:t>
      </w:r>
      <w:proofErr w:type="gramEnd"/>
      <w:r>
        <w:rPr>
          <w:rFonts w:ascii="Arial" w:hAnsi="Arial" w:cs="Arial"/>
          <w:bCs/>
          <w:color w:val="000000"/>
          <w:sz w:val="20"/>
          <w:szCs w:val="20"/>
        </w:rPr>
        <w:t xml:space="preserve"> mL: Streptavidin-coated </w:t>
      </w:r>
      <w:proofErr w:type="spellStart"/>
      <w:r>
        <w:rPr>
          <w:rFonts w:ascii="Arial" w:hAnsi="Arial" w:cs="Arial"/>
          <w:bCs/>
          <w:color w:val="000000"/>
          <w:sz w:val="20"/>
          <w:szCs w:val="20"/>
        </w:rPr>
        <w:t>microparticles</w:t>
      </w:r>
      <w:proofErr w:type="spellEnd"/>
      <w:r>
        <w:rPr>
          <w:rFonts w:ascii="Arial" w:hAnsi="Arial" w:cs="Arial"/>
          <w:bCs/>
          <w:color w:val="000000"/>
          <w:sz w:val="20"/>
          <w:szCs w:val="20"/>
        </w:rPr>
        <w:t xml:space="preserve"> 0.72 mg/mL;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R1 – Intrinsic </w:t>
      </w:r>
      <w:proofErr w:type="spellStart"/>
      <w:r>
        <w:rPr>
          <w:rFonts w:ascii="Arial" w:hAnsi="Arial" w:cs="Arial"/>
          <w:bCs/>
          <w:color w:val="000000"/>
          <w:sz w:val="20"/>
          <w:szCs w:val="20"/>
        </w:rPr>
        <w:t>factor~Ru</w:t>
      </w:r>
      <w:proofErr w:type="spellEnd"/>
      <w:r>
        <w:rPr>
          <w:rFonts w:ascii="Arial" w:hAnsi="Arial" w:cs="Arial"/>
          <w:bCs/>
          <w:color w:val="000000"/>
          <w:sz w:val="20"/>
          <w:szCs w:val="20"/>
        </w:rPr>
        <w:t>(</w:t>
      </w:r>
      <w:proofErr w:type="spellStart"/>
      <w:r>
        <w:rPr>
          <w:rFonts w:ascii="Arial" w:hAnsi="Arial" w:cs="Arial"/>
          <w:bCs/>
          <w:color w:val="000000"/>
          <w:sz w:val="20"/>
          <w:szCs w:val="20"/>
        </w:rPr>
        <w:t>bpy</w:t>
      </w:r>
      <w:proofErr w:type="spellEnd"/>
      <w:r>
        <w:rPr>
          <w:rFonts w:ascii="Arial" w:hAnsi="Arial" w:cs="Arial"/>
          <w:bCs/>
          <w:color w:val="000000"/>
          <w:sz w:val="20"/>
          <w:szCs w:val="20"/>
        </w:rPr>
        <w:t>)</w:t>
      </w:r>
      <w:r>
        <w:rPr>
          <w:rFonts w:ascii="Arial" w:hAnsi="Arial" w:cs="Arial"/>
          <w:bCs/>
          <w:color w:val="000000"/>
          <w:sz w:val="20"/>
          <w:szCs w:val="20"/>
          <w:vertAlign w:val="subscript"/>
        </w:rPr>
        <w:t>3</w:t>
      </w:r>
      <w:r>
        <w:rPr>
          <w:rFonts w:ascii="Arial" w:hAnsi="Arial" w:cs="Arial"/>
          <w:bCs/>
          <w:color w:val="000000"/>
          <w:sz w:val="20"/>
          <w:szCs w:val="20"/>
          <w:vertAlign w:val="superscript"/>
        </w:rPr>
        <w:t>2+</w:t>
      </w:r>
      <w:r>
        <w:rPr>
          <w:rFonts w:ascii="Arial" w:hAnsi="Arial" w:cs="Arial"/>
          <w:bCs/>
          <w:color w:val="000000"/>
          <w:sz w:val="20"/>
          <w:szCs w:val="20"/>
        </w:rPr>
        <w:t xml:space="preserve"> (gray cap), 1 bottle, 10 mL: Ruthenium labeled recombinant porcine intrinsic factor 4ug/L; </w:t>
      </w:r>
      <w:proofErr w:type="spellStart"/>
      <w:r>
        <w:rPr>
          <w:rFonts w:ascii="Arial" w:hAnsi="Arial" w:cs="Arial"/>
          <w:bCs/>
          <w:color w:val="000000"/>
          <w:sz w:val="20"/>
          <w:szCs w:val="20"/>
        </w:rPr>
        <w:t>cobinamide</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dicyanide</w:t>
      </w:r>
      <w:proofErr w:type="spellEnd"/>
      <w:r>
        <w:rPr>
          <w:rFonts w:ascii="Arial" w:hAnsi="Arial" w:cs="Arial"/>
          <w:bCs/>
          <w:color w:val="000000"/>
          <w:sz w:val="20"/>
          <w:szCs w:val="20"/>
        </w:rPr>
        <w:t xml:space="preserve"> 15 </w:t>
      </w:r>
      <w:proofErr w:type="spellStart"/>
      <w:r>
        <w:rPr>
          <w:rFonts w:ascii="Arial" w:hAnsi="Arial" w:cs="Arial"/>
          <w:bCs/>
          <w:color w:val="000000"/>
          <w:sz w:val="20"/>
          <w:szCs w:val="20"/>
        </w:rPr>
        <w:t>ug</w:t>
      </w:r>
      <w:proofErr w:type="spellEnd"/>
      <w:r>
        <w:rPr>
          <w:rFonts w:ascii="Arial" w:hAnsi="Arial" w:cs="Arial"/>
          <w:bCs/>
          <w:color w:val="000000"/>
          <w:sz w:val="20"/>
          <w:szCs w:val="20"/>
        </w:rPr>
        <w:t>/L; stabilizer; human serum albumin; phosphate buffer, pH 5.5; preservative.</w:t>
      </w:r>
    </w:p>
    <w:p w:rsidR="00ED303D" w:rsidRPr="001206FF"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R2 – Vitamin B</w:t>
      </w:r>
      <w:r>
        <w:rPr>
          <w:rFonts w:ascii="Arial" w:hAnsi="Arial" w:cs="Arial"/>
          <w:bCs/>
          <w:color w:val="000000"/>
          <w:sz w:val="20"/>
          <w:szCs w:val="20"/>
          <w:vertAlign w:val="subscript"/>
        </w:rPr>
        <w:t>12</w:t>
      </w:r>
      <w:r>
        <w:rPr>
          <w:rFonts w:ascii="Arial" w:hAnsi="Arial" w:cs="Arial"/>
          <w:bCs/>
          <w:color w:val="000000"/>
          <w:sz w:val="20"/>
          <w:szCs w:val="20"/>
        </w:rPr>
        <w:t xml:space="preserve">~biotin (black cap), 1 bottle, 8.5 mL: Biotinylated vitamin B12 25 </w:t>
      </w:r>
      <w:proofErr w:type="spellStart"/>
      <w:r>
        <w:rPr>
          <w:rFonts w:ascii="Arial" w:hAnsi="Arial" w:cs="Arial"/>
          <w:bCs/>
          <w:color w:val="000000"/>
          <w:sz w:val="20"/>
          <w:szCs w:val="20"/>
        </w:rPr>
        <w:t>ug</w:t>
      </w:r>
      <w:proofErr w:type="spellEnd"/>
      <w:r>
        <w:rPr>
          <w:rFonts w:ascii="Arial" w:hAnsi="Arial" w:cs="Arial"/>
          <w:bCs/>
          <w:color w:val="000000"/>
          <w:sz w:val="20"/>
          <w:szCs w:val="20"/>
        </w:rPr>
        <w:t xml:space="preserve">/L; biotin 3 </w:t>
      </w:r>
      <w:proofErr w:type="spellStart"/>
      <w:r>
        <w:rPr>
          <w:rFonts w:ascii="Arial" w:hAnsi="Arial" w:cs="Arial"/>
          <w:bCs/>
          <w:color w:val="000000"/>
          <w:sz w:val="20"/>
          <w:szCs w:val="20"/>
        </w:rPr>
        <w:t>ug</w:t>
      </w:r>
      <w:proofErr w:type="spellEnd"/>
      <w:r>
        <w:rPr>
          <w:rFonts w:ascii="Arial" w:hAnsi="Arial" w:cs="Arial"/>
          <w:bCs/>
          <w:color w:val="000000"/>
          <w:sz w:val="20"/>
          <w:szCs w:val="20"/>
        </w:rPr>
        <w:t>/L; phosphate buffer, pH 7.0;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reagents in the kit have been assembled into a ready-for-use unit that cannot be separated.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Store the </w:t>
      </w:r>
      <w:proofErr w:type="spellStart"/>
      <w:r>
        <w:rPr>
          <w:rFonts w:ascii="Arial" w:hAnsi="Arial" w:cs="Arial"/>
          <w:bCs/>
          <w:color w:val="000000"/>
          <w:sz w:val="20"/>
          <w:szCs w:val="20"/>
        </w:rPr>
        <w:t>Elecsys</w:t>
      </w:r>
      <w:proofErr w:type="spellEnd"/>
      <w:r>
        <w:rPr>
          <w:rFonts w:ascii="Arial" w:hAnsi="Arial" w:cs="Arial"/>
          <w:bCs/>
          <w:color w:val="000000"/>
          <w:sz w:val="20"/>
          <w:szCs w:val="20"/>
        </w:rPr>
        <w:t xml:space="preserve"> reagent kit upright in order to ensure complete availability of the </w:t>
      </w:r>
      <w:proofErr w:type="spellStart"/>
      <w:r>
        <w:rPr>
          <w:rFonts w:ascii="Arial" w:hAnsi="Arial" w:cs="Arial"/>
          <w:bCs/>
          <w:color w:val="000000"/>
          <w:sz w:val="20"/>
          <w:szCs w:val="20"/>
        </w:rPr>
        <w:t>microparticles</w:t>
      </w:r>
      <w:proofErr w:type="spellEnd"/>
      <w:r>
        <w:rPr>
          <w:rFonts w:ascii="Arial" w:hAnsi="Arial" w:cs="Arial"/>
          <w:bCs/>
          <w:color w:val="000000"/>
          <w:sz w:val="20"/>
          <w:szCs w:val="20"/>
        </w:rPr>
        <w:t xml:space="preserve"> during automatic mixing prior to use.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Shelf </w:t>
      </w:r>
      <w:proofErr w:type="gramStart"/>
      <w:r>
        <w:rPr>
          <w:rFonts w:ascii="Arial" w:hAnsi="Arial" w:cs="Arial"/>
          <w:bCs/>
          <w:color w:val="000000"/>
          <w:sz w:val="20"/>
          <w:szCs w:val="20"/>
        </w:rPr>
        <w:t>life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see</w:t>
      </w:r>
      <w:proofErr w:type="gramEnd"/>
      <w:r>
        <w:rPr>
          <w:rFonts w:ascii="Arial" w:hAnsi="Arial" w:cs="Arial"/>
          <w:bCs/>
          <w:color w:val="000000"/>
          <w:sz w:val="20"/>
          <w:szCs w:val="20"/>
        </w:rPr>
        <w:t xml:space="preserve"> expiration date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After opening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12 weeks</w:t>
      </w:r>
    </w:p>
    <w:p w:rsidR="00ED303D" w:rsidRDefault="00ED303D" w:rsidP="00ED303D">
      <w:pPr>
        <w:autoSpaceDE w:val="0"/>
        <w:autoSpaceDN w:val="0"/>
        <w:adjustRightInd w:val="0"/>
        <w:spacing w:after="240"/>
        <w:ind w:left="4320" w:hanging="2820"/>
        <w:jc w:val="both"/>
        <w:rPr>
          <w:rFonts w:ascii="Arial" w:hAnsi="Arial" w:cs="Arial"/>
          <w:bCs/>
          <w:color w:val="000000"/>
          <w:sz w:val="20"/>
          <w:szCs w:val="20"/>
        </w:rPr>
      </w:pPr>
      <w:r>
        <w:rPr>
          <w:rFonts w:ascii="Arial" w:hAnsi="Arial" w:cs="Arial"/>
          <w:bCs/>
          <w:color w:val="000000"/>
          <w:sz w:val="20"/>
          <w:szCs w:val="20"/>
        </w:rPr>
        <w:t>On-board</w:t>
      </w:r>
      <w:r>
        <w:rPr>
          <w:rFonts w:ascii="Arial" w:hAnsi="Arial" w:cs="Arial"/>
          <w:bCs/>
          <w:color w:val="000000"/>
          <w:sz w:val="20"/>
          <w:szCs w:val="20"/>
        </w:rPr>
        <w:tab/>
        <w:t>5 weeks or 60 days when stored alternatively in the refrigerator and on the analyzer, with the total time onboard on the analyzer not exceeding 10 x 8 hours</w:t>
      </w:r>
    </w:p>
    <w:p w:rsidR="00ED303D" w:rsidRPr="0039284A" w:rsidRDefault="00ED303D" w:rsidP="00ED303D">
      <w:pPr>
        <w:autoSpaceDE w:val="0"/>
        <w:autoSpaceDN w:val="0"/>
        <w:adjustRightInd w:val="0"/>
        <w:spacing w:after="240"/>
        <w:ind w:firstLine="720"/>
        <w:jc w:val="both"/>
        <w:rPr>
          <w:rFonts w:ascii="Arial" w:hAnsi="Arial" w:cs="Arial"/>
          <w:bCs/>
          <w:color w:val="000000"/>
          <w:sz w:val="20"/>
          <w:szCs w:val="20"/>
        </w:rPr>
      </w:pPr>
      <w:r>
        <w:rPr>
          <w:rFonts w:ascii="Arial" w:hAnsi="Arial" w:cs="Arial"/>
          <w:bCs/>
          <w:color w:val="000000"/>
          <w:sz w:val="20"/>
          <w:szCs w:val="20"/>
        </w:rPr>
        <w:t xml:space="preserve">D. </w:t>
      </w:r>
      <w:r>
        <w:rPr>
          <w:rFonts w:ascii="Arial" w:hAnsi="Arial" w:cs="Arial"/>
          <w:bCs/>
          <w:color w:val="000000"/>
          <w:sz w:val="20"/>
          <w:szCs w:val="20"/>
        </w:rPr>
        <w:tab/>
      </w:r>
      <w:r w:rsidRPr="0039284A">
        <w:rPr>
          <w:rFonts w:ascii="Arial" w:hAnsi="Arial" w:cs="Arial"/>
          <w:bCs/>
          <w:color w:val="000000"/>
          <w:sz w:val="20"/>
          <w:szCs w:val="20"/>
        </w:rPr>
        <w:t>Calibrator</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Calibrator</w:t>
      </w:r>
      <w:r w:rsidRPr="0039284A">
        <w:rPr>
          <w:rFonts w:ascii="Arial" w:hAnsi="Arial" w:cs="Arial"/>
          <w:sz w:val="20"/>
          <w:szCs w:val="20"/>
        </w:rPr>
        <w:tab/>
      </w:r>
      <w:r w:rsidRPr="0039284A">
        <w:rPr>
          <w:rFonts w:ascii="Arial" w:hAnsi="Arial" w:cs="Arial"/>
          <w:sz w:val="20"/>
          <w:szCs w:val="20"/>
        </w:rPr>
        <w:tab/>
      </w:r>
      <w:r>
        <w:rPr>
          <w:rFonts w:ascii="Arial" w:hAnsi="Arial" w:cs="Arial"/>
          <w:sz w:val="20"/>
          <w:szCs w:val="20"/>
        </w:rPr>
        <w:t xml:space="preserve">Vitamin B12 </w:t>
      </w:r>
      <w:proofErr w:type="spellStart"/>
      <w:r>
        <w:rPr>
          <w:rFonts w:ascii="Arial" w:hAnsi="Arial" w:cs="Arial"/>
          <w:sz w:val="20"/>
          <w:szCs w:val="20"/>
        </w:rPr>
        <w:t>CalSet</w:t>
      </w:r>
      <w:proofErr w:type="spellEnd"/>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ab/>
      </w:r>
      <w:r w:rsidRPr="0039284A">
        <w:rPr>
          <w:rFonts w:ascii="Arial" w:hAnsi="Arial" w:cs="Arial"/>
          <w:sz w:val="20"/>
          <w:szCs w:val="20"/>
        </w:rPr>
        <w:tab/>
      </w:r>
      <w:r w:rsidRPr="0039284A">
        <w:rPr>
          <w:rFonts w:ascii="Arial" w:hAnsi="Arial" w:cs="Arial"/>
          <w:sz w:val="20"/>
          <w:szCs w:val="20"/>
        </w:rPr>
        <w:tab/>
      </w:r>
    </w:p>
    <w:p w:rsidR="00ED303D" w:rsidRDefault="00ED303D" w:rsidP="00ED303D">
      <w:pPr>
        <w:pStyle w:val="NcclsPara"/>
        <w:ind w:left="1440"/>
        <w:rPr>
          <w:rFonts w:ascii="Arial" w:hAnsi="Arial" w:cs="Arial"/>
          <w:sz w:val="20"/>
          <w:szCs w:val="20"/>
        </w:rPr>
      </w:pPr>
      <w:r w:rsidRPr="0039284A">
        <w:rPr>
          <w:rFonts w:ascii="Arial" w:hAnsi="Arial" w:cs="Arial"/>
          <w:sz w:val="20"/>
          <w:szCs w:val="20"/>
        </w:rPr>
        <w:t xml:space="preserve">Traceability: This method has been standardized </w:t>
      </w:r>
      <w:r>
        <w:rPr>
          <w:rFonts w:ascii="Arial" w:hAnsi="Arial" w:cs="Arial"/>
          <w:sz w:val="20"/>
          <w:szCs w:val="20"/>
        </w:rPr>
        <w:t xml:space="preserve">against the </w:t>
      </w:r>
      <w:proofErr w:type="spellStart"/>
      <w:r>
        <w:rPr>
          <w:rFonts w:ascii="Arial" w:hAnsi="Arial" w:cs="Arial"/>
          <w:sz w:val="20"/>
          <w:szCs w:val="20"/>
        </w:rPr>
        <w:t>Elecsys</w:t>
      </w:r>
      <w:proofErr w:type="spellEnd"/>
      <w:r>
        <w:rPr>
          <w:rFonts w:ascii="Arial" w:hAnsi="Arial" w:cs="Arial"/>
          <w:sz w:val="20"/>
          <w:szCs w:val="20"/>
        </w:rPr>
        <w:t xml:space="preserve"> Vitamin B12 assay.  Accuracy to WHO Standard 03/178</w:t>
      </w:r>
    </w:p>
    <w:p w:rsidR="00ED303D" w:rsidRDefault="00ED303D" w:rsidP="00ED303D">
      <w:pPr>
        <w:pStyle w:val="NcclsPara"/>
        <w:ind w:left="1440"/>
        <w:rPr>
          <w:rFonts w:ascii="Arial" w:hAnsi="Arial" w:cs="Arial"/>
          <w:sz w:val="20"/>
          <w:szCs w:val="20"/>
        </w:rPr>
      </w:pPr>
      <w:r>
        <w:rPr>
          <w:rFonts w:ascii="Arial" w:hAnsi="Arial" w:cs="Arial"/>
          <w:sz w:val="20"/>
          <w:szCs w:val="20"/>
        </w:rPr>
        <w:t xml:space="preserve">Every </w:t>
      </w:r>
      <w:proofErr w:type="spellStart"/>
      <w:r>
        <w:rPr>
          <w:rFonts w:ascii="Arial" w:hAnsi="Arial" w:cs="Arial"/>
          <w:sz w:val="20"/>
          <w:szCs w:val="20"/>
        </w:rPr>
        <w:t>Elecsys</w:t>
      </w:r>
      <w:proofErr w:type="spellEnd"/>
      <w:r>
        <w:rPr>
          <w:rFonts w:ascii="Arial" w:hAnsi="Arial" w:cs="Arial"/>
          <w:sz w:val="20"/>
          <w:szCs w:val="20"/>
        </w:rPr>
        <w:t xml:space="preserve"> reagent set has a barcoded label containing specific information for calibration of the particular reagent lot.  The predefined master curve is adapted to the analyzer using the relevant </w:t>
      </w:r>
      <w:proofErr w:type="spellStart"/>
      <w:r>
        <w:rPr>
          <w:rFonts w:ascii="Arial" w:hAnsi="Arial" w:cs="Arial"/>
          <w:sz w:val="20"/>
          <w:szCs w:val="20"/>
        </w:rPr>
        <w:t>CalSet</w:t>
      </w:r>
      <w:proofErr w:type="spellEnd"/>
      <w:r>
        <w:rPr>
          <w:rFonts w:ascii="Arial" w:hAnsi="Arial" w:cs="Arial"/>
          <w:sz w:val="20"/>
          <w:szCs w:val="20"/>
        </w:rPr>
        <w:t>.</w:t>
      </w:r>
    </w:p>
    <w:p w:rsidR="00ED303D" w:rsidRDefault="00ED303D" w:rsidP="00ED303D">
      <w:pPr>
        <w:pStyle w:val="NcclsPara"/>
        <w:ind w:left="1440"/>
        <w:rPr>
          <w:rFonts w:ascii="Arial" w:hAnsi="Arial" w:cs="Arial"/>
          <w:sz w:val="20"/>
          <w:szCs w:val="20"/>
        </w:rPr>
      </w:pPr>
    </w:p>
    <w:p w:rsidR="00ED303D" w:rsidRPr="008654AC" w:rsidRDefault="00ED303D" w:rsidP="00ED303D">
      <w:pPr>
        <w:pStyle w:val="NoSpacing"/>
        <w:ind w:left="1440"/>
        <w:rPr>
          <w:rFonts w:ascii="Arial" w:hAnsi="Arial" w:cs="Arial"/>
          <w:sz w:val="20"/>
          <w:szCs w:val="20"/>
        </w:rPr>
      </w:pPr>
      <w:r w:rsidRPr="008654AC">
        <w:rPr>
          <w:rFonts w:ascii="Arial" w:hAnsi="Arial" w:cs="Arial"/>
          <w:i/>
          <w:sz w:val="20"/>
          <w:szCs w:val="20"/>
        </w:rPr>
        <w:t>Calibration frequency</w:t>
      </w:r>
      <w:r w:rsidRPr="008654AC">
        <w:rPr>
          <w:rFonts w:ascii="Arial" w:hAnsi="Arial" w:cs="Arial"/>
          <w:sz w:val="20"/>
          <w:szCs w:val="20"/>
        </w:rPr>
        <w:t>: Calibration must be performed once per reagent lot using fresh reagent (i.e. not more than 24 hours since the reagent kit was registered on the analyzer). Renewed calibration is recommended as follows:</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r>
      <w:proofErr w:type="gramStart"/>
      <w:r w:rsidRPr="008654AC">
        <w:rPr>
          <w:rFonts w:ascii="Arial" w:hAnsi="Arial" w:cs="Arial"/>
          <w:sz w:val="20"/>
          <w:szCs w:val="20"/>
        </w:rPr>
        <w:t>after</w:t>
      </w:r>
      <w:proofErr w:type="gramEnd"/>
      <w:r w:rsidRPr="008654AC">
        <w:rPr>
          <w:rFonts w:ascii="Arial" w:hAnsi="Arial" w:cs="Arial"/>
          <w:sz w:val="20"/>
          <w:szCs w:val="20"/>
        </w:rPr>
        <w:t xml:space="preserve"> 1 month (28 days) when using the same reagent lot</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r>
      <w:proofErr w:type="gramStart"/>
      <w:r w:rsidRPr="008654AC">
        <w:rPr>
          <w:rFonts w:ascii="Arial" w:hAnsi="Arial" w:cs="Arial"/>
          <w:sz w:val="20"/>
          <w:szCs w:val="20"/>
        </w:rPr>
        <w:t>after</w:t>
      </w:r>
      <w:proofErr w:type="gramEnd"/>
      <w:r w:rsidRPr="008654AC">
        <w:rPr>
          <w:rFonts w:ascii="Arial" w:hAnsi="Arial" w:cs="Arial"/>
          <w:sz w:val="20"/>
          <w:szCs w:val="20"/>
        </w:rPr>
        <w:t xml:space="preserve"> 7 days (when using the same reagent kit on the analyzer)</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r>
      <w:proofErr w:type="gramStart"/>
      <w:r w:rsidRPr="008654AC">
        <w:rPr>
          <w:rFonts w:ascii="Arial" w:hAnsi="Arial" w:cs="Arial"/>
          <w:sz w:val="20"/>
          <w:szCs w:val="20"/>
        </w:rPr>
        <w:t>as</w:t>
      </w:r>
      <w:proofErr w:type="gramEnd"/>
      <w:r w:rsidRPr="008654AC">
        <w:rPr>
          <w:rFonts w:ascii="Arial" w:hAnsi="Arial" w:cs="Arial"/>
          <w:sz w:val="20"/>
          <w:szCs w:val="20"/>
        </w:rPr>
        <w:t xml:space="preserve"> required: e.g. quality control findings outside the defined limits</w:t>
      </w:r>
    </w:p>
    <w:p w:rsidR="00ED303D" w:rsidRPr="00B0633A" w:rsidRDefault="00ED303D" w:rsidP="00ED303D">
      <w:pPr>
        <w:pStyle w:val="NcclsPara"/>
        <w:ind w:left="1440"/>
        <w:rPr>
          <w:rFonts w:ascii="Arial" w:hAnsi="Arial" w:cs="Arial"/>
          <w:sz w:val="20"/>
          <w:szCs w:val="20"/>
        </w:rPr>
      </w:pPr>
      <w:r w:rsidRPr="007C1D50">
        <w:rPr>
          <w:rFonts w:ascii="Arial" w:hAnsi="Arial" w:cs="Arial"/>
          <w:bCs/>
          <w:color w:val="000000"/>
          <w:sz w:val="20"/>
          <w:szCs w:val="20"/>
        </w:rPr>
        <w:lastRenderedPageBreak/>
        <w:t xml:space="preserve"> </w:t>
      </w:r>
    </w:p>
    <w:p w:rsidR="00ED303D" w:rsidRPr="00E97BA6" w:rsidRDefault="00ED303D" w:rsidP="00ED303D">
      <w:pPr>
        <w:numPr>
          <w:ilvl w:val="0"/>
          <w:numId w:val="22"/>
        </w:numPr>
        <w:autoSpaceDE w:val="0"/>
        <w:autoSpaceDN w:val="0"/>
        <w:adjustRightInd w:val="0"/>
        <w:spacing w:after="240"/>
        <w:ind w:left="720"/>
        <w:jc w:val="both"/>
        <w:rPr>
          <w:rFonts w:ascii="Arial" w:hAnsi="Arial" w:cs="Arial"/>
          <w:b/>
          <w:bCs/>
          <w:color w:val="000000"/>
          <w:sz w:val="20"/>
          <w:szCs w:val="20"/>
        </w:rPr>
      </w:pPr>
      <w:r w:rsidRPr="007C1D50">
        <w:rPr>
          <w:rFonts w:ascii="Arial" w:hAnsi="Arial" w:cs="Arial"/>
          <w:b/>
          <w:bCs/>
          <w:color w:val="000000"/>
          <w:sz w:val="20"/>
          <w:szCs w:val="20"/>
        </w:rPr>
        <w:t xml:space="preserve">PROCEDURE </w:t>
      </w:r>
    </w:p>
    <w:p w:rsidR="00ED303D" w:rsidRDefault="00ED303D" w:rsidP="00ED303D">
      <w:pPr>
        <w:ind w:firstLine="720"/>
      </w:pPr>
      <w:r>
        <w:t>Refer to general cobas e411 analyzer operating procedure SW.CP.GL.lab.0102</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IX.</w:t>
      </w:r>
      <w:r w:rsidRPr="007C1D50">
        <w:rPr>
          <w:rFonts w:ascii="Arial" w:hAnsi="Arial" w:cs="Arial"/>
          <w:b/>
          <w:bCs/>
          <w:color w:val="000000"/>
          <w:sz w:val="20"/>
          <w:szCs w:val="20"/>
        </w:rPr>
        <w:tab/>
        <w:t>LIMITATIONS</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Samples should not be taken from patients receiving therapy with high biotin doses (</w:t>
      </w:r>
      <w:proofErr w:type="spellStart"/>
      <w:r>
        <w:rPr>
          <w:rFonts w:ascii="Arial" w:hAnsi="Arial" w:cs="Arial"/>
          <w:bCs/>
          <w:color w:val="000000"/>
          <w:sz w:val="20"/>
          <w:szCs w:val="20"/>
        </w:rPr>
        <w:t>i</w:t>
      </w:r>
      <w:proofErr w:type="spellEnd"/>
      <w:proofErr w:type="gramStart"/>
      <w:r>
        <w:rPr>
          <w:rFonts w:ascii="Arial" w:hAnsi="Arial" w:cs="Arial"/>
          <w:bCs/>
          <w:color w:val="000000"/>
          <w:sz w:val="20"/>
          <w:szCs w:val="20"/>
        </w:rPr>
        <w:t>..e. &gt;5 mg/day) until at least 8 hours following the last biotin administration.</w:t>
      </w:r>
      <w:proofErr w:type="gramEnd"/>
      <w:r>
        <w:rPr>
          <w:rFonts w:ascii="Arial" w:hAnsi="Arial" w:cs="Arial"/>
          <w:bCs/>
          <w:color w:val="000000"/>
          <w:sz w:val="20"/>
          <w:szCs w:val="20"/>
        </w:rPr>
        <w:t xml:space="preserve">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No interference was observed from rheumatoid factors up to a concentration of 1500 IU/</w:t>
      </w:r>
      <w:proofErr w:type="spellStart"/>
      <w:r>
        <w:rPr>
          <w:rFonts w:ascii="Arial" w:hAnsi="Arial" w:cs="Arial"/>
          <w:bCs/>
          <w:color w:val="000000"/>
          <w:sz w:val="20"/>
          <w:szCs w:val="20"/>
        </w:rPr>
        <w:t>mL.</w:t>
      </w:r>
      <w:proofErr w:type="spellEnd"/>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In vitro tests were performed on 16 commonly used pharmaceuticals.  No interference with the assay was found.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In rare cases, interference due to extremely high titers of antibodies to analyte-specific antibodies, streptavidin or ruthenium can occur.  These effects are minimized by suitable test design.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Because intrinsic factor is typically used as the binding protein in serum vitamin B</w:t>
      </w:r>
      <w:r>
        <w:rPr>
          <w:rFonts w:ascii="Arial" w:hAnsi="Arial" w:cs="Arial"/>
          <w:bCs/>
          <w:color w:val="000000"/>
          <w:sz w:val="20"/>
          <w:szCs w:val="20"/>
          <w:vertAlign w:val="subscript"/>
        </w:rPr>
        <w:t>12</w:t>
      </w:r>
      <w:r>
        <w:rPr>
          <w:rFonts w:ascii="Arial" w:hAnsi="Arial" w:cs="Arial"/>
          <w:bCs/>
          <w:color w:val="000000"/>
          <w:sz w:val="20"/>
          <w:szCs w:val="20"/>
        </w:rPr>
        <w:t xml:space="preserve"> assays, anti-intrinsic factor antibodies (which are common in pernicious anemia) can lead to elevated vitamin B</w:t>
      </w:r>
      <w:r>
        <w:rPr>
          <w:rFonts w:ascii="Arial" w:hAnsi="Arial" w:cs="Arial"/>
          <w:bCs/>
          <w:color w:val="000000"/>
          <w:sz w:val="20"/>
          <w:szCs w:val="20"/>
          <w:vertAlign w:val="subscript"/>
        </w:rPr>
        <w:t xml:space="preserve">12 </w:t>
      </w:r>
      <w:r w:rsidRPr="00CB2ABC">
        <w:rPr>
          <w:rFonts w:ascii="Arial" w:hAnsi="Arial" w:cs="Arial"/>
          <w:bCs/>
          <w:color w:val="000000"/>
          <w:sz w:val="20"/>
          <w:szCs w:val="20"/>
        </w:rPr>
        <w:t>measurement values.</w:t>
      </w:r>
      <w:r>
        <w:rPr>
          <w:rFonts w:ascii="Arial" w:hAnsi="Arial" w:cs="Arial"/>
          <w:bCs/>
          <w:color w:val="000000"/>
          <w:sz w:val="20"/>
          <w:szCs w:val="20"/>
          <w:vertAlign w:val="superscript"/>
        </w:rPr>
        <w:t>2</w:t>
      </w:r>
      <w:proofErr w:type="gramStart"/>
      <w:r>
        <w:rPr>
          <w:rFonts w:ascii="Arial" w:hAnsi="Arial" w:cs="Arial"/>
          <w:bCs/>
          <w:color w:val="000000"/>
          <w:sz w:val="20"/>
          <w:szCs w:val="20"/>
          <w:vertAlign w:val="superscript"/>
        </w:rPr>
        <w:t>,11,12</w:t>
      </w:r>
      <w:proofErr w:type="gramEnd"/>
      <w:r>
        <w:rPr>
          <w:rFonts w:ascii="Arial" w:hAnsi="Arial" w:cs="Arial"/>
          <w:bCs/>
          <w:color w:val="000000"/>
          <w:sz w:val="20"/>
          <w:szCs w:val="20"/>
        </w:rPr>
        <w:t xml:space="preserve">  The </w:t>
      </w:r>
      <w:proofErr w:type="spellStart"/>
      <w:r>
        <w:rPr>
          <w:rFonts w:ascii="Arial" w:hAnsi="Arial" w:cs="Arial"/>
          <w:bCs/>
          <w:color w:val="000000"/>
          <w:sz w:val="20"/>
          <w:szCs w:val="20"/>
        </w:rPr>
        <w:t>Elecsys</w:t>
      </w:r>
      <w:proofErr w:type="spellEnd"/>
      <w:r>
        <w:rPr>
          <w:rFonts w:ascii="Arial" w:hAnsi="Arial" w:cs="Arial"/>
          <w:bCs/>
          <w:color w:val="000000"/>
          <w:sz w:val="20"/>
          <w:szCs w:val="20"/>
        </w:rPr>
        <w:t xml:space="preserve"> Vitamin B12 II assay is designed to avoid interference due to anti-intrinsic factor antibodies.</w:t>
      </w:r>
      <w:r>
        <w:rPr>
          <w:rFonts w:ascii="Arial" w:hAnsi="Arial" w:cs="Arial"/>
          <w:bCs/>
          <w:color w:val="000000"/>
          <w:sz w:val="20"/>
          <w:szCs w:val="20"/>
          <w:vertAlign w:val="superscript"/>
        </w:rPr>
        <w:t>13</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Samples with extremely high total protein concentrations (hyperproteinemia) are not suitable for use in this assay.  Hyperproteinemia may be cause by, but not limited to, the following conditions: Lymphoma,</w:t>
      </w:r>
      <w:r>
        <w:rPr>
          <w:rFonts w:ascii="Arial" w:hAnsi="Arial" w:cs="Arial"/>
          <w:bCs/>
          <w:color w:val="000000"/>
          <w:sz w:val="20"/>
          <w:szCs w:val="20"/>
          <w:vertAlign w:val="superscript"/>
        </w:rPr>
        <w:t>14</w:t>
      </w:r>
      <w:r>
        <w:rPr>
          <w:rFonts w:ascii="Arial" w:hAnsi="Arial" w:cs="Arial"/>
          <w:bCs/>
          <w:color w:val="000000"/>
          <w:sz w:val="20"/>
          <w:szCs w:val="20"/>
        </w:rPr>
        <w:t xml:space="preserve"> bone marrow disorders such as multiple myeloma, monoclonal </w:t>
      </w:r>
      <w:proofErr w:type="spellStart"/>
      <w:r>
        <w:rPr>
          <w:rFonts w:ascii="Arial" w:hAnsi="Arial" w:cs="Arial"/>
          <w:bCs/>
          <w:color w:val="000000"/>
          <w:sz w:val="20"/>
          <w:szCs w:val="20"/>
        </w:rPr>
        <w:t>gammopathy</w:t>
      </w:r>
      <w:proofErr w:type="spellEnd"/>
      <w:r>
        <w:rPr>
          <w:rFonts w:ascii="Arial" w:hAnsi="Arial" w:cs="Arial"/>
          <w:bCs/>
          <w:color w:val="000000"/>
          <w:sz w:val="20"/>
          <w:szCs w:val="20"/>
        </w:rPr>
        <w:t xml:space="preserve"> of undetermined significance (MGUS), </w:t>
      </w:r>
      <w:proofErr w:type="spellStart"/>
      <w:r>
        <w:rPr>
          <w:rFonts w:ascii="Arial" w:hAnsi="Arial" w:cs="Arial"/>
          <w:bCs/>
          <w:color w:val="000000"/>
          <w:sz w:val="20"/>
          <w:szCs w:val="20"/>
        </w:rPr>
        <w:t>Waldenstrom</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macroglobulinemia</w:t>
      </w:r>
      <w:proofErr w:type="spellEnd"/>
      <w:r>
        <w:rPr>
          <w:rFonts w:ascii="Arial" w:hAnsi="Arial" w:cs="Arial"/>
          <w:bCs/>
          <w:color w:val="000000"/>
          <w:sz w:val="20"/>
          <w:szCs w:val="20"/>
        </w:rPr>
        <w:t>, plasmocytoma,</w:t>
      </w:r>
      <w:r>
        <w:rPr>
          <w:rFonts w:ascii="Arial" w:hAnsi="Arial" w:cs="Arial"/>
          <w:bCs/>
          <w:color w:val="000000"/>
          <w:sz w:val="20"/>
          <w:szCs w:val="20"/>
          <w:vertAlign w:val="superscript"/>
        </w:rPr>
        <w:t>15,16,17,18</w:t>
      </w:r>
      <w:r>
        <w:rPr>
          <w:rFonts w:ascii="Arial" w:hAnsi="Arial" w:cs="Arial"/>
          <w:bCs/>
          <w:color w:val="000000"/>
          <w:sz w:val="20"/>
          <w:szCs w:val="20"/>
        </w:rPr>
        <w:t xml:space="preserve"> Amyloidosis.</w:t>
      </w:r>
      <w:r>
        <w:rPr>
          <w:rFonts w:ascii="Arial" w:hAnsi="Arial" w:cs="Arial"/>
          <w:bCs/>
          <w:color w:val="000000"/>
          <w:sz w:val="20"/>
          <w:szCs w:val="20"/>
          <w:vertAlign w:val="superscript"/>
        </w:rPr>
        <w:t>19,20,21,22</w:t>
      </w:r>
      <w:r>
        <w:rPr>
          <w:rFonts w:ascii="Arial" w:hAnsi="Arial" w:cs="Arial"/>
          <w:bCs/>
          <w:color w:val="000000"/>
          <w:sz w:val="20"/>
          <w:szCs w:val="20"/>
        </w:rPr>
        <w:t xml:space="preserve">  Respective samples may lead to the formation of protein gel in the assay cup, which may cause a run abort.  The critical total protein concentration is dependent upon the individual sample concentration.</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For diagnostic purposes, the results should always be assessed in conjunction with the patient’s medical history, clinical examination and other findings.  </w:t>
      </w:r>
    </w:p>
    <w:p w:rsidR="00ED303D" w:rsidRPr="00CB2ABC"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Note: The presence of immunoglobulin-vitamin B</w:t>
      </w:r>
      <w:r>
        <w:rPr>
          <w:rFonts w:ascii="Arial" w:hAnsi="Arial" w:cs="Arial"/>
          <w:bCs/>
          <w:color w:val="000000"/>
          <w:sz w:val="20"/>
          <w:szCs w:val="20"/>
          <w:vertAlign w:val="subscript"/>
        </w:rPr>
        <w:t>12</w:t>
      </w:r>
      <w:r>
        <w:rPr>
          <w:rFonts w:ascii="Arial" w:hAnsi="Arial" w:cs="Arial"/>
          <w:bCs/>
          <w:color w:val="000000"/>
          <w:sz w:val="20"/>
          <w:szCs w:val="20"/>
        </w:rPr>
        <w:t xml:space="preserve"> complexes may cause unexpectedly high values of vitamin B</w:t>
      </w:r>
      <w:r>
        <w:rPr>
          <w:rFonts w:ascii="Arial" w:hAnsi="Arial" w:cs="Arial"/>
          <w:bCs/>
          <w:color w:val="000000"/>
          <w:sz w:val="20"/>
          <w:szCs w:val="20"/>
          <w:vertAlign w:val="subscript"/>
        </w:rPr>
        <w:t>12</w:t>
      </w:r>
      <w:r>
        <w:rPr>
          <w:rFonts w:ascii="Arial" w:hAnsi="Arial" w:cs="Arial"/>
          <w:bCs/>
          <w:color w:val="000000"/>
          <w:sz w:val="20"/>
          <w:szCs w:val="20"/>
        </w:rPr>
        <w:t>.</w:t>
      </w:r>
      <w:r>
        <w:rPr>
          <w:rFonts w:ascii="Arial" w:hAnsi="Arial" w:cs="Arial"/>
          <w:bCs/>
          <w:color w:val="000000"/>
          <w:sz w:val="20"/>
          <w:szCs w:val="20"/>
          <w:vertAlign w:val="superscript"/>
        </w:rPr>
        <w:t>23</w:t>
      </w:r>
      <w:proofErr w:type="gramStart"/>
      <w:r>
        <w:rPr>
          <w:rFonts w:ascii="Arial" w:hAnsi="Arial" w:cs="Arial"/>
          <w:bCs/>
          <w:color w:val="000000"/>
          <w:sz w:val="20"/>
          <w:szCs w:val="20"/>
          <w:vertAlign w:val="superscript"/>
        </w:rPr>
        <w:t>,24</w:t>
      </w:r>
      <w:proofErr w:type="gramEnd"/>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w:t>
      </w:r>
      <w:r w:rsidRPr="007C1D50">
        <w:rPr>
          <w:rFonts w:ascii="Arial" w:hAnsi="Arial" w:cs="Arial"/>
          <w:b/>
          <w:bCs/>
          <w:color w:val="000000"/>
          <w:sz w:val="20"/>
          <w:szCs w:val="20"/>
        </w:rPr>
        <w:tab/>
        <w:t>CALCULATIONS</w:t>
      </w:r>
    </w:p>
    <w:p w:rsidR="00ED303D" w:rsidRPr="00EC5430" w:rsidRDefault="00ED303D" w:rsidP="00ED303D">
      <w:pPr>
        <w:ind w:left="720"/>
        <w:rPr>
          <w:rFonts w:ascii="Arial" w:hAnsi="Arial" w:cs="Arial"/>
          <w:sz w:val="20"/>
          <w:szCs w:val="20"/>
        </w:rPr>
      </w:pPr>
      <w:r w:rsidRPr="00EC5430">
        <w:rPr>
          <w:rFonts w:ascii="Arial" w:hAnsi="Arial" w:cs="Arial"/>
          <w:sz w:val="20"/>
          <w:szCs w:val="20"/>
        </w:rPr>
        <w:t xml:space="preserve">COBAS </w:t>
      </w:r>
      <w:r>
        <w:rPr>
          <w:rFonts w:ascii="Arial" w:hAnsi="Arial" w:cs="Arial"/>
          <w:sz w:val="20"/>
          <w:szCs w:val="20"/>
        </w:rPr>
        <w:t>e411</w:t>
      </w:r>
      <w:r w:rsidRPr="00EC5430">
        <w:rPr>
          <w:rFonts w:ascii="Arial" w:hAnsi="Arial" w:cs="Arial"/>
          <w:sz w:val="20"/>
          <w:szCs w:val="20"/>
        </w:rPr>
        <w:t xml:space="preserve"> analyzers automatically calculate the analyte concentration of each sample.</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w:t>
      </w:r>
      <w:r w:rsidRPr="007C1D50">
        <w:rPr>
          <w:rFonts w:ascii="Arial" w:hAnsi="Arial" w:cs="Arial"/>
          <w:b/>
          <w:bCs/>
          <w:color w:val="000000"/>
          <w:sz w:val="20"/>
          <w:szCs w:val="20"/>
        </w:rPr>
        <w:tab/>
      </w:r>
      <w:r>
        <w:rPr>
          <w:rFonts w:ascii="Arial" w:hAnsi="Arial" w:cs="Arial"/>
          <w:b/>
          <w:bCs/>
          <w:color w:val="000000"/>
          <w:sz w:val="20"/>
          <w:szCs w:val="20"/>
        </w:rPr>
        <w:t>MEASURING RANGE AND DILUTIONS</w:t>
      </w:r>
    </w:p>
    <w:p w:rsidR="00ED303D" w:rsidRDefault="00ED303D" w:rsidP="00ED303D">
      <w:pPr>
        <w:pStyle w:val="NcclsPara"/>
        <w:ind w:left="720"/>
        <w:rPr>
          <w:rFonts w:ascii="Arial" w:hAnsi="Arial" w:cs="Arial"/>
          <w:sz w:val="20"/>
          <w:szCs w:val="20"/>
        </w:rPr>
      </w:pPr>
      <w:r>
        <w:rPr>
          <w:rFonts w:ascii="Arial" w:hAnsi="Arial" w:cs="Arial"/>
          <w:b/>
          <w:bCs/>
          <w:color w:val="000000"/>
          <w:sz w:val="20"/>
          <w:szCs w:val="20"/>
        </w:rPr>
        <w:t xml:space="preserve"> </w:t>
      </w:r>
      <w:r w:rsidRPr="00EC5430">
        <w:rPr>
          <w:rFonts w:ascii="Arial" w:hAnsi="Arial" w:cs="Arial"/>
          <w:sz w:val="20"/>
          <w:szCs w:val="20"/>
        </w:rPr>
        <w:t>Refer to the Roche Range Chart for the measuring range and manual dilution guidelines (SW.</w:t>
      </w:r>
      <w:r w:rsidR="005B6878">
        <w:rPr>
          <w:rFonts w:ascii="Arial" w:hAnsi="Arial" w:cs="Arial"/>
          <w:sz w:val="20"/>
          <w:szCs w:val="20"/>
        </w:rPr>
        <w:t>C</w:t>
      </w:r>
      <w:r w:rsidRPr="00EC5430">
        <w:rPr>
          <w:rFonts w:ascii="Arial" w:hAnsi="Arial" w:cs="Arial"/>
          <w:sz w:val="20"/>
          <w:szCs w:val="20"/>
        </w:rPr>
        <w:t>P.GL.jad.0104).</w:t>
      </w:r>
    </w:p>
    <w:p w:rsidR="005B6878" w:rsidRDefault="005B6878" w:rsidP="00ED303D">
      <w:pPr>
        <w:pStyle w:val="NcclsPara"/>
        <w:ind w:left="720"/>
        <w:rPr>
          <w:rFonts w:ascii="Arial" w:hAnsi="Arial" w:cs="Arial"/>
          <w:sz w:val="20"/>
          <w:szCs w:val="20"/>
        </w:rPr>
      </w:pPr>
    </w:p>
    <w:p w:rsidR="005B6878" w:rsidRDefault="005B6878" w:rsidP="00ED303D">
      <w:pPr>
        <w:pStyle w:val="NcclsPara"/>
        <w:ind w:left="720"/>
        <w:rPr>
          <w:rFonts w:ascii="Arial" w:hAnsi="Arial" w:cs="Arial"/>
          <w:sz w:val="20"/>
          <w:szCs w:val="20"/>
        </w:rPr>
      </w:pPr>
    </w:p>
    <w:p w:rsidR="005B6878" w:rsidRPr="00EC5430" w:rsidRDefault="005B6878" w:rsidP="00ED303D">
      <w:pPr>
        <w:pStyle w:val="NcclsPara"/>
        <w:ind w:left="720"/>
        <w:rPr>
          <w:rFonts w:ascii="Arial" w:hAnsi="Arial" w:cs="Arial"/>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lastRenderedPageBreak/>
        <w:t xml:space="preserve">XII. </w:t>
      </w:r>
      <w:r>
        <w:rPr>
          <w:rFonts w:ascii="Arial" w:hAnsi="Arial" w:cs="Arial"/>
          <w:b/>
          <w:bCs/>
          <w:color w:val="000000"/>
          <w:sz w:val="20"/>
          <w:szCs w:val="20"/>
        </w:rPr>
        <w:tab/>
      </w:r>
      <w:r w:rsidRPr="007C1D50">
        <w:rPr>
          <w:rFonts w:ascii="Arial" w:hAnsi="Arial" w:cs="Arial"/>
          <w:b/>
          <w:bCs/>
          <w:color w:val="000000"/>
          <w:sz w:val="20"/>
          <w:szCs w:val="20"/>
        </w:rPr>
        <w:t>INTERPRETATION</w:t>
      </w:r>
    </w:p>
    <w:p w:rsidR="00ED303D" w:rsidRPr="00E35AAC" w:rsidRDefault="00ED303D" w:rsidP="00ED303D">
      <w:pPr>
        <w:ind w:left="720"/>
        <w:rPr>
          <w:b/>
        </w:rPr>
      </w:pPr>
      <w:r w:rsidRPr="002B7602">
        <w:t>Refer to Reference Range guide for age appropriate referen</w:t>
      </w:r>
      <w:r>
        <w:t>ce ranges and critical value levels (SW.CP.GL.jad.0103).</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w:t>
      </w:r>
      <w:r w:rsidRPr="007C1D50">
        <w:rPr>
          <w:rFonts w:ascii="Arial" w:hAnsi="Arial" w:cs="Arial"/>
          <w:b/>
          <w:bCs/>
          <w:color w:val="000000"/>
          <w:sz w:val="20"/>
          <w:szCs w:val="20"/>
        </w:rPr>
        <w:tab/>
        <w:t>RESULT REPORTING</w:t>
      </w:r>
    </w:p>
    <w:p w:rsidR="00ED303D" w:rsidRDefault="00ED303D" w:rsidP="00ED303D">
      <w:pPr>
        <w:ind w:left="720"/>
      </w:pPr>
      <w:r>
        <w:t>Results are generally reported via the DI Middleware-refer to procedure SW.CP.GL.lab.0103.</w:t>
      </w:r>
    </w:p>
    <w:p w:rsidR="00ED303D" w:rsidRPr="00A97B4F" w:rsidRDefault="00ED303D" w:rsidP="00ED303D">
      <w:pPr>
        <w:autoSpaceDE w:val="0"/>
        <w:autoSpaceDN w:val="0"/>
        <w:adjustRightInd w:val="0"/>
        <w:spacing w:after="240"/>
        <w:ind w:left="720"/>
        <w:jc w:val="both"/>
        <w:rPr>
          <w:rFonts w:ascii="Arial" w:hAnsi="Arial" w:cs="Arial"/>
          <w:sz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XIII.</w:t>
      </w:r>
      <w:r w:rsidRPr="007C1D50">
        <w:rPr>
          <w:rFonts w:ascii="Arial" w:hAnsi="Arial" w:cs="Arial"/>
          <w:b/>
          <w:bCs/>
          <w:color w:val="000000"/>
          <w:sz w:val="20"/>
          <w:szCs w:val="20"/>
        </w:rPr>
        <w:tab/>
        <w:t>TRAINING</w:t>
      </w:r>
    </w:p>
    <w:p w:rsidR="00ED303D" w:rsidRDefault="00ED303D" w:rsidP="00ED303D">
      <w:pPr>
        <w:autoSpaceDE w:val="0"/>
        <w:autoSpaceDN w:val="0"/>
        <w:adjustRightInd w:val="0"/>
        <w:spacing w:after="240"/>
        <w:ind w:left="720"/>
        <w:jc w:val="both"/>
        <w:rPr>
          <w:rFonts w:ascii="Arial" w:hAnsi="Arial" w:cs="Arial"/>
          <w:sz w:val="20"/>
        </w:rPr>
      </w:pPr>
    </w:p>
    <w:tbl>
      <w:tblPr>
        <w:tblW w:w="0" w:type="auto"/>
        <w:jc w:val="center"/>
        <w:tblLook w:val="01E0" w:firstRow="1" w:lastRow="1" w:firstColumn="1" w:lastColumn="1" w:noHBand="0" w:noVBand="0"/>
      </w:tblPr>
      <w:tblGrid>
        <w:gridCol w:w="1638"/>
        <w:gridCol w:w="2183"/>
      </w:tblGrid>
      <w:tr w:rsidR="00ED303D" w:rsidRPr="007C57E2"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Role</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Training Needed</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Management</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Employees</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bl>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5B6878" w:rsidRDefault="005B6878" w:rsidP="00ED303D">
      <w:pPr>
        <w:autoSpaceDE w:val="0"/>
        <w:autoSpaceDN w:val="0"/>
        <w:adjustRightInd w:val="0"/>
        <w:spacing w:after="240"/>
        <w:jc w:val="both"/>
        <w:rPr>
          <w:rFonts w:ascii="Arial" w:hAnsi="Arial" w:cs="Arial"/>
          <w:sz w:val="20"/>
        </w:rPr>
      </w:pPr>
    </w:p>
    <w:p w:rsidR="005B6878" w:rsidRDefault="005B6878" w:rsidP="00ED303D">
      <w:pPr>
        <w:autoSpaceDE w:val="0"/>
        <w:autoSpaceDN w:val="0"/>
        <w:adjustRightInd w:val="0"/>
        <w:spacing w:after="240"/>
        <w:jc w:val="both"/>
        <w:rPr>
          <w:rFonts w:ascii="Arial" w:hAnsi="Arial" w:cs="Arial"/>
          <w:sz w:val="20"/>
        </w:rPr>
      </w:pPr>
      <w:bookmarkStart w:id="0" w:name="_GoBack"/>
      <w:bookmarkEnd w:id="0"/>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pStyle w:val="Second-OrderHeading"/>
        <w:numPr>
          <w:ilvl w:val="0"/>
          <w:numId w:val="0"/>
        </w:numPr>
        <w:tabs>
          <w:tab w:val="left" w:pos="6630"/>
        </w:tabs>
        <w:ind w:left="720" w:hanging="720"/>
        <w:rPr>
          <w:rFonts w:ascii="Arial" w:hAnsi="Arial" w:cs="Arial"/>
          <w:b/>
          <w:sz w:val="20"/>
        </w:rPr>
      </w:pPr>
      <w:r w:rsidRPr="007C1D50">
        <w:rPr>
          <w:rFonts w:ascii="Arial" w:hAnsi="Arial" w:cs="Arial"/>
          <w:b/>
          <w:sz w:val="20"/>
        </w:rPr>
        <w:lastRenderedPageBreak/>
        <w:t xml:space="preserve">IVX. </w:t>
      </w:r>
      <w:r w:rsidRPr="007C1D50">
        <w:rPr>
          <w:rFonts w:ascii="Arial" w:hAnsi="Arial" w:cs="Arial"/>
          <w:b/>
          <w:sz w:val="20"/>
        </w:rPr>
        <w:tab/>
        <w:t>REFERENCES</w:t>
      </w:r>
    </w:p>
    <w:p w:rsidR="00ED303D" w:rsidRDefault="00ED303D" w:rsidP="00ED303D">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26F49060" wp14:editId="0F5381ED">
            <wp:extent cx="3385996" cy="625616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96346" cy="6275292"/>
                    </a:xfrm>
                    <a:prstGeom prst="rect">
                      <a:avLst/>
                    </a:prstGeom>
                  </pic:spPr>
                </pic:pic>
              </a:graphicData>
            </a:graphic>
          </wp:inline>
        </w:drawing>
      </w:r>
    </w:p>
    <w:p w:rsidR="009B2A5D" w:rsidRPr="009717B7" w:rsidRDefault="00ED303D" w:rsidP="009717B7">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799EA1B8" wp14:editId="55AEFA64">
            <wp:extent cx="3195873" cy="12661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00000" cy="1267810"/>
                    </a:xfrm>
                    <a:prstGeom prst="rect">
                      <a:avLst/>
                    </a:prstGeom>
                  </pic:spPr>
                </pic:pic>
              </a:graphicData>
            </a:graphic>
          </wp:inline>
        </w:drawing>
      </w:r>
    </w:p>
    <w:sectPr w:rsidR="009B2A5D" w:rsidRPr="009717B7" w:rsidSect="005D32A9">
      <w:headerReference w:type="default"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45" w:rsidRDefault="00904945" w:rsidP="0020707A">
      <w:r>
        <w:separator/>
      </w:r>
    </w:p>
  </w:endnote>
  <w:endnote w:type="continuationSeparator" w:id="0">
    <w:p w:rsidR="00904945" w:rsidRDefault="00904945" w:rsidP="002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3399"/>
      <w:docPartObj>
        <w:docPartGallery w:val="Page Numbers (Bottom of Page)"/>
        <w:docPartUnique/>
      </w:docPartObj>
    </w:sdtPr>
    <w:sdtEndPr/>
    <w:sdtContent>
      <w:sdt>
        <w:sdtPr>
          <w:id w:val="860082579"/>
          <w:docPartObj>
            <w:docPartGallery w:val="Page Numbers (Top of Page)"/>
            <w:docPartUnique/>
          </w:docPartObj>
        </w:sdtPr>
        <w:sdtEndPr/>
        <w:sdtContent>
          <w:p w:rsidR="000D227F" w:rsidRDefault="000D227F">
            <w:pPr>
              <w:pStyle w:val="Footer"/>
              <w:jc w:val="right"/>
            </w:pPr>
            <w:r>
              <w:t xml:space="preserve">Page </w:t>
            </w:r>
            <w:r>
              <w:rPr>
                <w:b/>
                <w:bCs/>
              </w:rPr>
              <w:fldChar w:fldCharType="begin"/>
            </w:r>
            <w:r>
              <w:rPr>
                <w:b/>
                <w:bCs/>
              </w:rPr>
              <w:instrText xml:space="preserve"> PAGE </w:instrText>
            </w:r>
            <w:r>
              <w:rPr>
                <w:b/>
                <w:bCs/>
              </w:rPr>
              <w:fldChar w:fldCharType="separate"/>
            </w:r>
            <w:r w:rsidR="005B6878">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5B6878">
              <w:rPr>
                <w:b/>
                <w:bCs/>
                <w:noProof/>
              </w:rPr>
              <w:t>9</w:t>
            </w:r>
            <w:r>
              <w:rPr>
                <w:b/>
                <w:bCs/>
              </w:rPr>
              <w:fldChar w:fldCharType="end"/>
            </w:r>
          </w:p>
        </w:sdtContent>
      </w:sdt>
    </w:sdtContent>
  </w:sdt>
  <w:p w:rsidR="000C0F10" w:rsidRDefault="00D401B8" w:rsidP="0020707A">
    <w:pPr>
      <w:pStyle w:val="Footer"/>
    </w:pPr>
    <w:r>
      <w:t>DEPARTMENT OF PAHOLOGY &amp; LABORATORY MEDICINE</w:t>
    </w:r>
    <w:r>
      <w:tab/>
      <w:t>SW.CP.GL.lab.01</w:t>
    </w:r>
    <w:r w:rsidR="009717B7">
      <w:t>40</w:t>
    </w:r>
    <w:r>
      <w:t>.000</w:t>
    </w:r>
    <w:r w:rsidR="009717B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45" w:rsidRPr="00716900" w:rsidRDefault="00904945" w:rsidP="00716900">
      <w:pPr>
        <w:pStyle w:val="Footer"/>
      </w:pPr>
    </w:p>
  </w:footnote>
  <w:footnote w:type="continuationSeparator" w:id="0">
    <w:p w:rsidR="00904945" w:rsidRDefault="00904945" w:rsidP="0020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7" w:rsidRDefault="002B7A87" w:rsidP="002B7A87">
    <w:pPr>
      <w:pStyle w:val="Header"/>
    </w:pPr>
    <w:r>
      <w:t>URMC LABS AT STRONG WEST</w:t>
    </w:r>
    <w:r>
      <w:tab/>
    </w:r>
    <w:r>
      <w:tab/>
      <w:t>SW.CP.GL.lab.0</w:t>
    </w:r>
    <w:r w:rsidR="009717B7">
      <w:t>140</w:t>
    </w:r>
    <w:r w:rsidR="00BD0B01">
      <w:t>.000</w:t>
    </w:r>
    <w:r w:rsidR="009717B7">
      <w:t>1</w:t>
    </w:r>
  </w:p>
  <w:p w:rsidR="002B7A87" w:rsidRDefault="002B7A87" w:rsidP="002B7A87">
    <w:pPr>
      <w:pStyle w:val="Header"/>
    </w:pPr>
    <w:r>
      <w:t>156 WEST AVE.</w:t>
    </w:r>
    <w:r>
      <w:tab/>
    </w:r>
    <w:r>
      <w:tab/>
      <w:t xml:space="preserve">ROCHE </w:t>
    </w:r>
    <w:r w:rsidR="00347E67">
      <w:t>e411</w:t>
    </w:r>
    <w:r>
      <w:t xml:space="preserve"> PROCEDURE</w:t>
    </w:r>
  </w:p>
  <w:p w:rsidR="0020707A" w:rsidRPr="002B7A87" w:rsidRDefault="002B7A87" w:rsidP="002B7A87">
    <w:pPr>
      <w:pStyle w:val="Header"/>
    </w:pPr>
    <w:r>
      <w:t>BROCKPORT, NY 14420</w:t>
    </w:r>
    <w:r>
      <w:tab/>
    </w:r>
    <w:r>
      <w:tab/>
    </w:r>
    <w:r w:rsidR="009717B7">
      <w:t>VITAMIN B12 (VB12)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32FCFA"/>
    <w:lvl w:ilvl="0">
      <w:start w:val="1"/>
      <w:numFmt w:val="bullet"/>
      <w:lvlText w:val=""/>
      <w:lvlJc w:val="left"/>
      <w:pPr>
        <w:tabs>
          <w:tab w:val="num" w:pos="360"/>
        </w:tabs>
        <w:ind w:left="360" w:hanging="360"/>
      </w:pPr>
      <w:rPr>
        <w:rFonts w:ascii="Symbol" w:hAnsi="Symbol" w:hint="default"/>
      </w:rPr>
    </w:lvl>
  </w:abstractNum>
  <w:abstractNum w:abstractNumId="1">
    <w:nsid w:val="12282AC2"/>
    <w:multiLevelType w:val="hybridMultilevel"/>
    <w:tmpl w:val="30E6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A6301"/>
    <w:multiLevelType w:val="hybridMultilevel"/>
    <w:tmpl w:val="DFE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90B91"/>
    <w:multiLevelType w:val="hybridMultilevel"/>
    <w:tmpl w:val="981279A6"/>
    <w:lvl w:ilvl="0" w:tplc="4B602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920222"/>
    <w:multiLevelType w:val="hybridMultilevel"/>
    <w:tmpl w:val="08786584"/>
    <w:lvl w:ilvl="0" w:tplc="B9C8A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DF78DB"/>
    <w:multiLevelType w:val="hybridMultilevel"/>
    <w:tmpl w:val="6F0CA592"/>
    <w:lvl w:ilvl="0" w:tplc="6BA2AA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BA1527"/>
    <w:multiLevelType w:val="hybridMultilevel"/>
    <w:tmpl w:val="459E20D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3F9D190F"/>
    <w:multiLevelType w:val="hybridMultilevel"/>
    <w:tmpl w:val="23E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F31C6"/>
    <w:multiLevelType w:val="hybridMultilevel"/>
    <w:tmpl w:val="6ABAFB34"/>
    <w:lvl w:ilvl="0" w:tplc="A3E61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453D0158"/>
    <w:multiLevelType w:val="hybridMultilevel"/>
    <w:tmpl w:val="0A4EB1B4"/>
    <w:lvl w:ilvl="0" w:tplc="BE4E3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A1FAF"/>
    <w:multiLevelType w:val="hybridMultilevel"/>
    <w:tmpl w:val="F1DAE3EE"/>
    <w:lvl w:ilvl="0" w:tplc="18CE0D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4FD42E92"/>
    <w:multiLevelType w:val="hybridMultilevel"/>
    <w:tmpl w:val="9470FE1C"/>
    <w:lvl w:ilvl="0" w:tplc="87B005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nsid w:val="6D0C3994"/>
    <w:multiLevelType w:val="hybridMultilevel"/>
    <w:tmpl w:val="4A66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86213"/>
    <w:multiLevelType w:val="hybridMultilevel"/>
    <w:tmpl w:val="894A5FEC"/>
    <w:lvl w:ilvl="0" w:tplc="B9C8A5D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622922"/>
    <w:multiLevelType w:val="hybridMultilevel"/>
    <w:tmpl w:val="65C4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370455"/>
    <w:multiLevelType w:val="hybridMultilevel"/>
    <w:tmpl w:val="CFF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4"/>
  </w:num>
  <w:num w:numId="4">
    <w:abstractNumId w:val="7"/>
  </w:num>
  <w:num w:numId="5">
    <w:abstractNumId w:val="5"/>
  </w:num>
  <w:num w:numId="6">
    <w:abstractNumId w:val="2"/>
  </w:num>
  <w:num w:numId="7">
    <w:abstractNumId w:val="16"/>
  </w:num>
  <w:num w:numId="8">
    <w:abstractNumId w:val="8"/>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6"/>
  </w:num>
  <w:num w:numId="14">
    <w:abstractNumId w:val="14"/>
  </w:num>
  <w:num w:numId="15">
    <w:abstractNumId w:val="11"/>
  </w:num>
  <w:num w:numId="16">
    <w:abstractNumId w:val="10"/>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8"/>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BB"/>
    <w:rsid w:val="000326C3"/>
    <w:rsid w:val="000A28E5"/>
    <w:rsid w:val="000A5018"/>
    <w:rsid w:val="000C0F10"/>
    <w:rsid w:val="000D227F"/>
    <w:rsid w:val="000E3FDD"/>
    <w:rsid w:val="001240F8"/>
    <w:rsid w:val="00125CFD"/>
    <w:rsid w:val="00141FF8"/>
    <w:rsid w:val="001A4F38"/>
    <w:rsid w:val="001D5336"/>
    <w:rsid w:val="001F6E10"/>
    <w:rsid w:val="0020707A"/>
    <w:rsid w:val="002373E4"/>
    <w:rsid w:val="00257BA4"/>
    <w:rsid w:val="00293E9B"/>
    <w:rsid w:val="002B7A87"/>
    <w:rsid w:val="002D1D00"/>
    <w:rsid w:val="002D3CF1"/>
    <w:rsid w:val="002D546C"/>
    <w:rsid w:val="002E60A3"/>
    <w:rsid w:val="003213C6"/>
    <w:rsid w:val="00330B26"/>
    <w:rsid w:val="00347E67"/>
    <w:rsid w:val="00375408"/>
    <w:rsid w:val="003B28D0"/>
    <w:rsid w:val="00415C02"/>
    <w:rsid w:val="0044166A"/>
    <w:rsid w:val="00474172"/>
    <w:rsid w:val="00486DB6"/>
    <w:rsid w:val="004B16BB"/>
    <w:rsid w:val="00502D0E"/>
    <w:rsid w:val="005365A2"/>
    <w:rsid w:val="00544BE3"/>
    <w:rsid w:val="00555556"/>
    <w:rsid w:val="005A3CC9"/>
    <w:rsid w:val="005B6878"/>
    <w:rsid w:val="005D32A9"/>
    <w:rsid w:val="005E72BC"/>
    <w:rsid w:val="00601380"/>
    <w:rsid w:val="00607686"/>
    <w:rsid w:val="00672CEB"/>
    <w:rsid w:val="00673E28"/>
    <w:rsid w:val="006B0BA0"/>
    <w:rsid w:val="006D799D"/>
    <w:rsid w:val="00716900"/>
    <w:rsid w:val="0073412B"/>
    <w:rsid w:val="00771B42"/>
    <w:rsid w:val="007D44C0"/>
    <w:rsid w:val="007D6836"/>
    <w:rsid w:val="008044B0"/>
    <w:rsid w:val="00814379"/>
    <w:rsid w:val="00842E38"/>
    <w:rsid w:val="00857273"/>
    <w:rsid w:val="008B4BB0"/>
    <w:rsid w:val="008D0C9A"/>
    <w:rsid w:val="008D791C"/>
    <w:rsid w:val="008E7A72"/>
    <w:rsid w:val="00904945"/>
    <w:rsid w:val="009717B7"/>
    <w:rsid w:val="009809CA"/>
    <w:rsid w:val="00983126"/>
    <w:rsid w:val="009A3D11"/>
    <w:rsid w:val="009A4964"/>
    <w:rsid w:val="009B04C2"/>
    <w:rsid w:val="009B2A5D"/>
    <w:rsid w:val="009E6960"/>
    <w:rsid w:val="00A0683B"/>
    <w:rsid w:val="00A344FC"/>
    <w:rsid w:val="00A36065"/>
    <w:rsid w:val="00A53EC8"/>
    <w:rsid w:val="00AA16D9"/>
    <w:rsid w:val="00AA5DEB"/>
    <w:rsid w:val="00AD77B4"/>
    <w:rsid w:val="00AF09F2"/>
    <w:rsid w:val="00AF4E76"/>
    <w:rsid w:val="00B049A9"/>
    <w:rsid w:val="00B42D05"/>
    <w:rsid w:val="00B565FE"/>
    <w:rsid w:val="00BA024A"/>
    <w:rsid w:val="00BD0B01"/>
    <w:rsid w:val="00C02CC8"/>
    <w:rsid w:val="00C327FD"/>
    <w:rsid w:val="00C43197"/>
    <w:rsid w:val="00CD345E"/>
    <w:rsid w:val="00CE29B4"/>
    <w:rsid w:val="00D0020F"/>
    <w:rsid w:val="00D210F8"/>
    <w:rsid w:val="00D21128"/>
    <w:rsid w:val="00D36B38"/>
    <w:rsid w:val="00D401B8"/>
    <w:rsid w:val="00D63971"/>
    <w:rsid w:val="00DA18F3"/>
    <w:rsid w:val="00E219C5"/>
    <w:rsid w:val="00ED303D"/>
    <w:rsid w:val="00EF4DC2"/>
    <w:rsid w:val="00F47F58"/>
    <w:rsid w:val="00F80EC0"/>
    <w:rsid w:val="00F9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040">
      <w:bodyDiv w:val="1"/>
      <w:marLeft w:val="0"/>
      <w:marRight w:val="0"/>
      <w:marTop w:val="0"/>
      <w:marBottom w:val="0"/>
      <w:divBdr>
        <w:top w:val="none" w:sz="0" w:space="0" w:color="auto"/>
        <w:left w:val="none" w:sz="0" w:space="0" w:color="auto"/>
        <w:bottom w:val="none" w:sz="0" w:space="0" w:color="auto"/>
        <w:right w:val="none" w:sz="0" w:space="0" w:color="auto"/>
      </w:divBdr>
    </w:div>
    <w:div w:id="192812584">
      <w:bodyDiv w:val="1"/>
      <w:marLeft w:val="0"/>
      <w:marRight w:val="0"/>
      <w:marTop w:val="0"/>
      <w:marBottom w:val="0"/>
      <w:divBdr>
        <w:top w:val="none" w:sz="0" w:space="0" w:color="auto"/>
        <w:left w:val="none" w:sz="0" w:space="0" w:color="auto"/>
        <w:bottom w:val="none" w:sz="0" w:space="0" w:color="auto"/>
        <w:right w:val="none" w:sz="0" w:space="0" w:color="auto"/>
      </w:divBdr>
    </w:div>
    <w:div w:id="251210116">
      <w:bodyDiv w:val="1"/>
      <w:marLeft w:val="0"/>
      <w:marRight w:val="0"/>
      <w:marTop w:val="0"/>
      <w:marBottom w:val="0"/>
      <w:divBdr>
        <w:top w:val="none" w:sz="0" w:space="0" w:color="auto"/>
        <w:left w:val="none" w:sz="0" w:space="0" w:color="auto"/>
        <w:bottom w:val="none" w:sz="0" w:space="0" w:color="auto"/>
        <w:right w:val="none" w:sz="0" w:space="0" w:color="auto"/>
      </w:divBdr>
    </w:div>
    <w:div w:id="259526294">
      <w:bodyDiv w:val="1"/>
      <w:marLeft w:val="0"/>
      <w:marRight w:val="0"/>
      <w:marTop w:val="0"/>
      <w:marBottom w:val="0"/>
      <w:divBdr>
        <w:top w:val="none" w:sz="0" w:space="0" w:color="auto"/>
        <w:left w:val="none" w:sz="0" w:space="0" w:color="auto"/>
        <w:bottom w:val="none" w:sz="0" w:space="0" w:color="auto"/>
        <w:right w:val="none" w:sz="0" w:space="0" w:color="auto"/>
      </w:divBdr>
    </w:div>
    <w:div w:id="339356633">
      <w:bodyDiv w:val="1"/>
      <w:marLeft w:val="0"/>
      <w:marRight w:val="0"/>
      <w:marTop w:val="0"/>
      <w:marBottom w:val="0"/>
      <w:divBdr>
        <w:top w:val="none" w:sz="0" w:space="0" w:color="auto"/>
        <w:left w:val="none" w:sz="0" w:space="0" w:color="auto"/>
        <w:bottom w:val="none" w:sz="0" w:space="0" w:color="auto"/>
        <w:right w:val="none" w:sz="0" w:space="0" w:color="auto"/>
      </w:divBdr>
    </w:div>
    <w:div w:id="366177155">
      <w:bodyDiv w:val="1"/>
      <w:marLeft w:val="0"/>
      <w:marRight w:val="0"/>
      <w:marTop w:val="0"/>
      <w:marBottom w:val="0"/>
      <w:divBdr>
        <w:top w:val="none" w:sz="0" w:space="0" w:color="auto"/>
        <w:left w:val="none" w:sz="0" w:space="0" w:color="auto"/>
        <w:bottom w:val="none" w:sz="0" w:space="0" w:color="auto"/>
        <w:right w:val="none" w:sz="0" w:space="0" w:color="auto"/>
      </w:divBdr>
    </w:div>
    <w:div w:id="418404003">
      <w:bodyDiv w:val="1"/>
      <w:marLeft w:val="0"/>
      <w:marRight w:val="0"/>
      <w:marTop w:val="0"/>
      <w:marBottom w:val="0"/>
      <w:divBdr>
        <w:top w:val="none" w:sz="0" w:space="0" w:color="auto"/>
        <w:left w:val="none" w:sz="0" w:space="0" w:color="auto"/>
        <w:bottom w:val="none" w:sz="0" w:space="0" w:color="auto"/>
        <w:right w:val="none" w:sz="0" w:space="0" w:color="auto"/>
      </w:divBdr>
    </w:div>
    <w:div w:id="457453440">
      <w:bodyDiv w:val="1"/>
      <w:marLeft w:val="0"/>
      <w:marRight w:val="0"/>
      <w:marTop w:val="0"/>
      <w:marBottom w:val="0"/>
      <w:divBdr>
        <w:top w:val="none" w:sz="0" w:space="0" w:color="auto"/>
        <w:left w:val="none" w:sz="0" w:space="0" w:color="auto"/>
        <w:bottom w:val="none" w:sz="0" w:space="0" w:color="auto"/>
        <w:right w:val="none" w:sz="0" w:space="0" w:color="auto"/>
      </w:divBdr>
    </w:div>
    <w:div w:id="509954282">
      <w:bodyDiv w:val="1"/>
      <w:marLeft w:val="0"/>
      <w:marRight w:val="0"/>
      <w:marTop w:val="0"/>
      <w:marBottom w:val="0"/>
      <w:divBdr>
        <w:top w:val="none" w:sz="0" w:space="0" w:color="auto"/>
        <w:left w:val="none" w:sz="0" w:space="0" w:color="auto"/>
        <w:bottom w:val="none" w:sz="0" w:space="0" w:color="auto"/>
        <w:right w:val="none" w:sz="0" w:space="0" w:color="auto"/>
      </w:divBdr>
    </w:div>
    <w:div w:id="540090388">
      <w:bodyDiv w:val="1"/>
      <w:marLeft w:val="0"/>
      <w:marRight w:val="0"/>
      <w:marTop w:val="0"/>
      <w:marBottom w:val="0"/>
      <w:divBdr>
        <w:top w:val="none" w:sz="0" w:space="0" w:color="auto"/>
        <w:left w:val="none" w:sz="0" w:space="0" w:color="auto"/>
        <w:bottom w:val="none" w:sz="0" w:space="0" w:color="auto"/>
        <w:right w:val="none" w:sz="0" w:space="0" w:color="auto"/>
      </w:divBdr>
    </w:div>
    <w:div w:id="690955695">
      <w:bodyDiv w:val="1"/>
      <w:marLeft w:val="0"/>
      <w:marRight w:val="0"/>
      <w:marTop w:val="0"/>
      <w:marBottom w:val="0"/>
      <w:divBdr>
        <w:top w:val="none" w:sz="0" w:space="0" w:color="auto"/>
        <w:left w:val="none" w:sz="0" w:space="0" w:color="auto"/>
        <w:bottom w:val="none" w:sz="0" w:space="0" w:color="auto"/>
        <w:right w:val="none" w:sz="0" w:space="0" w:color="auto"/>
      </w:divBdr>
    </w:div>
    <w:div w:id="710810067">
      <w:bodyDiv w:val="1"/>
      <w:marLeft w:val="0"/>
      <w:marRight w:val="0"/>
      <w:marTop w:val="0"/>
      <w:marBottom w:val="0"/>
      <w:divBdr>
        <w:top w:val="none" w:sz="0" w:space="0" w:color="auto"/>
        <w:left w:val="none" w:sz="0" w:space="0" w:color="auto"/>
        <w:bottom w:val="none" w:sz="0" w:space="0" w:color="auto"/>
        <w:right w:val="none" w:sz="0" w:space="0" w:color="auto"/>
      </w:divBdr>
    </w:div>
    <w:div w:id="727849903">
      <w:bodyDiv w:val="1"/>
      <w:marLeft w:val="0"/>
      <w:marRight w:val="0"/>
      <w:marTop w:val="0"/>
      <w:marBottom w:val="0"/>
      <w:divBdr>
        <w:top w:val="none" w:sz="0" w:space="0" w:color="auto"/>
        <w:left w:val="none" w:sz="0" w:space="0" w:color="auto"/>
        <w:bottom w:val="none" w:sz="0" w:space="0" w:color="auto"/>
        <w:right w:val="none" w:sz="0" w:space="0" w:color="auto"/>
      </w:divBdr>
    </w:div>
    <w:div w:id="868177110">
      <w:bodyDiv w:val="1"/>
      <w:marLeft w:val="0"/>
      <w:marRight w:val="0"/>
      <w:marTop w:val="0"/>
      <w:marBottom w:val="0"/>
      <w:divBdr>
        <w:top w:val="none" w:sz="0" w:space="0" w:color="auto"/>
        <w:left w:val="none" w:sz="0" w:space="0" w:color="auto"/>
        <w:bottom w:val="none" w:sz="0" w:space="0" w:color="auto"/>
        <w:right w:val="none" w:sz="0" w:space="0" w:color="auto"/>
      </w:divBdr>
    </w:div>
    <w:div w:id="1026563520">
      <w:bodyDiv w:val="1"/>
      <w:marLeft w:val="0"/>
      <w:marRight w:val="0"/>
      <w:marTop w:val="0"/>
      <w:marBottom w:val="0"/>
      <w:divBdr>
        <w:top w:val="none" w:sz="0" w:space="0" w:color="auto"/>
        <w:left w:val="none" w:sz="0" w:space="0" w:color="auto"/>
        <w:bottom w:val="none" w:sz="0" w:space="0" w:color="auto"/>
        <w:right w:val="none" w:sz="0" w:space="0" w:color="auto"/>
      </w:divBdr>
    </w:div>
    <w:div w:id="1040059293">
      <w:bodyDiv w:val="1"/>
      <w:marLeft w:val="0"/>
      <w:marRight w:val="0"/>
      <w:marTop w:val="0"/>
      <w:marBottom w:val="0"/>
      <w:divBdr>
        <w:top w:val="none" w:sz="0" w:space="0" w:color="auto"/>
        <w:left w:val="none" w:sz="0" w:space="0" w:color="auto"/>
        <w:bottom w:val="none" w:sz="0" w:space="0" w:color="auto"/>
        <w:right w:val="none" w:sz="0" w:space="0" w:color="auto"/>
      </w:divBdr>
    </w:div>
    <w:div w:id="1047340902">
      <w:bodyDiv w:val="1"/>
      <w:marLeft w:val="0"/>
      <w:marRight w:val="0"/>
      <w:marTop w:val="0"/>
      <w:marBottom w:val="0"/>
      <w:divBdr>
        <w:top w:val="none" w:sz="0" w:space="0" w:color="auto"/>
        <w:left w:val="none" w:sz="0" w:space="0" w:color="auto"/>
        <w:bottom w:val="none" w:sz="0" w:space="0" w:color="auto"/>
        <w:right w:val="none" w:sz="0" w:space="0" w:color="auto"/>
      </w:divBdr>
    </w:div>
    <w:div w:id="1301611915">
      <w:bodyDiv w:val="1"/>
      <w:marLeft w:val="0"/>
      <w:marRight w:val="0"/>
      <w:marTop w:val="0"/>
      <w:marBottom w:val="0"/>
      <w:divBdr>
        <w:top w:val="none" w:sz="0" w:space="0" w:color="auto"/>
        <w:left w:val="none" w:sz="0" w:space="0" w:color="auto"/>
        <w:bottom w:val="none" w:sz="0" w:space="0" w:color="auto"/>
        <w:right w:val="none" w:sz="0" w:space="0" w:color="auto"/>
      </w:divBdr>
    </w:div>
    <w:div w:id="1408108054">
      <w:bodyDiv w:val="1"/>
      <w:marLeft w:val="0"/>
      <w:marRight w:val="0"/>
      <w:marTop w:val="0"/>
      <w:marBottom w:val="0"/>
      <w:divBdr>
        <w:top w:val="none" w:sz="0" w:space="0" w:color="auto"/>
        <w:left w:val="none" w:sz="0" w:space="0" w:color="auto"/>
        <w:bottom w:val="none" w:sz="0" w:space="0" w:color="auto"/>
        <w:right w:val="none" w:sz="0" w:space="0" w:color="auto"/>
      </w:divBdr>
    </w:div>
    <w:div w:id="1505708114">
      <w:bodyDiv w:val="1"/>
      <w:marLeft w:val="0"/>
      <w:marRight w:val="0"/>
      <w:marTop w:val="0"/>
      <w:marBottom w:val="0"/>
      <w:divBdr>
        <w:top w:val="none" w:sz="0" w:space="0" w:color="auto"/>
        <w:left w:val="none" w:sz="0" w:space="0" w:color="auto"/>
        <w:bottom w:val="none" w:sz="0" w:space="0" w:color="auto"/>
        <w:right w:val="none" w:sz="0" w:space="0" w:color="auto"/>
      </w:divBdr>
    </w:div>
    <w:div w:id="1601260306">
      <w:bodyDiv w:val="1"/>
      <w:marLeft w:val="0"/>
      <w:marRight w:val="0"/>
      <w:marTop w:val="0"/>
      <w:marBottom w:val="0"/>
      <w:divBdr>
        <w:top w:val="none" w:sz="0" w:space="0" w:color="auto"/>
        <w:left w:val="none" w:sz="0" w:space="0" w:color="auto"/>
        <w:bottom w:val="none" w:sz="0" w:space="0" w:color="auto"/>
        <w:right w:val="none" w:sz="0" w:space="0" w:color="auto"/>
      </w:divBdr>
    </w:div>
    <w:div w:id="1692761943">
      <w:bodyDiv w:val="1"/>
      <w:marLeft w:val="0"/>
      <w:marRight w:val="0"/>
      <w:marTop w:val="0"/>
      <w:marBottom w:val="0"/>
      <w:divBdr>
        <w:top w:val="none" w:sz="0" w:space="0" w:color="auto"/>
        <w:left w:val="none" w:sz="0" w:space="0" w:color="auto"/>
        <w:bottom w:val="none" w:sz="0" w:space="0" w:color="auto"/>
        <w:right w:val="none" w:sz="0" w:space="0" w:color="auto"/>
      </w:divBdr>
    </w:div>
    <w:div w:id="1718122108">
      <w:bodyDiv w:val="1"/>
      <w:marLeft w:val="0"/>
      <w:marRight w:val="0"/>
      <w:marTop w:val="0"/>
      <w:marBottom w:val="0"/>
      <w:divBdr>
        <w:top w:val="none" w:sz="0" w:space="0" w:color="auto"/>
        <w:left w:val="none" w:sz="0" w:space="0" w:color="auto"/>
        <w:bottom w:val="none" w:sz="0" w:space="0" w:color="auto"/>
        <w:right w:val="none" w:sz="0" w:space="0" w:color="auto"/>
      </w:divBdr>
    </w:div>
    <w:div w:id="1739203028">
      <w:bodyDiv w:val="1"/>
      <w:marLeft w:val="0"/>
      <w:marRight w:val="0"/>
      <w:marTop w:val="0"/>
      <w:marBottom w:val="0"/>
      <w:divBdr>
        <w:top w:val="none" w:sz="0" w:space="0" w:color="auto"/>
        <w:left w:val="none" w:sz="0" w:space="0" w:color="auto"/>
        <w:bottom w:val="none" w:sz="0" w:space="0" w:color="auto"/>
        <w:right w:val="none" w:sz="0" w:space="0" w:color="auto"/>
      </w:divBdr>
    </w:div>
    <w:div w:id="1984775777">
      <w:bodyDiv w:val="1"/>
      <w:marLeft w:val="0"/>
      <w:marRight w:val="0"/>
      <w:marTop w:val="0"/>
      <w:marBottom w:val="0"/>
      <w:divBdr>
        <w:top w:val="none" w:sz="0" w:space="0" w:color="auto"/>
        <w:left w:val="none" w:sz="0" w:space="0" w:color="auto"/>
        <w:bottom w:val="none" w:sz="0" w:space="0" w:color="auto"/>
        <w:right w:val="none" w:sz="0" w:space="0" w:color="auto"/>
      </w:divBdr>
    </w:div>
    <w:div w:id="19991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BE29C4A00FA4AA9B32D2EB1F7E192" ma:contentTypeVersion="0" ma:contentTypeDescription="Create a new document." ma:contentTypeScope="" ma:versionID="5e6091525808ca76fba1cb255e0939e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E447-4B9D-4BEE-A8AA-07BF1244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C33D6C-3C78-43BF-886C-6D1FF175B12B}">
  <ds:schemaRefs>
    <ds:schemaRef ds:uri="http://schemas.microsoft.com/sharepoint/v3/contenttype/forms"/>
  </ds:schemaRefs>
</ds:datastoreItem>
</file>

<file path=customXml/itemProps3.xml><?xml version="1.0" encoding="utf-8"?>
<ds:datastoreItem xmlns:ds="http://schemas.openxmlformats.org/officeDocument/2006/customXml" ds:itemID="{C8161ABB-F3FB-4A28-8328-A00CA257332E}">
  <ds:schemaRef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36760FC-0649-4371-8701-7744FC4B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Meiklejohn, Barbara</dc:creator>
  <cp:lastModifiedBy>Baker, Susan L</cp:lastModifiedBy>
  <cp:revision>4</cp:revision>
  <cp:lastPrinted>2015-08-28T20:13:00Z</cp:lastPrinted>
  <dcterms:created xsi:type="dcterms:W3CDTF">2019-03-05T15:55:00Z</dcterms:created>
  <dcterms:modified xsi:type="dcterms:W3CDTF">2019-03-05T16:01:00Z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0x0101001D0BE29C4A00FA4AA9B32D2EB1F7E192</vt:lpwstr>
  </property>
</Properties>
</file>