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3" w:rsidRPr="00886763" w:rsidRDefault="002D7633" w:rsidP="00036583">
      <w:pPr>
        <w:ind w:left="-240" w:hanging="120"/>
      </w:pPr>
      <w:bookmarkStart w:id="0" w:name="_GoBack"/>
      <w:bookmarkEnd w:id="0"/>
      <w:r>
        <w:t xml:space="preserve"> </w:t>
      </w: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2D7633" w:rsidRPr="00484060" w:rsidRDefault="002D7633" w:rsidP="00036583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B57383">
        <w:rPr>
          <w:rFonts w:ascii="Arial" w:hAnsi="Arial" w:cs="Arial"/>
          <w:sz w:val="22"/>
          <w:szCs w:val="22"/>
        </w:rPr>
        <w:t>the TANGO is maintained according to the User</w:t>
      </w:r>
      <w:r>
        <w:rPr>
          <w:rFonts w:ascii="Arial" w:hAnsi="Arial" w:cs="Arial"/>
          <w:sz w:val="22"/>
          <w:szCs w:val="22"/>
        </w:rPr>
        <w:t xml:space="preserve">’s Guide and the manufacturer’s </w:t>
      </w:r>
      <w:r w:rsidRPr="00B57383">
        <w:rPr>
          <w:rFonts w:ascii="Arial" w:hAnsi="Arial" w:cs="Arial"/>
          <w:sz w:val="22"/>
          <w:szCs w:val="22"/>
        </w:rPr>
        <w:t>recommendations.</w:t>
      </w:r>
    </w:p>
    <w:p w:rsidR="002D7633" w:rsidRPr="00484060" w:rsidRDefault="002D7633" w:rsidP="00036583">
      <w:pPr>
        <w:ind w:left="-240" w:hanging="120"/>
        <w:rPr>
          <w:rFonts w:ascii="Arial" w:hAnsi="Arial" w:cs="Arial"/>
          <w:sz w:val="22"/>
          <w:szCs w:val="22"/>
        </w:rPr>
      </w:pPr>
    </w:p>
    <w:p w:rsidR="002D7633" w:rsidRDefault="002D7633" w:rsidP="00036583">
      <w:pPr>
        <w:ind w:left="-240"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2D7633" w:rsidRDefault="002D7633" w:rsidP="00036583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CLR Water</w:t>
      </w:r>
    </w:p>
    <w:p w:rsidR="002D7633" w:rsidRPr="006732A0" w:rsidRDefault="002D7633" w:rsidP="00036583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Suspension Cup</w:t>
      </w:r>
    </w:p>
    <w:p w:rsidR="002D7633" w:rsidRPr="006732A0" w:rsidRDefault="002D7633" w:rsidP="00036583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Disinfectant</w:t>
      </w:r>
    </w:p>
    <w:p w:rsidR="002D7633" w:rsidRPr="006732A0" w:rsidRDefault="00E95DB1" w:rsidP="00036583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Microcide SQ</w:t>
      </w:r>
      <w:r w:rsidR="002D7633">
        <w:rPr>
          <w:rFonts w:ascii="Arial" w:hAnsi="Arial" w:cs="Arial"/>
          <w:sz w:val="22"/>
          <w:szCs w:val="22"/>
        </w:rPr>
        <w:t xml:space="preserve"> Solution</w:t>
      </w:r>
    </w:p>
    <w:p w:rsidR="002D7633" w:rsidRDefault="002D7633" w:rsidP="00036583">
      <w:pPr>
        <w:pStyle w:val="ListParagraph"/>
        <w:ind w:left="-240" w:hanging="120"/>
        <w:rPr>
          <w:rFonts w:ascii="Arial" w:hAnsi="Arial" w:cs="Arial"/>
          <w:sz w:val="22"/>
          <w:szCs w:val="22"/>
        </w:rPr>
      </w:pPr>
    </w:p>
    <w:p w:rsidR="002D7633" w:rsidRDefault="002D7633" w:rsidP="00036583">
      <w:pPr>
        <w:pStyle w:val="ListParagraph"/>
        <w:ind w:left="-240"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Limitations and Precautions:</w:t>
      </w:r>
    </w:p>
    <w:p w:rsidR="002D7633" w:rsidRDefault="002D7633" w:rsidP="00036583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6732A0">
        <w:rPr>
          <w:rFonts w:ascii="Arial" w:hAnsi="Arial" w:cs="Arial"/>
          <w:sz w:val="22"/>
          <w:szCs w:val="22"/>
        </w:rPr>
        <w:t xml:space="preserve">To prevent contamination of the system, regular monthly decontamination of the system is necessary.  Monthly maintenance includes use of a </w:t>
      </w:r>
      <w:r w:rsidR="00E95DB1">
        <w:rPr>
          <w:rFonts w:ascii="Arial" w:hAnsi="Arial" w:cs="Arial"/>
          <w:sz w:val="22"/>
          <w:szCs w:val="22"/>
        </w:rPr>
        <w:t>Microcide</w:t>
      </w:r>
      <w:r>
        <w:rPr>
          <w:rFonts w:ascii="Arial" w:hAnsi="Arial" w:cs="Arial"/>
          <w:sz w:val="22"/>
          <w:szCs w:val="22"/>
        </w:rPr>
        <w:t xml:space="preserve"> </w:t>
      </w:r>
      <w:r w:rsidR="00E95DB1">
        <w:rPr>
          <w:rFonts w:ascii="Arial" w:hAnsi="Arial" w:cs="Arial"/>
          <w:sz w:val="22"/>
          <w:szCs w:val="22"/>
        </w:rPr>
        <w:t xml:space="preserve">SQ </w:t>
      </w:r>
      <w:r>
        <w:rPr>
          <w:rFonts w:ascii="Arial" w:hAnsi="Arial" w:cs="Arial"/>
          <w:sz w:val="22"/>
          <w:szCs w:val="22"/>
        </w:rPr>
        <w:t>Solution</w:t>
      </w:r>
      <w:r w:rsidRPr="006732A0">
        <w:rPr>
          <w:rFonts w:ascii="Arial" w:hAnsi="Arial" w:cs="Arial"/>
          <w:sz w:val="22"/>
          <w:szCs w:val="22"/>
        </w:rPr>
        <w:t xml:space="preserve"> that is a highly corrosive fluid.  Using Daily Clean and</w:t>
      </w:r>
      <w:r w:rsidR="00E95DB1">
        <w:rPr>
          <w:rFonts w:ascii="Arial" w:hAnsi="Arial" w:cs="Arial"/>
          <w:sz w:val="22"/>
          <w:szCs w:val="22"/>
        </w:rPr>
        <w:t xml:space="preserve"> the</w:t>
      </w:r>
      <w:r w:rsidRPr="006732A0">
        <w:rPr>
          <w:rFonts w:ascii="Arial" w:hAnsi="Arial" w:cs="Arial"/>
          <w:sz w:val="22"/>
          <w:szCs w:val="22"/>
        </w:rPr>
        <w:t xml:space="preserve"> </w:t>
      </w:r>
      <w:r w:rsidR="00E95DB1">
        <w:rPr>
          <w:rFonts w:ascii="Arial" w:hAnsi="Arial" w:cs="Arial"/>
          <w:sz w:val="22"/>
          <w:szCs w:val="22"/>
        </w:rPr>
        <w:t xml:space="preserve">Microcide SQ </w:t>
      </w:r>
      <w:r>
        <w:rPr>
          <w:rFonts w:ascii="Arial" w:hAnsi="Arial" w:cs="Arial"/>
          <w:sz w:val="22"/>
          <w:szCs w:val="22"/>
        </w:rPr>
        <w:t>Solution</w:t>
      </w:r>
      <w:r w:rsidRPr="006732A0">
        <w:rPr>
          <w:rFonts w:ascii="Arial" w:hAnsi="Arial" w:cs="Arial"/>
          <w:sz w:val="22"/>
          <w:szCs w:val="22"/>
        </w:rPr>
        <w:t xml:space="preserve"> consecutively can lead to salt formation.  These two cleaning procedures should not be performed immediately after one another.</w:t>
      </w:r>
    </w:p>
    <w:p w:rsidR="002D7633" w:rsidRPr="00484060" w:rsidRDefault="002D7633" w:rsidP="00036583">
      <w:pPr>
        <w:ind w:left="-240" w:hanging="120"/>
        <w:rPr>
          <w:rFonts w:ascii="Arial" w:hAnsi="Arial" w:cs="Arial"/>
          <w:b/>
          <w:sz w:val="22"/>
          <w:szCs w:val="22"/>
        </w:rPr>
      </w:pPr>
    </w:p>
    <w:p w:rsidR="002D7633" w:rsidRPr="00484060" w:rsidRDefault="002D7633" w:rsidP="00036583">
      <w:pPr>
        <w:ind w:left="-240" w:hanging="1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2D7633" w:rsidRDefault="002D7633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7826"/>
        <w:gridCol w:w="1560"/>
      </w:tblGrid>
      <w:tr w:rsidR="002D7633" w:rsidTr="00036583">
        <w:tc>
          <w:tcPr>
            <w:tcW w:w="344" w:type="pct"/>
            <w:vAlign w:val="center"/>
          </w:tcPr>
          <w:p w:rsidR="002D7633" w:rsidRPr="0011195D" w:rsidRDefault="002D7633" w:rsidP="0011195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74" w:type="pct"/>
            <w:vAlign w:val="center"/>
          </w:tcPr>
          <w:p w:rsidR="002D7633" w:rsidRPr="0011195D" w:rsidRDefault="002D7633" w:rsidP="0011195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2D7633" w:rsidTr="00036583">
        <w:trPr>
          <w:trHeight w:val="287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Preparation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50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Turn off the TANGO.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50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Remove the Acrylic Glass Cover.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539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Obtain the monthly maintenance form and record the date and initials of the person performing the maintenance as it is completed.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41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Replace the suspension cup.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50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Remove the gray plastic cover.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50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Remove the cup by pulling straight up from the top.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59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Wipe the inside of the splash bowl with gauze or paper towel.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Remove the plastic splash bowl and inspect it for cracks or breaks.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If there are cracks or breaks, replace with a new splash bowl.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23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If no cracks or breaks are present, clean the splash bowl with 10% bleach solution or other disinfectant used in the lab.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890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Rinse the cleaning solution from the bowl or wipe with a cloth moistened with CLR water and then dry the bowl.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Ensure that the splash bowl is completely dry and that no liquid </w:t>
            </w:r>
            <w:r w:rsidRPr="0011195D">
              <w:rPr>
                <w:rFonts w:ascii="Arial" w:hAnsi="Arial" w:cs="Arial"/>
                <w:sz w:val="22"/>
                <w:szCs w:val="22"/>
              </w:rPr>
              <w:lastRenderedPageBreak/>
              <w:t>escapes the splash bowl.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electronics or motor may be damaged by exposure to liquids.</w:t>
            </w:r>
          </w:p>
          <w:p w:rsidR="002D7633" w:rsidRPr="0011195D" w:rsidRDefault="002D7633" w:rsidP="00036583">
            <w:pPr>
              <w:pStyle w:val="ListParagraph"/>
              <w:numPr>
                <w:ilvl w:val="0"/>
                <w:numId w:val="24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Residual cleaning solution left in the cup may lead to hemolysis.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59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Replace the splash bowl.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Insert a new suspension cup from the top, ensuring that the new cup is completely seated on the hexagon motor axis.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Clean the gray plastic cover with CLR water, dry completely and place it over the cup.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95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Reinsert the Acrylic Glass Cover.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41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Turn on the TANGO.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RPr="00885D00" w:rsidTr="00036583">
        <w:trPr>
          <w:trHeight w:val="350"/>
        </w:trPr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b/>
                <w:strike/>
              </w:rPr>
            </w:pPr>
            <w:r w:rsidRPr="00885D00">
              <w:rPr>
                <w:rFonts w:ascii="Arial" w:hAnsi="Arial" w:cs="Arial"/>
                <w:b/>
                <w:strike/>
                <w:sz w:val="22"/>
                <w:szCs w:val="22"/>
              </w:rPr>
              <w:t>C.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E95DB1">
            <w:pPr>
              <w:tabs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Flush the system with </w:t>
            </w:r>
            <w:r w:rsidR="00E95DB1"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Solution.</w:t>
            </w:r>
          </w:p>
        </w:tc>
        <w:tc>
          <w:tcPr>
            <w:tcW w:w="77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</w:tc>
      </w:tr>
      <w:tr w:rsidR="002D7633" w:rsidRPr="00885D00" w:rsidTr="00036583"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1.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11195D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Prepare </w:t>
            </w:r>
            <w:r w:rsidR="00E95DB1"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Solution.</w:t>
            </w:r>
          </w:p>
          <w:p w:rsidR="002D7633" w:rsidRPr="00885D00" w:rsidRDefault="002D7633" w:rsidP="009106A2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See </w:t>
            </w:r>
            <w:r w:rsidR="00E95DB1"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 SOP</w:t>
            </w:r>
          </w:p>
          <w:p w:rsidR="002D7633" w:rsidRPr="00885D00" w:rsidRDefault="002D7633" w:rsidP="00EC230C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Fill an appropriate container or flask with 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400mL of 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Solution.</w:t>
            </w:r>
          </w:p>
        </w:tc>
        <w:tc>
          <w:tcPr>
            <w:tcW w:w="774" w:type="pct"/>
          </w:tcPr>
          <w:p w:rsidR="002D7633" w:rsidRPr="00885D00" w:rsidRDefault="00EC230C" w:rsidP="0011195D">
            <w:pPr>
              <w:jc w:val="center"/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="002D7633"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 SOP</w:t>
            </w:r>
          </w:p>
        </w:tc>
      </w:tr>
      <w:tr w:rsidR="002D7633" w:rsidRPr="00885D00" w:rsidTr="00036583">
        <w:trPr>
          <w:trHeight w:val="449"/>
        </w:trPr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2.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11195D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Unscrew the tubing from the Wash Solution and System Liquid containers.</w:t>
            </w:r>
          </w:p>
        </w:tc>
        <w:tc>
          <w:tcPr>
            <w:tcW w:w="77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</w:tc>
      </w:tr>
      <w:tr w:rsidR="002D7633" w:rsidRPr="00885D00" w:rsidTr="00036583"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3.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11195D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Place the tubing in the container with the 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Microcide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Solution.</w:t>
            </w:r>
          </w:p>
          <w:p w:rsidR="002D7633" w:rsidRPr="00885D00" w:rsidRDefault="002D7633" w:rsidP="00EC230C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The ends of the tubing must be completely submerged in the 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Solution.</w:t>
            </w:r>
          </w:p>
        </w:tc>
        <w:tc>
          <w:tcPr>
            <w:tcW w:w="77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</w:tc>
      </w:tr>
      <w:tr w:rsidR="002D7633" w:rsidRPr="00885D00" w:rsidTr="00036583">
        <w:trPr>
          <w:trHeight w:val="1529"/>
        </w:trPr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4.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11195D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Perform Decontamination by means of the ‘Decontamination’ function with the following parameters.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proofErr w:type="spellStart"/>
            <w:r w:rsidRPr="00885D00">
              <w:rPr>
                <w:rFonts w:ascii="Arial" w:hAnsi="Arial" w:cs="Arial"/>
                <w:strike/>
                <w:sz w:val="22"/>
                <w:szCs w:val="22"/>
              </w:rPr>
              <w:t>Pipettor</w:t>
            </w:r>
            <w:proofErr w:type="spellEnd"/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Cycles: 2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Washer Cycles: 3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Suspension Cycles: 1</w:t>
            </w:r>
          </w:p>
        </w:tc>
        <w:tc>
          <w:tcPr>
            <w:tcW w:w="77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</w:tc>
      </w:tr>
      <w:tr w:rsidR="002D7633" w:rsidRPr="00885D00" w:rsidTr="00036583">
        <w:trPr>
          <w:trHeight w:val="710"/>
        </w:trPr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5.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EC230C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Once the rinse cycles are complete, let the 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 sit in the instrument for 15 minutes.</w:t>
            </w:r>
          </w:p>
        </w:tc>
        <w:tc>
          <w:tcPr>
            <w:tcW w:w="77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</w:tc>
      </w:tr>
      <w:tr w:rsidR="002D7633" w:rsidRPr="00885D00" w:rsidTr="00036583">
        <w:trPr>
          <w:trHeight w:val="881"/>
        </w:trPr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6.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EC230C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During this time, remove the tubing from the 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Microcide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 and rinse with CLR water.  Also, remove the cover of the suspension cup and rinse thoroughly with CLR water.  Dry both the tubing and the cover.</w:t>
            </w:r>
          </w:p>
        </w:tc>
        <w:tc>
          <w:tcPr>
            <w:tcW w:w="77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</w:tc>
      </w:tr>
      <w:tr w:rsidR="002D7633" w:rsidRPr="00885D00" w:rsidTr="00036583">
        <w:trPr>
          <w:trHeight w:val="3059"/>
        </w:trPr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7. 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11195D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After the 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 has sat in the TANGO for 15 minutes, fill an appropriate container with 2L of CLR water.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Place the tubing from the System Liquid and Wash Solution containers in the CLR water.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Rinse the system by means of the ‘Decontamination’ function with the following parameters.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proofErr w:type="spellStart"/>
            <w:r w:rsidRPr="00885D00">
              <w:rPr>
                <w:rFonts w:ascii="Arial" w:hAnsi="Arial" w:cs="Arial"/>
                <w:strike/>
                <w:sz w:val="22"/>
                <w:szCs w:val="22"/>
              </w:rPr>
              <w:t>Pipettor</w:t>
            </w:r>
            <w:proofErr w:type="spellEnd"/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Cycles: 6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Washer Cycles: 5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Suspension Cycles: 3</w:t>
            </w:r>
          </w:p>
          <w:p w:rsidR="002D7633" w:rsidRPr="00885D00" w:rsidRDefault="002D7633" w:rsidP="001B4F0C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Once the rinse is completed, reconnect the tubing back to the System Liquid and Wash Solution containers.</w:t>
            </w:r>
          </w:p>
        </w:tc>
        <w:tc>
          <w:tcPr>
            <w:tcW w:w="77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</w:tc>
      </w:tr>
      <w:tr w:rsidR="002D7633" w:rsidRPr="00885D00" w:rsidTr="00036583">
        <w:trPr>
          <w:trHeight w:val="881"/>
        </w:trPr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b/>
                <w:strike/>
              </w:rPr>
            </w:pPr>
            <w:r w:rsidRPr="00885D00">
              <w:rPr>
                <w:rFonts w:ascii="Arial" w:hAnsi="Arial" w:cs="Arial"/>
                <w:b/>
                <w:strike/>
                <w:sz w:val="22"/>
                <w:szCs w:val="22"/>
              </w:rPr>
              <w:t>D.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11195D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Clean and Decontaminate Containers</w:t>
            </w:r>
          </w:p>
          <w:p w:rsidR="002D7633" w:rsidRPr="00885D00" w:rsidRDefault="002D7633" w:rsidP="00EC230C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NOTE:  This step may be done, as time allows, during the 15 minutes the 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 is sitting in the instrument.</w:t>
            </w:r>
          </w:p>
        </w:tc>
        <w:tc>
          <w:tcPr>
            <w:tcW w:w="77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</w:tc>
      </w:tr>
      <w:tr w:rsidR="002D7633" w:rsidRPr="00885D00" w:rsidTr="00036583">
        <w:trPr>
          <w:trHeight w:val="2510"/>
        </w:trPr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lastRenderedPageBreak/>
              <w:t>1.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11195D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Decontaminate the System Liquid and Wash Solution containers.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ab/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Unscrew the cap from both.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Empty the contents of each container.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Divide the remaining 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 equally between the two containers.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Screw the cap back on each container and shake thoroughly.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Empty each container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, reserving the Microcide SQ for step 2,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and rinse thoroughly with CLR water.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Refill containers with appropriate liquid and replace caps. Ensure there are no bubbles in the containers prior to priming.</w:t>
            </w:r>
          </w:p>
        </w:tc>
        <w:tc>
          <w:tcPr>
            <w:tcW w:w="77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</w:tc>
      </w:tr>
      <w:tr w:rsidR="002D7633" w:rsidRPr="00885D00" w:rsidTr="00036583">
        <w:trPr>
          <w:trHeight w:val="4130"/>
        </w:trPr>
        <w:tc>
          <w:tcPr>
            <w:tcW w:w="34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2.</w:t>
            </w:r>
          </w:p>
        </w:tc>
        <w:tc>
          <w:tcPr>
            <w:tcW w:w="3882" w:type="pct"/>
            <w:vAlign w:val="center"/>
          </w:tcPr>
          <w:p w:rsidR="002D7633" w:rsidRPr="00885D00" w:rsidRDefault="002D7633" w:rsidP="0011195D">
            <w:pPr>
              <w:tabs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Decontaminate the Waste Container.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Disconnect sensor cable.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Unscrew nozzle from the container and place it in container or on absorbent paper to collect the fluid from the </w:t>
            </w:r>
            <w:proofErr w:type="spellStart"/>
            <w:r w:rsidRPr="00885D00">
              <w:rPr>
                <w:rFonts w:ascii="Arial" w:hAnsi="Arial" w:cs="Arial"/>
                <w:strike/>
                <w:sz w:val="22"/>
                <w:szCs w:val="22"/>
              </w:rPr>
              <w:t>waste</w:t>
            </w:r>
            <w:proofErr w:type="spellEnd"/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line. 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Unscrew cap and empty container according to institutional regulations.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Add 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reserved from step 1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to the container.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Screw cap on the container and shake thoroughly.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Allow the solution to stand in the container for 30 minutes.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After 30 minutes, unscrew cap and empty </w:t>
            </w:r>
            <w:r w:rsidR="00EC230C" w:rsidRPr="00885D00">
              <w:rPr>
                <w:rFonts w:ascii="Arial" w:hAnsi="Arial" w:cs="Arial"/>
                <w:strike/>
                <w:sz w:val="22"/>
                <w:szCs w:val="22"/>
              </w:rPr>
              <w:t>Microcide SQ</w:t>
            </w:r>
            <w:r w:rsidRPr="00885D00">
              <w:rPr>
                <w:rFonts w:ascii="Arial" w:hAnsi="Arial" w:cs="Arial"/>
                <w:strike/>
                <w:sz w:val="22"/>
                <w:szCs w:val="22"/>
              </w:rPr>
              <w:t xml:space="preserve"> Solution from the Waste container.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Replace nozzle and cap on the container.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Connect Sensor Cable.</w:t>
            </w:r>
          </w:p>
          <w:p w:rsidR="002D7633" w:rsidRPr="00885D00" w:rsidRDefault="002D7633" w:rsidP="0011195D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trike/>
              </w:rPr>
            </w:pPr>
            <w:r w:rsidRPr="00885D00">
              <w:rPr>
                <w:rFonts w:ascii="Arial" w:hAnsi="Arial" w:cs="Arial"/>
                <w:strike/>
                <w:sz w:val="22"/>
                <w:szCs w:val="22"/>
              </w:rPr>
              <w:t>Place Waste container back on shelf.</w:t>
            </w:r>
          </w:p>
        </w:tc>
        <w:tc>
          <w:tcPr>
            <w:tcW w:w="774" w:type="pct"/>
          </w:tcPr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  <w:p w:rsidR="002D7633" w:rsidRPr="00885D00" w:rsidRDefault="002D7633" w:rsidP="00A63EF7">
            <w:pPr>
              <w:rPr>
                <w:rFonts w:ascii="Arial" w:hAnsi="Arial" w:cs="Arial"/>
                <w:strike/>
              </w:rPr>
            </w:pPr>
          </w:p>
        </w:tc>
      </w:tr>
      <w:tr w:rsidR="002D7633" w:rsidTr="00036583">
        <w:trPr>
          <w:trHeight w:val="359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proofErr w:type="spellStart"/>
            <w:r w:rsidRPr="0011195D"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 w:rsidRPr="0011195D">
              <w:rPr>
                <w:rFonts w:ascii="Arial" w:hAnsi="Arial" w:cs="Arial"/>
                <w:sz w:val="22"/>
                <w:szCs w:val="22"/>
              </w:rPr>
              <w:t xml:space="preserve"> Needle position.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50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On the Main Menu, select Maintenance / Teach Coordinates.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32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two pipetting needles will move to the front corners of the instrument.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950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middle of the screen will show a schematic representation of all the “teaching positions” for the needles.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A rectangle below the schematic will read “Device Initializing”.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Wait until the message changes to “Please select area to adjust”.</w:t>
            </w:r>
          </w:p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NOTE: DO NOT change any settings in the “Teach Coordinates” program for other reference positions other than the Right and Left </w:t>
            </w:r>
            <w:proofErr w:type="spellStart"/>
            <w:r w:rsidRPr="0011195D"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 w:rsidRPr="0011195D">
              <w:rPr>
                <w:rFonts w:ascii="Arial" w:hAnsi="Arial" w:cs="Arial"/>
                <w:sz w:val="22"/>
                <w:szCs w:val="22"/>
              </w:rPr>
              <w:t xml:space="preserve"> Needles.  Changing the other coordinates may cause the needles to crash and damage the instrument.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Select the ‘Ref Left’ button.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The left needle will move to a position over the reference position.  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teaching window will open in the center of the screen.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Use the left shift 4xs (each time goes down 1/2 the distance, then 1/2 again, </w:t>
            </w:r>
            <w:proofErr w:type="spellStart"/>
            <w:r w:rsidRPr="0011195D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11195D">
              <w:rPr>
                <w:rFonts w:ascii="Arial" w:hAnsi="Arial" w:cs="Arial"/>
                <w:sz w:val="22"/>
                <w:szCs w:val="22"/>
              </w:rPr>
              <w:t>) then your page up and down keys.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needle will move down to its reference position.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The needle should be directly over the small white cavity in the center of the reference position and flush with the top edge of the reference point. </w:t>
            </w:r>
          </w:p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NOTE: A single sheet of standard copy paper should be able to be placed between the needle and the reference position.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If the needle is not properly positioned: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Verify that the needle is not bent. If it is, it may be gently straightened.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If alignment is slightly off (3-4 mm) adjust the X, Y and Z axis.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arrow keys on the keyboard control the X-axis (left/right) and the Y-axis (front/back).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“</w:t>
            </w:r>
            <w:proofErr w:type="spellStart"/>
            <w:r w:rsidRPr="0011195D">
              <w:rPr>
                <w:rFonts w:ascii="Arial" w:hAnsi="Arial" w:cs="Arial"/>
                <w:sz w:val="22"/>
                <w:szCs w:val="22"/>
              </w:rPr>
              <w:t>PgUp</w:t>
            </w:r>
            <w:proofErr w:type="spellEnd"/>
            <w:r w:rsidRPr="0011195D">
              <w:rPr>
                <w:rFonts w:ascii="Arial" w:hAnsi="Arial" w:cs="Arial"/>
                <w:sz w:val="22"/>
                <w:szCs w:val="22"/>
              </w:rPr>
              <w:t>” and “</w:t>
            </w:r>
            <w:proofErr w:type="spellStart"/>
            <w:r w:rsidRPr="0011195D">
              <w:rPr>
                <w:rFonts w:ascii="Arial" w:hAnsi="Arial" w:cs="Arial"/>
                <w:sz w:val="22"/>
                <w:szCs w:val="22"/>
              </w:rPr>
              <w:t>PgDn</w:t>
            </w:r>
            <w:proofErr w:type="spellEnd"/>
            <w:r w:rsidRPr="0011195D">
              <w:rPr>
                <w:rFonts w:ascii="Arial" w:hAnsi="Arial" w:cs="Arial"/>
                <w:sz w:val="22"/>
                <w:szCs w:val="22"/>
              </w:rPr>
              <w:t>” keys control the Z axis.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If alignment is off more than slightly, contact Technical Support.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Once the left needle is properly aligned, select OK from the screen to save the coordinates and close the teaching window.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Select the ‘Right Ref’ button.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right needle will move to a position over the reference position.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teaching window will open in the center of the screen.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Follow steps E.3.d-f above.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Select the ‘Quit’ button to close the ‘Teach Coordinates’ window and return to the TANGO program.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890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Turn the TANGO off.  Wait 10 seconds and turn the TANGO back on.  The TANGO will go through initialization.  Wait until ‘Ready’ appears </w:t>
            </w:r>
            <w:r w:rsidR="00885D00">
              <w:rPr>
                <w:rFonts w:ascii="Arial" w:hAnsi="Arial" w:cs="Arial"/>
                <w:sz w:val="22"/>
                <w:szCs w:val="22"/>
              </w:rPr>
              <w:t>i</w:t>
            </w:r>
            <w:r w:rsidRPr="0011195D">
              <w:rPr>
                <w:rFonts w:ascii="Arial" w:hAnsi="Arial" w:cs="Arial"/>
                <w:sz w:val="22"/>
                <w:szCs w:val="22"/>
              </w:rPr>
              <w:t>n the analyzer status field.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41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G.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Complete the Monthly Maintenance section.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59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H.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Load reagents and samples.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rPr>
          <w:trHeight w:val="350"/>
        </w:trPr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Run controls before resuming testing on the TANGO.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2D7633" w:rsidTr="00036583">
        <w:tc>
          <w:tcPr>
            <w:tcW w:w="344" w:type="pct"/>
          </w:tcPr>
          <w:p w:rsidR="002D7633" w:rsidRPr="0011195D" w:rsidRDefault="002D7633" w:rsidP="00A63EF7">
            <w:pPr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 xml:space="preserve">J. </w:t>
            </w:r>
          </w:p>
        </w:tc>
        <w:tc>
          <w:tcPr>
            <w:tcW w:w="3882" w:type="pct"/>
            <w:vAlign w:val="center"/>
          </w:tcPr>
          <w:p w:rsidR="002D7633" w:rsidRPr="0011195D" w:rsidRDefault="002D7633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Monthly Database Backup.</w:t>
            </w:r>
          </w:p>
          <w:p w:rsidR="002D7633" w:rsidRPr="0011195D" w:rsidRDefault="002D7633" w:rsidP="0011195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Record action on Monthly Maintenance section.</w:t>
            </w:r>
          </w:p>
        </w:tc>
        <w:tc>
          <w:tcPr>
            <w:tcW w:w="774" w:type="pct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Monthly Database Backup </w:t>
            </w:r>
          </w:p>
        </w:tc>
      </w:tr>
    </w:tbl>
    <w:p w:rsidR="002D7633" w:rsidRDefault="002D7633" w:rsidP="00A63EF7">
      <w:pPr>
        <w:ind w:left="1080"/>
        <w:rPr>
          <w:rFonts w:ascii="Arial" w:hAnsi="Arial" w:cs="Arial"/>
          <w:b/>
          <w:sz w:val="22"/>
          <w:szCs w:val="22"/>
        </w:rPr>
      </w:pPr>
    </w:p>
    <w:p w:rsidR="002D7633" w:rsidRPr="00036583" w:rsidRDefault="002D7633" w:rsidP="00A63EF7">
      <w:pPr>
        <w:ind w:left="1080"/>
        <w:rPr>
          <w:rFonts w:ascii="Arial" w:hAnsi="Arial" w:cs="Arial"/>
          <w:b/>
          <w:sz w:val="22"/>
          <w:szCs w:val="22"/>
        </w:rPr>
      </w:pPr>
    </w:p>
    <w:p w:rsidR="002D7633" w:rsidRPr="00036583" w:rsidRDefault="002D7633" w:rsidP="00036583">
      <w:pPr>
        <w:ind w:hanging="360"/>
        <w:rPr>
          <w:rFonts w:ascii="Arial" w:hAnsi="Arial" w:cs="Arial"/>
          <w:b/>
          <w:sz w:val="22"/>
          <w:szCs w:val="22"/>
        </w:rPr>
      </w:pPr>
      <w:r w:rsidRPr="00036583">
        <w:rPr>
          <w:rFonts w:ascii="Arial" w:hAnsi="Arial" w:cs="Arial"/>
          <w:b/>
          <w:sz w:val="22"/>
          <w:szCs w:val="22"/>
        </w:rPr>
        <w:t>Referenced Documents:</w:t>
      </w:r>
    </w:p>
    <w:p w:rsidR="002D7633" w:rsidRPr="00484060" w:rsidRDefault="002D7633" w:rsidP="00036583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p w:rsidR="002D7633" w:rsidRDefault="002D7633" w:rsidP="00A63EF7">
      <w:pPr>
        <w:ind w:left="1080"/>
        <w:rPr>
          <w:rFonts w:ascii="Arial" w:hAnsi="Arial" w:cs="Arial"/>
          <w:sz w:val="22"/>
          <w:szCs w:val="22"/>
        </w:rPr>
      </w:pPr>
    </w:p>
    <w:p w:rsidR="002D7633" w:rsidRDefault="002D7633" w:rsidP="00A63EF7">
      <w:pPr>
        <w:ind w:left="1080"/>
        <w:rPr>
          <w:rFonts w:ascii="Arial" w:hAnsi="Arial" w:cs="Arial"/>
          <w:sz w:val="22"/>
          <w:szCs w:val="22"/>
        </w:rPr>
      </w:pPr>
    </w:p>
    <w:p w:rsidR="002D7633" w:rsidRDefault="002D7633" w:rsidP="00A63EF7">
      <w:pPr>
        <w:ind w:left="1080"/>
        <w:rPr>
          <w:rFonts w:ascii="Arial" w:hAnsi="Arial" w:cs="Arial"/>
          <w:sz w:val="22"/>
          <w:szCs w:val="22"/>
        </w:rPr>
      </w:pPr>
    </w:p>
    <w:p w:rsidR="002D7633" w:rsidRPr="00484060" w:rsidRDefault="002D7633" w:rsidP="00DF45C7">
      <w:pPr>
        <w:rPr>
          <w:rFonts w:ascii="Arial" w:hAnsi="Arial" w:cs="Arial"/>
          <w:sz w:val="22"/>
          <w:szCs w:val="22"/>
        </w:rPr>
      </w:pPr>
    </w:p>
    <w:p w:rsidR="002D7633" w:rsidRPr="00484060" w:rsidRDefault="002D7633" w:rsidP="00A63EF7">
      <w:pPr>
        <w:rPr>
          <w:rFonts w:ascii="Arial" w:hAnsi="Arial" w:cs="Arial"/>
          <w:b/>
          <w:sz w:val="22"/>
          <w:szCs w:val="22"/>
        </w:rPr>
      </w:pPr>
    </w:p>
    <w:p w:rsidR="002D7633" w:rsidRDefault="002D7633"/>
    <w:sectPr w:rsidR="002D7633" w:rsidSect="0003658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1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B1" w:rsidRDefault="00E95DB1" w:rsidP="005B4617">
      <w:r>
        <w:separator/>
      </w:r>
    </w:p>
  </w:endnote>
  <w:endnote w:type="continuationSeparator" w:id="0">
    <w:p w:rsidR="00E95DB1" w:rsidRDefault="00E95DB1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Pr="00036583" w:rsidRDefault="00E95DB1" w:rsidP="00036583">
    <w:pPr>
      <w:pStyle w:val="Footer"/>
      <w:tabs>
        <w:tab w:val="clear" w:pos="9360"/>
        <w:tab w:val="right" w:pos="9720"/>
      </w:tabs>
      <w:ind w:left="-360"/>
    </w:pPr>
    <w:r w:rsidRPr="009E31FE">
      <w:rPr>
        <w:rFonts w:ascii="Arial" w:hAnsi="Arial" w:cs="Arial"/>
        <w:sz w:val="20"/>
        <w:szCs w:val="20"/>
      </w:rPr>
      <w:t>Trans</w:t>
    </w:r>
    <w:r>
      <w:rPr>
        <w:rFonts w:ascii="Arial" w:hAnsi="Arial" w:cs="Arial"/>
        <w:sz w:val="20"/>
        <w:szCs w:val="20"/>
      </w:rPr>
      <w:t xml:space="preserve">fusion Services Laboratory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  <w:r w:rsidRPr="009E31FE">
      <w:rPr>
        <w:rFonts w:ascii="Arial" w:hAnsi="Arial" w:cs="Arial"/>
        <w:sz w:val="20"/>
        <w:szCs w:val="20"/>
      </w:rPr>
      <w:t xml:space="preserve">Page </w:t>
    </w:r>
    <w:r w:rsidR="00C864FD" w:rsidRPr="009E31FE">
      <w:rPr>
        <w:rFonts w:ascii="Arial" w:hAnsi="Arial" w:cs="Arial"/>
        <w:b/>
        <w:sz w:val="20"/>
        <w:szCs w:val="20"/>
      </w:rPr>
      <w:fldChar w:fldCharType="begin"/>
    </w:r>
    <w:r w:rsidRPr="009E31FE">
      <w:rPr>
        <w:rFonts w:ascii="Arial" w:hAnsi="Arial" w:cs="Arial"/>
        <w:b/>
        <w:sz w:val="20"/>
        <w:szCs w:val="20"/>
      </w:rPr>
      <w:instrText xml:space="preserve"> PAGE </w:instrText>
    </w:r>
    <w:r w:rsidR="00C864FD" w:rsidRPr="009E31FE">
      <w:rPr>
        <w:rFonts w:ascii="Arial" w:hAnsi="Arial" w:cs="Arial"/>
        <w:b/>
        <w:sz w:val="20"/>
        <w:szCs w:val="20"/>
      </w:rPr>
      <w:fldChar w:fldCharType="separate"/>
    </w:r>
    <w:r w:rsidR="00C07710">
      <w:rPr>
        <w:rFonts w:ascii="Arial" w:hAnsi="Arial" w:cs="Arial"/>
        <w:b/>
        <w:noProof/>
        <w:sz w:val="20"/>
        <w:szCs w:val="20"/>
      </w:rPr>
      <w:t>4</w:t>
    </w:r>
    <w:r w:rsidR="00C864FD" w:rsidRPr="009E31FE">
      <w:rPr>
        <w:rFonts w:ascii="Arial" w:hAnsi="Arial" w:cs="Arial"/>
        <w:b/>
        <w:sz w:val="20"/>
        <w:szCs w:val="20"/>
      </w:rPr>
      <w:fldChar w:fldCharType="end"/>
    </w:r>
    <w:r w:rsidRPr="009E31FE">
      <w:rPr>
        <w:rFonts w:ascii="Arial" w:hAnsi="Arial" w:cs="Arial"/>
        <w:sz w:val="20"/>
        <w:szCs w:val="20"/>
      </w:rPr>
      <w:t xml:space="preserve"> of </w:t>
    </w:r>
    <w:r w:rsidR="00C864FD" w:rsidRPr="009E31FE">
      <w:rPr>
        <w:rFonts w:ascii="Arial" w:hAnsi="Arial" w:cs="Arial"/>
        <w:b/>
        <w:sz w:val="20"/>
        <w:szCs w:val="20"/>
      </w:rPr>
      <w:fldChar w:fldCharType="begin"/>
    </w:r>
    <w:r w:rsidRPr="009E31FE">
      <w:rPr>
        <w:rFonts w:ascii="Arial" w:hAnsi="Arial" w:cs="Arial"/>
        <w:b/>
        <w:sz w:val="20"/>
        <w:szCs w:val="20"/>
      </w:rPr>
      <w:instrText xml:space="preserve"> NUMPAGES  </w:instrText>
    </w:r>
    <w:r w:rsidR="00C864FD" w:rsidRPr="009E31FE">
      <w:rPr>
        <w:rFonts w:ascii="Arial" w:hAnsi="Arial" w:cs="Arial"/>
        <w:b/>
        <w:sz w:val="20"/>
        <w:szCs w:val="20"/>
      </w:rPr>
      <w:fldChar w:fldCharType="separate"/>
    </w:r>
    <w:r w:rsidR="00C07710">
      <w:rPr>
        <w:rFonts w:ascii="Arial" w:hAnsi="Arial" w:cs="Arial"/>
        <w:b/>
        <w:noProof/>
        <w:sz w:val="20"/>
        <w:szCs w:val="20"/>
      </w:rPr>
      <w:t>4</w:t>
    </w:r>
    <w:r w:rsidR="00C864FD" w:rsidRPr="009E31FE">
      <w:rPr>
        <w:rFonts w:ascii="Arial" w:hAnsi="Arial" w:cs="Arial"/>
        <w:b/>
        <w:sz w:val="20"/>
        <w:szCs w:val="20"/>
      </w:rPr>
      <w:fldChar w:fldCharType="end"/>
    </w:r>
  </w:p>
  <w:p w:rsidR="00E95DB1" w:rsidRDefault="00E95DB1" w:rsidP="00036583">
    <w:pPr>
      <w:pStyle w:val="Footer"/>
      <w:tabs>
        <w:tab w:val="left" w:pos="1388"/>
      </w:tabs>
      <w:ind w:left="-360"/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Ave.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  <w:p w:rsidR="00E95DB1" w:rsidRPr="009E31FE" w:rsidRDefault="00E95DB1">
    <w:pPr>
      <w:pStyle w:val="Footer"/>
      <w:jc w:val="right"/>
      <w:rPr>
        <w:rFonts w:ascii="Arial" w:hAnsi="Arial" w:cs="Arial"/>
        <w:b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Default="00E95DB1">
    <w:pPr>
      <w:pStyle w:val="Footer"/>
      <w:jc w:val="right"/>
    </w:pPr>
  </w:p>
  <w:p w:rsidR="00E95DB1" w:rsidRPr="009E31FE" w:rsidRDefault="00E95DB1" w:rsidP="009E31FE">
    <w:pPr>
      <w:pStyle w:val="Footer"/>
      <w:tabs>
        <w:tab w:val="left" w:pos="1388"/>
      </w:tabs>
      <w:rPr>
        <w:rFonts w:ascii="Arial" w:hAnsi="Arial" w:cs="Arial"/>
        <w:sz w:val="20"/>
        <w:szCs w:val="20"/>
      </w:rPr>
    </w:pPr>
    <w:r w:rsidRPr="009E31FE">
      <w:rPr>
        <w:rFonts w:ascii="Arial" w:hAnsi="Arial" w:cs="Arial"/>
        <w:sz w:val="20"/>
        <w:szCs w:val="20"/>
      </w:rPr>
      <w:tab/>
    </w:r>
    <w:r w:rsidRPr="009E31F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B1" w:rsidRDefault="00E95DB1" w:rsidP="005B4617">
      <w:r>
        <w:separator/>
      </w:r>
    </w:p>
  </w:footnote>
  <w:footnote w:type="continuationSeparator" w:id="0">
    <w:p w:rsidR="00E95DB1" w:rsidRDefault="00E95DB1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Pr="009E31FE" w:rsidRDefault="00E95DB1" w:rsidP="00036583">
    <w:pPr>
      <w:pStyle w:val="Header"/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Tango Monthly Maintenance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Pr="00886763" w:rsidRDefault="00C07710" w:rsidP="00036583">
    <w:pPr>
      <w:ind w:hanging="36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color w:val="0082D9"/>
        <w:sz w:val="22"/>
        <w:szCs w:val="22"/>
      </w:rPr>
      <w:drawing>
        <wp:inline distT="0" distB="0" distL="0" distR="0">
          <wp:extent cx="6359525" cy="66738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E95DB1" w:rsidRPr="00886763" w:rsidTr="00710A5C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886763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886763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886763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886763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886763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8867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886763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8867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886763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886763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88676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886763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8867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886763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886763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886763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886763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886763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886763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95DB1" w:rsidRPr="009E31FE" w:rsidRDefault="00885D00" w:rsidP="00710A5C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5518-</w:t>
          </w:r>
          <w:r w:rsidRPr="00885D00">
            <w:rPr>
              <w:rFonts w:ascii="Arial" w:hAnsi="Arial" w:cs="Arial"/>
              <w:b/>
              <w:sz w:val="20"/>
              <w:szCs w:val="20"/>
              <w:highlight w:val="yellow"/>
            </w:rPr>
            <w:t>3</w:t>
          </w:r>
        </w:p>
      </w:tc>
    </w:tr>
    <w:tr w:rsidR="00E95DB1" w:rsidRPr="00886763" w:rsidTr="00710A5C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95DB1" w:rsidRPr="00886763" w:rsidRDefault="00E95DB1" w:rsidP="00710A5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95DB1" w:rsidRPr="00E95DB1" w:rsidRDefault="00885D00" w:rsidP="00710A5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August 5, 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E95DB1" w:rsidRPr="00886763" w:rsidTr="00710A5C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95DB1" w:rsidRPr="00036583" w:rsidRDefault="00E95DB1" w:rsidP="00710A5C">
          <w:pPr>
            <w:rPr>
              <w:rFonts w:ascii="Arial" w:hAnsi="Arial" w:cs="Arial"/>
              <w:sz w:val="28"/>
              <w:szCs w:val="28"/>
            </w:rPr>
          </w:pPr>
          <w:r w:rsidRPr="00036583">
            <w:rPr>
              <w:rFonts w:ascii="Arial" w:hAnsi="Arial" w:cs="Arial"/>
              <w:sz w:val="28"/>
              <w:szCs w:val="28"/>
            </w:rPr>
            <w:t>TITLE: Tango Monthly Maintenance</w:t>
          </w:r>
        </w:p>
      </w:tc>
    </w:tr>
  </w:tbl>
  <w:p w:rsidR="00E95DB1" w:rsidRDefault="00E95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959"/>
    <w:multiLevelType w:val="hybridMultilevel"/>
    <w:tmpl w:val="6F8E09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F721FE"/>
    <w:multiLevelType w:val="multilevel"/>
    <w:tmpl w:val="A5588BC0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3B4"/>
    <w:multiLevelType w:val="multilevel"/>
    <w:tmpl w:val="59C2D050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AC80E19"/>
    <w:multiLevelType w:val="hybridMultilevel"/>
    <w:tmpl w:val="8DD222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F12010"/>
    <w:multiLevelType w:val="hybridMultilevel"/>
    <w:tmpl w:val="84FC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B6929"/>
    <w:multiLevelType w:val="hybridMultilevel"/>
    <w:tmpl w:val="5568F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97626C"/>
    <w:multiLevelType w:val="hybridMultilevel"/>
    <w:tmpl w:val="49049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4015C"/>
    <w:multiLevelType w:val="hybridMultilevel"/>
    <w:tmpl w:val="E8B62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831A5C"/>
    <w:multiLevelType w:val="multilevel"/>
    <w:tmpl w:val="E610B11C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54E5AD3"/>
    <w:multiLevelType w:val="hybridMultilevel"/>
    <w:tmpl w:val="19D2F7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822BFE"/>
    <w:multiLevelType w:val="hybridMultilevel"/>
    <w:tmpl w:val="FC24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0296374"/>
    <w:multiLevelType w:val="hybridMultilevel"/>
    <w:tmpl w:val="2846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A870F1C"/>
    <w:multiLevelType w:val="hybridMultilevel"/>
    <w:tmpl w:val="D60A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965DC"/>
    <w:multiLevelType w:val="hybridMultilevel"/>
    <w:tmpl w:val="3F46E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B4089"/>
    <w:multiLevelType w:val="hybridMultilevel"/>
    <w:tmpl w:val="663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C44D5"/>
    <w:multiLevelType w:val="hybridMultilevel"/>
    <w:tmpl w:val="1194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DD11B7"/>
    <w:multiLevelType w:val="hybridMultilevel"/>
    <w:tmpl w:val="7F94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11F97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5039677F"/>
    <w:multiLevelType w:val="hybridMultilevel"/>
    <w:tmpl w:val="A3FEE4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7E67B0"/>
    <w:multiLevelType w:val="hybridMultilevel"/>
    <w:tmpl w:val="213E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F42DC7"/>
    <w:multiLevelType w:val="hybridMultilevel"/>
    <w:tmpl w:val="BB3C6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609F6C6D"/>
    <w:multiLevelType w:val="hybridMultilevel"/>
    <w:tmpl w:val="450A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5B02D4"/>
    <w:multiLevelType w:val="hybridMultilevel"/>
    <w:tmpl w:val="071408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93F3F"/>
    <w:multiLevelType w:val="hybridMultilevel"/>
    <w:tmpl w:val="BD30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>
    <w:nsid w:val="7CD013A0"/>
    <w:multiLevelType w:val="hybridMultilevel"/>
    <w:tmpl w:val="90F6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>
    <w:nsid w:val="7FBA52D9"/>
    <w:multiLevelType w:val="multilevel"/>
    <w:tmpl w:val="247AD654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2"/>
  </w:num>
  <w:num w:numId="3">
    <w:abstractNumId w:val="17"/>
  </w:num>
  <w:num w:numId="4">
    <w:abstractNumId w:val="44"/>
  </w:num>
  <w:num w:numId="5">
    <w:abstractNumId w:val="19"/>
  </w:num>
  <w:num w:numId="6">
    <w:abstractNumId w:val="12"/>
  </w:num>
  <w:num w:numId="7">
    <w:abstractNumId w:val="24"/>
  </w:num>
  <w:num w:numId="8">
    <w:abstractNumId w:val="4"/>
  </w:num>
  <w:num w:numId="9">
    <w:abstractNumId w:val="26"/>
  </w:num>
  <w:num w:numId="10">
    <w:abstractNumId w:val="40"/>
  </w:num>
  <w:num w:numId="11">
    <w:abstractNumId w:val="35"/>
  </w:num>
  <w:num w:numId="12">
    <w:abstractNumId w:val="38"/>
  </w:num>
  <w:num w:numId="13">
    <w:abstractNumId w:val="16"/>
  </w:num>
  <w:num w:numId="14">
    <w:abstractNumId w:val="2"/>
  </w:num>
  <w:num w:numId="15">
    <w:abstractNumId w:val="45"/>
  </w:num>
  <w:num w:numId="16">
    <w:abstractNumId w:val="28"/>
  </w:num>
  <w:num w:numId="17">
    <w:abstractNumId w:val="25"/>
  </w:num>
  <w:num w:numId="18">
    <w:abstractNumId w:val="37"/>
  </w:num>
  <w:num w:numId="19">
    <w:abstractNumId w:val="22"/>
  </w:num>
  <w:num w:numId="20">
    <w:abstractNumId w:val="15"/>
  </w:num>
  <w:num w:numId="21">
    <w:abstractNumId w:val="34"/>
  </w:num>
  <w:num w:numId="22">
    <w:abstractNumId w:val="30"/>
  </w:num>
  <w:num w:numId="23">
    <w:abstractNumId w:val="14"/>
  </w:num>
  <w:num w:numId="24">
    <w:abstractNumId w:val="9"/>
  </w:num>
  <w:num w:numId="25">
    <w:abstractNumId w:val="23"/>
  </w:num>
  <w:num w:numId="26">
    <w:abstractNumId w:val="29"/>
  </w:num>
  <w:num w:numId="27">
    <w:abstractNumId w:val="7"/>
  </w:num>
  <w:num w:numId="28">
    <w:abstractNumId w:val="20"/>
  </w:num>
  <w:num w:numId="29">
    <w:abstractNumId w:val="31"/>
  </w:num>
  <w:num w:numId="30">
    <w:abstractNumId w:val="27"/>
  </w:num>
  <w:num w:numId="31">
    <w:abstractNumId w:val="46"/>
  </w:num>
  <w:num w:numId="32">
    <w:abstractNumId w:val="5"/>
  </w:num>
  <w:num w:numId="33">
    <w:abstractNumId w:val="11"/>
  </w:num>
  <w:num w:numId="34">
    <w:abstractNumId w:val="3"/>
  </w:num>
  <w:num w:numId="35">
    <w:abstractNumId w:val="43"/>
  </w:num>
  <w:num w:numId="36">
    <w:abstractNumId w:val="36"/>
  </w:num>
  <w:num w:numId="37">
    <w:abstractNumId w:val="18"/>
  </w:num>
  <w:num w:numId="38">
    <w:abstractNumId w:val="39"/>
  </w:num>
  <w:num w:numId="39">
    <w:abstractNumId w:val="6"/>
  </w:num>
  <w:num w:numId="40">
    <w:abstractNumId w:val="10"/>
  </w:num>
  <w:num w:numId="41">
    <w:abstractNumId w:val="13"/>
  </w:num>
  <w:num w:numId="42">
    <w:abstractNumId w:val="41"/>
  </w:num>
  <w:num w:numId="43">
    <w:abstractNumId w:val="32"/>
  </w:num>
  <w:num w:numId="44">
    <w:abstractNumId w:val="33"/>
  </w:num>
  <w:num w:numId="45">
    <w:abstractNumId w:val="0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AB"/>
    <w:rsid w:val="000054DB"/>
    <w:rsid w:val="00013C43"/>
    <w:rsid w:val="00020C51"/>
    <w:rsid w:val="00036583"/>
    <w:rsid w:val="00046840"/>
    <w:rsid w:val="000614D9"/>
    <w:rsid w:val="0006575D"/>
    <w:rsid w:val="00067AC5"/>
    <w:rsid w:val="000A0A34"/>
    <w:rsid w:val="000C0429"/>
    <w:rsid w:val="000F5CCD"/>
    <w:rsid w:val="0011195D"/>
    <w:rsid w:val="001269E0"/>
    <w:rsid w:val="0013118A"/>
    <w:rsid w:val="00135D76"/>
    <w:rsid w:val="00136256"/>
    <w:rsid w:val="001B4F0C"/>
    <w:rsid w:val="002046F0"/>
    <w:rsid w:val="00217CA9"/>
    <w:rsid w:val="0023388E"/>
    <w:rsid w:val="00296847"/>
    <w:rsid w:val="002B468B"/>
    <w:rsid w:val="002D7633"/>
    <w:rsid w:val="002E2076"/>
    <w:rsid w:val="00323E7D"/>
    <w:rsid w:val="0032752F"/>
    <w:rsid w:val="00340AF6"/>
    <w:rsid w:val="003601C9"/>
    <w:rsid w:val="003755AA"/>
    <w:rsid w:val="003C3416"/>
    <w:rsid w:val="003C78D7"/>
    <w:rsid w:val="003D773B"/>
    <w:rsid w:val="0040133D"/>
    <w:rsid w:val="004470D8"/>
    <w:rsid w:val="00455D69"/>
    <w:rsid w:val="00457633"/>
    <w:rsid w:val="0048178C"/>
    <w:rsid w:val="00484060"/>
    <w:rsid w:val="00495B22"/>
    <w:rsid w:val="004B04C7"/>
    <w:rsid w:val="004C0EB3"/>
    <w:rsid w:val="004C70D7"/>
    <w:rsid w:val="005222D2"/>
    <w:rsid w:val="005606C6"/>
    <w:rsid w:val="00575C98"/>
    <w:rsid w:val="00584408"/>
    <w:rsid w:val="00595AAD"/>
    <w:rsid w:val="005B4617"/>
    <w:rsid w:val="005B4B21"/>
    <w:rsid w:val="00602F89"/>
    <w:rsid w:val="0065476C"/>
    <w:rsid w:val="00666E62"/>
    <w:rsid w:val="006732A0"/>
    <w:rsid w:val="00694BAC"/>
    <w:rsid w:val="006C0591"/>
    <w:rsid w:val="006C3C49"/>
    <w:rsid w:val="006D4395"/>
    <w:rsid w:val="006E5DC4"/>
    <w:rsid w:val="006F1F38"/>
    <w:rsid w:val="006F7C0E"/>
    <w:rsid w:val="0070350F"/>
    <w:rsid w:val="00710A5C"/>
    <w:rsid w:val="007662D4"/>
    <w:rsid w:val="007862A9"/>
    <w:rsid w:val="007A3559"/>
    <w:rsid w:val="007C2F88"/>
    <w:rsid w:val="00814AAB"/>
    <w:rsid w:val="00830899"/>
    <w:rsid w:val="008342EE"/>
    <w:rsid w:val="00836932"/>
    <w:rsid w:val="008647C8"/>
    <w:rsid w:val="00872F1A"/>
    <w:rsid w:val="00872FB4"/>
    <w:rsid w:val="00883BAA"/>
    <w:rsid w:val="00885D00"/>
    <w:rsid w:val="00886763"/>
    <w:rsid w:val="008D1734"/>
    <w:rsid w:val="008E2005"/>
    <w:rsid w:val="009106A2"/>
    <w:rsid w:val="00936780"/>
    <w:rsid w:val="00953BD5"/>
    <w:rsid w:val="009803A4"/>
    <w:rsid w:val="00980D76"/>
    <w:rsid w:val="00985CC8"/>
    <w:rsid w:val="009E31FE"/>
    <w:rsid w:val="009F1DF9"/>
    <w:rsid w:val="00A258D7"/>
    <w:rsid w:val="00A51A05"/>
    <w:rsid w:val="00A63EF7"/>
    <w:rsid w:val="00A818F8"/>
    <w:rsid w:val="00A82A1B"/>
    <w:rsid w:val="00A87E85"/>
    <w:rsid w:val="00A91D56"/>
    <w:rsid w:val="00A91EF2"/>
    <w:rsid w:val="00AB2D5F"/>
    <w:rsid w:val="00AC40D0"/>
    <w:rsid w:val="00AD33FB"/>
    <w:rsid w:val="00AE0C26"/>
    <w:rsid w:val="00AF6FF9"/>
    <w:rsid w:val="00B00BF0"/>
    <w:rsid w:val="00B05542"/>
    <w:rsid w:val="00B26A77"/>
    <w:rsid w:val="00B378E9"/>
    <w:rsid w:val="00B46DDF"/>
    <w:rsid w:val="00B52FE3"/>
    <w:rsid w:val="00B54794"/>
    <w:rsid w:val="00B57383"/>
    <w:rsid w:val="00B92704"/>
    <w:rsid w:val="00B962F6"/>
    <w:rsid w:val="00BA1657"/>
    <w:rsid w:val="00BB28C8"/>
    <w:rsid w:val="00BC0AF9"/>
    <w:rsid w:val="00C06149"/>
    <w:rsid w:val="00C07355"/>
    <w:rsid w:val="00C07710"/>
    <w:rsid w:val="00C1650D"/>
    <w:rsid w:val="00C32C0B"/>
    <w:rsid w:val="00C42899"/>
    <w:rsid w:val="00C43557"/>
    <w:rsid w:val="00C50A7E"/>
    <w:rsid w:val="00C57B0F"/>
    <w:rsid w:val="00C864FD"/>
    <w:rsid w:val="00CF128B"/>
    <w:rsid w:val="00D01D95"/>
    <w:rsid w:val="00D21C6E"/>
    <w:rsid w:val="00D733D0"/>
    <w:rsid w:val="00D76BDB"/>
    <w:rsid w:val="00D80667"/>
    <w:rsid w:val="00DF45C7"/>
    <w:rsid w:val="00DF5279"/>
    <w:rsid w:val="00E76C72"/>
    <w:rsid w:val="00E86940"/>
    <w:rsid w:val="00E95DB1"/>
    <w:rsid w:val="00EB37A2"/>
    <w:rsid w:val="00EC230C"/>
    <w:rsid w:val="00EC6B77"/>
    <w:rsid w:val="00F052D7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5983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Brenda Hayden</cp:lastModifiedBy>
  <cp:revision>2</cp:revision>
  <cp:lastPrinted>2012-09-06T11:38:00Z</cp:lastPrinted>
  <dcterms:created xsi:type="dcterms:W3CDTF">2013-07-22T21:51:00Z</dcterms:created>
  <dcterms:modified xsi:type="dcterms:W3CDTF">2013-07-22T21:51:00Z</dcterms:modified>
</cp:coreProperties>
</file>