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Purpose:</w:t>
      </w:r>
    </w:p>
    <w:p w:rsidR="0035491C" w:rsidRDefault="0035491C" w:rsidP="00A0132D">
      <w:pPr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</w:t>
      </w:r>
      <w:r w:rsidRPr="00A0132D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>s</w:t>
      </w:r>
      <w:r w:rsidRPr="00A0132D">
        <w:rPr>
          <w:rFonts w:ascii="Arial" w:hAnsi="Arial" w:cs="Arial"/>
          <w:sz w:val="22"/>
          <w:szCs w:val="22"/>
        </w:rPr>
        <w:t xml:space="preserve"> instructions for the use of Portable Blood Refrigerators</w:t>
      </w:r>
      <w:r w:rsidR="00DB46B6">
        <w:rPr>
          <w:rFonts w:ascii="Arial" w:hAnsi="Arial" w:cs="Arial"/>
          <w:sz w:val="22"/>
          <w:szCs w:val="22"/>
        </w:rPr>
        <w:t xml:space="preserve"> (PBR)</w:t>
      </w:r>
      <w:r w:rsidRPr="00A0132D">
        <w:rPr>
          <w:rFonts w:ascii="Arial" w:hAnsi="Arial" w:cs="Arial"/>
          <w:sz w:val="22"/>
          <w:szCs w:val="22"/>
        </w:rPr>
        <w:t xml:space="preserve"> in the Harborview Medical Center (HMC) Transfusion Service (TS) operations.</w:t>
      </w:r>
    </w:p>
    <w:p w:rsidR="0035491C" w:rsidRPr="008C4CE9" w:rsidRDefault="0035491C" w:rsidP="00A0132D">
      <w:pPr>
        <w:ind w:left="-120"/>
        <w:rPr>
          <w:rFonts w:ascii="Arial" w:hAnsi="Arial" w:cs="Arial"/>
          <w:sz w:val="16"/>
          <w:szCs w:val="16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A0132D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7849"/>
        <w:gridCol w:w="1925"/>
        <w:gridCol w:w="12"/>
      </w:tblGrid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A0132D" w:rsidRDefault="0035491C" w:rsidP="00A0132D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849" w:type="dxa"/>
          </w:tcPr>
          <w:p w:rsidR="0035491C" w:rsidRPr="002856AB" w:rsidRDefault="0035491C" w:rsidP="008C4CE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portable refrigerators are requested for use by a patient care area</w:t>
            </w:r>
            <w:r w:rsidR="008C4CE9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491C" w:rsidRPr="002856AB" w:rsidRDefault="0035491C" w:rsidP="008C4C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TS staff will deliver and return PBR to and from the patient care area. </w:t>
            </w:r>
          </w:p>
          <w:p w:rsidR="0035491C" w:rsidRPr="002856AB" w:rsidRDefault="0035491C" w:rsidP="008C4CE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Plug the PBR into </w:t>
            </w:r>
            <w:r w:rsidR="00DB46B6" w:rsidRPr="002856AB">
              <w:rPr>
                <w:rFonts w:ascii="Arial" w:hAnsi="Arial" w:cs="Arial"/>
                <w:sz w:val="22"/>
                <w:szCs w:val="22"/>
              </w:rPr>
              <w:t>power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outlet immediately upon arriving in the patient care area. (Must be within 15 minutes of leaving Transfusion Service)</w:t>
            </w:r>
          </w:p>
          <w:p w:rsidR="009C275C" w:rsidRPr="002856AB" w:rsidRDefault="009C275C" w:rsidP="009C275C">
            <w:pPr>
              <w:ind w:left="720"/>
              <w:rPr>
                <w:rFonts w:ascii="Arial" w:hAnsi="Arial" w:cs="Arial"/>
                <w:i/>
              </w:rPr>
            </w:pPr>
            <w:r w:rsidRPr="002856AB">
              <w:rPr>
                <w:rFonts w:ascii="Arial" w:hAnsi="Arial" w:cs="Arial"/>
                <w:i/>
                <w:sz w:val="22"/>
                <w:szCs w:val="22"/>
              </w:rPr>
              <w:t>Note:  Emergency Power outlet is preferred.</w:t>
            </w:r>
          </w:p>
          <w:p w:rsidR="00F7117A" w:rsidRPr="002856AB" w:rsidRDefault="0035491C" w:rsidP="00F7117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Document on the Portable Refrigerator Log, and on the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>erasable board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in the Transfusion Service</w:t>
            </w:r>
            <w:r w:rsidR="00F7117A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Location and Fridge Number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Reason for Fridge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Response Date/Time</w:t>
            </w:r>
          </w:p>
          <w:p w:rsidR="00F7117A" w:rsidRPr="002856AB" w:rsidRDefault="00F7117A" w:rsidP="00F7117A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Patient Information</w:t>
            </w:r>
          </w:p>
        </w:tc>
        <w:tc>
          <w:tcPr>
            <w:tcW w:w="1925" w:type="dxa"/>
          </w:tcPr>
          <w:p w:rsidR="0035491C" w:rsidRPr="002856AB" w:rsidRDefault="0035491C" w:rsidP="008C4CE9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Portable Refrigerator Log</w:t>
            </w:r>
          </w:p>
        </w:tc>
      </w:tr>
      <w:tr w:rsidR="0035491C" w:rsidRPr="002856AB" w:rsidTr="008962C7">
        <w:trPr>
          <w:gridAfter w:val="1"/>
          <w:wAfter w:w="12" w:type="dxa"/>
          <w:trHeight w:val="3662"/>
        </w:trPr>
        <w:tc>
          <w:tcPr>
            <w:tcW w:w="522" w:type="dxa"/>
          </w:tcPr>
          <w:p w:rsidR="0035491C" w:rsidRPr="002856AB" w:rsidRDefault="0035491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849" w:type="dxa"/>
          </w:tcPr>
          <w:p w:rsidR="0035491C" w:rsidRPr="002856AB" w:rsidRDefault="0035491C" w:rsidP="005C58F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stocking and dispensing blood to a PBR:</w:t>
            </w:r>
          </w:p>
          <w:p w:rsidR="0035491C" w:rsidRPr="002856AB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Confirm the PBR is operational</w:t>
            </w:r>
          </w:p>
          <w:p w:rsidR="0035491C" w:rsidRPr="002856AB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Temperature is 1-6°C</w:t>
            </w:r>
          </w:p>
          <w:p w:rsidR="0035491C" w:rsidRPr="002856AB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Compressor is running</w:t>
            </w:r>
          </w:p>
          <w:p w:rsidR="0035491C" w:rsidRPr="002856AB" w:rsidRDefault="0035491C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Graph is recording</w:t>
            </w:r>
          </w:p>
          <w:p w:rsidR="00F7117A" w:rsidRPr="002856AB" w:rsidRDefault="009D4222" w:rsidP="00F7117A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Erasable </w:t>
            </w:r>
            <w:r w:rsidR="00F7117A" w:rsidRPr="002856AB">
              <w:rPr>
                <w:rFonts w:ascii="Arial" w:hAnsi="Arial" w:cs="Arial"/>
                <w:sz w:val="22"/>
                <w:szCs w:val="22"/>
              </w:rPr>
              <w:t>board is wiped clean</w:t>
            </w:r>
          </w:p>
          <w:p w:rsidR="00A03EC0" w:rsidRPr="002856AB" w:rsidRDefault="00A03EC0" w:rsidP="00A03EC0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Perform Blood Product Issue using the Portable Refrigerator log to replace a BPR.  Place a copy of the log in the BPR folder in TSL.</w:t>
            </w:r>
          </w:p>
          <w:p w:rsidR="00601E4A" w:rsidRPr="002856AB" w:rsidRDefault="00601E4A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Complete a Portable Refrigerator Log or Trauma Response Log</w:t>
            </w:r>
          </w:p>
          <w:p w:rsidR="00601E4A" w:rsidRPr="002856AB" w:rsidRDefault="00601E4A" w:rsidP="00601E4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Unit numbers</w:t>
            </w:r>
            <w:r w:rsidRPr="002856AB">
              <w:rPr>
                <w:rFonts w:ascii="Arial" w:hAnsi="Arial" w:cs="Arial"/>
              </w:rPr>
              <w:t xml:space="preserve">, </w:t>
            </w:r>
            <w:r w:rsidRPr="002856AB">
              <w:rPr>
                <w:rFonts w:ascii="Arial" w:hAnsi="Arial" w:cs="Arial"/>
                <w:sz w:val="22"/>
                <w:szCs w:val="22"/>
              </w:rPr>
              <w:t>Product type, and ABO/Rh</w:t>
            </w:r>
          </w:p>
          <w:p w:rsidR="00601E4A" w:rsidRPr="002856AB" w:rsidRDefault="00601E4A" w:rsidP="00601E4A">
            <w:pPr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Patient ABO/Rh</w:t>
            </w:r>
          </w:p>
          <w:p w:rsidR="0035491C" w:rsidRPr="002856AB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Place blood products directly on the top shelf of the refrigerator.</w:t>
            </w:r>
          </w:p>
          <w:p w:rsidR="0035491C" w:rsidRPr="002856AB" w:rsidRDefault="0035491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Stock only ONE patient’s blood per PBR.</w:t>
            </w:r>
          </w:p>
          <w:p w:rsidR="008C4CE9" w:rsidRPr="002856AB" w:rsidRDefault="0035491C" w:rsidP="00C101B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Do NOT refrigerate platelets or cryoprecipitate.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</w:rPr>
            </w:pPr>
          </w:p>
          <w:p w:rsidR="0035491C" w:rsidRPr="002856AB" w:rsidRDefault="00A03EC0" w:rsidP="00A03EC0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</w:rPr>
              <w:t>Blood Product Issue Process</w:t>
            </w:r>
          </w:p>
        </w:tc>
      </w:tr>
      <w:tr w:rsidR="00C101BC" w:rsidRPr="002856AB" w:rsidTr="00750A70">
        <w:trPr>
          <w:gridAfter w:val="1"/>
          <w:wAfter w:w="12" w:type="dxa"/>
          <w:trHeight w:val="1905"/>
        </w:trPr>
        <w:tc>
          <w:tcPr>
            <w:tcW w:w="522" w:type="dxa"/>
          </w:tcPr>
          <w:p w:rsidR="00C101B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849" w:type="dxa"/>
          </w:tcPr>
          <w:p w:rsidR="00C101BC" w:rsidRPr="002856AB" w:rsidRDefault="00C101BC" w:rsidP="00C101BC">
            <w:p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arriving at the patient care area:</w:t>
            </w:r>
          </w:p>
          <w:p w:rsidR="00C101BC" w:rsidRPr="002856AB" w:rsidRDefault="00C101BC" w:rsidP="00C101B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Record the patient name and HID on the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>erasable board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101BC" w:rsidRPr="002856AB" w:rsidRDefault="00C101B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Remain with the PBR until released by the Physician or charge nurse in a trauma or unstable bleeding situation</w:t>
            </w:r>
          </w:p>
          <w:p w:rsidR="00C101BC" w:rsidRPr="002856AB" w:rsidRDefault="00C101BC" w:rsidP="00601E4A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Unnecessary to remain with PBR when: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RBCs are crossmatched </w:t>
            </w:r>
            <w:r w:rsidRPr="002856AB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Delivered to O.R. for duration of procedure </w:t>
            </w:r>
            <w:r w:rsidRPr="002856AB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Delivered to patient care area  </w:t>
            </w:r>
            <w:r w:rsidRPr="002856AB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C101BC" w:rsidRPr="002856AB" w:rsidRDefault="00C101BC" w:rsidP="00601E4A">
            <w:pPr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Released by Physician once patient is stable</w:t>
            </w:r>
          </w:p>
        </w:tc>
        <w:tc>
          <w:tcPr>
            <w:tcW w:w="1925" w:type="dxa"/>
          </w:tcPr>
          <w:p w:rsidR="00C101BC" w:rsidRPr="002856AB" w:rsidRDefault="00C101BC" w:rsidP="00A0132D">
            <w:pPr>
              <w:rPr>
                <w:rFonts w:ascii="Arial" w:hAnsi="Arial" w:cs="Arial"/>
              </w:rPr>
            </w:pPr>
          </w:p>
        </w:tc>
      </w:tr>
      <w:tr w:rsidR="00C101BC" w:rsidRPr="002856AB" w:rsidTr="00420507">
        <w:tc>
          <w:tcPr>
            <w:tcW w:w="522" w:type="dxa"/>
          </w:tcPr>
          <w:p w:rsidR="00C101BC" w:rsidRPr="002856AB" w:rsidRDefault="00C101BC" w:rsidP="00420507">
            <w:pPr>
              <w:rPr>
                <w:rFonts w:ascii="Arial" w:hAnsi="Arial" w:cs="Arial"/>
                <w:b/>
              </w:rPr>
            </w:pPr>
          </w:p>
        </w:tc>
        <w:tc>
          <w:tcPr>
            <w:tcW w:w="7849" w:type="dxa"/>
            <w:vAlign w:val="center"/>
          </w:tcPr>
          <w:p w:rsidR="00C101BC" w:rsidRPr="002856AB" w:rsidRDefault="00C101BC" w:rsidP="00420507">
            <w:pPr>
              <w:jc w:val="center"/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37" w:type="dxa"/>
            <w:gridSpan w:val="2"/>
            <w:vAlign w:val="center"/>
          </w:tcPr>
          <w:p w:rsidR="00C101BC" w:rsidRPr="002856AB" w:rsidRDefault="00C101BC" w:rsidP="00420507">
            <w:pPr>
              <w:jc w:val="center"/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849" w:type="dxa"/>
          </w:tcPr>
          <w:p w:rsidR="009C275C" w:rsidRPr="002856AB" w:rsidRDefault="0035491C" w:rsidP="009C275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issuing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 xml:space="preserve"> or returning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blood products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 xml:space="preserve"> to the PBR</w:t>
            </w:r>
            <w:r w:rsidR="009C275C" w:rsidRPr="002856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1E4A" w:rsidRPr="002856AB">
              <w:rPr>
                <w:rFonts w:ascii="Arial" w:hAnsi="Arial" w:cs="Arial"/>
                <w:sz w:val="22"/>
                <w:szCs w:val="22"/>
              </w:rPr>
              <w:t>r</w:t>
            </w:r>
            <w:r w:rsidRPr="002856AB">
              <w:rPr>
                <w:rFonts w:ascii="Arial" w:hAnsi="Arial" w:cs="Arial"/>
                <w:sz w:val="22"/>
                <w:szCs w:val="22"/>
              </w:rPr>
              <w:t>ecord</w:t>
            </w:r>
            <w:r w:rsidR="00601E4A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01E4A" w:rsidRPr="002856AB" w:rsidRDefault="00601E4A" w:rsidP="00601E4A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Date/</w:t>
            </w:r>
            <w:r w:rsidR="0035491C" w:rsidRPr="002856AB">
              <w:rPr>
                <w:rFonts w:ascii="Arial" w:hAnsi="Arial" w:cs="Arial"/>
                <w:sz w:val="22"/>
                <w:szCs w:val="22"/>
              </w:rPr>
              <w:t xml:space="preserve">time </w:t>
            </w:r>
          </w:p>
          <w:p w:rsidR="00345459" w:rsidRPr="002856AB" w:rsidRDefault="00601E4A" w:rsidP="00345459">
            <w:pPr>
              <w:numPr>
                <w:ilvl w:val="1"/>
                <w:numId w:val="5"/>
              </w:numPr>
            </w:pPr>
            <w:r w:rsidRPr="002856AB">
              <w:rPr>
                <w:rFonts w:ascii="Arial" w:hAnsi="Arial" w:cs="Arial"/>
                <w:sz w:val="22"/>
                <w:szCs w:val="22"/>
              </w:rPr>
              <w:t>Identification of the person removing</w:t>
            </w:r>
            <w:r w:rsidR="008962C7" w:rsidRPr="002856AB">
              <w:rPr>
                <w:rFonts w:ascii="Arial" w:hAnsi="Arial" w:cs="Arial"/>
                <w:sz w:val="22"/>
                <w:szCs w:val="22"/>
              </w:rPr>
              <w:t>/returning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the uni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5491C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2856AB" w:rsidRDefault="00750A70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leaving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the PBR 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in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a patient care area 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 xml:space="preserve">(e.g., </w:t>
            </w:r>
            <w:r w:rsidRPr="002856AB">
              <w:rPr>
                <w:rFonts w:ascii="Arial" w:hAnsi="Arial" w:cs="Arial"/>
                <w:sz w:val="22"/>
                <w:szCs w:val="22"/>
              </w:rPr>
              <w:t>PB</w:t>
            </w:r>
            <w:r w:rsidR="0035491C" w:rsidRPr="002856AB">
              <w:rPr>
                <w:rFonts w:ascii="Arial" w:hAnsi="Arial" w:cs="Arial"/>
                <w:sz w:val="22"/>
                <w:szCs w:val="22"/>
              </w:rPr>
              <w:t>R has been requested at the bedside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or in O.R.</w:t>
            </w:r>
            <w:r w:rsidR="00345459" w:rsidRPr="002856AB">
              <w:rPr>
                <w:rFonts w:ascii="Arial" w:hAnsi="Arial" w:cs="Arial"/>
                <w:sz w:val="22"/>
                <w:szCs w:val="22"/>
              </w:rPr>
              <w:t>)</w:t>
            </w:r>
            <w:r w:rsidR="0035491C" w:rsidRPr="002856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C4CE9" w:rsidRPr="002856AB" w:rsidRDefault="00750A70" w:rsidP="00044963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Obtain signature of Clinical Care staff on the PR Log</w:t>
            </w:r>
          </w:p>
        </w:tc>
        <w:tc>
          <w:tcPr>
            <w:tcW w:w="1925" w:type="dxa"/>
          </w:tcPr>
          <w:p w:rsidR="0035491C" w:rsidRPr="002856AB" w:rsidRDefault="0035491C" w:rsidP="00A0132D">
            <w:pPr>
              <w:rPr>
                <w:rFonts w:ascii="Arial" w:hAnsi="Arial" w:cs="Arial"/>
              </w:rPr>
            </w:pPr>
          </w:p>
        </w:tc>
      </w:tr>
      <w:tr w:rsidR="0035491C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35491C" w:rsidRPr="002856AB" w:rsidRDefault="00C101BC" w:rsidP="00E725CB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5491C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2856AB" w:rsidRDefault="0035491C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If the patient is transferred to another lo</w:t>
            </w:r>
            <w:r w:rsidR="00750A70" w:rsidRPr="002856AB">
              <w:rPr>
                <w:rFonts w:ascii="Arial" w:hAnsi="Arial" w:cs="Arial"/>
                <w:sz w:val="22"/>
                <w:szCs w:val="22"/>
              </w:rPr>
              <w:t>cation and still requires the PB</w:t>
            </w:r>
            <w:r w:rsidRPr="002856AB">
              <w:rPr>
                <w:rFonts w:ascii="Arial" w:hAnsi="Arial" w:cs="Arial"/>
                <w:sz w:val="22"/>
                <w:szCs w:val="22"/>
              </w:rPr>
              <w:t>R:</w:t>
            </w:r>
          </w:p>
          <w:p w:rsidR="0035491C" w:rsidRPr="002856AB" w:rsidRDefault="0035491C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Transfer the </w:t>
            </w:r>
            <w:r w:rsidR="00750A70" w:rsidRPr="002856AB">
              <w:rPr>
                <w:rFonts w:ascii="Arial" w:hAnsi="Arial" w:cs="Arial"/>
                <w:sz w:val="22"/>
                <w:szCs w:val="22"/>
              </w:rPr>
              <w:t>PBR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 xml:space="preserve"> after </w:t>
            </w:r>
            <w:r w:rsidR="009D4222" w:rsidRPr="002856AB">
              <w:rPr>
                <w:rFonts w:ascii="Arial" w:hAnsi="Arial" w:cs="Arial"/>
                <w:sz w:val="22"/>
                <w:szCs w:val="22"/>
              </w:rPr>
              <w:t>placing the erasable board face down on top of the refrigerator</w:t>
            </w:r>
          </w:p>
          <w:p w:rsidR="0035491C" w:rsidRPr="002856AB" w:rsidRDefault="0035491C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Notify TS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>L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staff of new location so they can update 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>TSL board</w:t>
            </w:r>
            <w:r w:rsidRPr="002856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0A70" w:rsidRPr="002856AB" w:rsidRDefault="00750A70" w:rsidP="008C4CE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Note location change on the PR Log</w:t>
            </w:r>
          </w:p>
          <w:p w:rsidR="0035491C" w:rsidRPr="002856AB" w:rsidRDefault="00345459" w:rsidP="0034545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Obtain signature of Clinical Care staff on the PR Log</w:t>
            </w:r>
          </w:p>
          <w:p w:rsidR="008962C7" w:rsidRPr="002856AB" w:rsidRDefault="009D4222" w:rsidP="009D422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Replace</w:t>
            </w:r>
            <w:r w:rsidR="008962C7" w:rsidRPr="002856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56AB">
              <w:rPr>
                <w:rFonts w:ascii="Arial" w:hAnsi="Arial" w:cs="Arial"/>
                <w:sz w:val="22"/>
                <w:szCs w:val="22"/>
              </w:rPr>
              <w:t>erasable board on front of PBR</w:t>
            </w:r>
          </w:p>
        </w:tc>
        <w:tc>
          <w:tcPr>
            <w:tcW w:w="1925" w:type="dxa"/>
          </w:tcPr>
          <w:p w:rsidR="0035491C" w:rsidRPr="002856AB" w:rsidRDefault="0035491C" w:rsidP="00E725CB">
            <w:pPr>
              <w:rPr>
                <w:rFonts w:ascii="Arial" w:hAnsi="Arial" w:cs="Arial"/>
              </w:rPr>
            </w:pPr>
          </w:p>
        </w:tc>
      </w:tr>
      <w:tr w:rsidR="00750A70" w:rsidRPr="002856AB" w:rsidTr="00750A70">
        <w:trPr>
          <w:gridAfter w:val="1"/>
          <w:wAfter w:w="12" w:type="dxa"/>
        </w:trPr>
        <w:tc>
          <w:tcPr>
            <w:tcW w:w="522" w:type="dxa"/>
          </w:tcPr>
          <w:p w:rsidR="00750A70" w:rsidRPr="002856AB" w:rsidRDefault="00C101BC" w:rsidP="00E725CB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50A70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750A70" w:rsidRPr="002856AB" w:rsidRDefault="00750A70" w:rsidP="008C4CE9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adding product to a PBR:</w:t>
            </w:r>
          </w:p>
          <w:p w:rsidR="00750A70" w:rsidRPr="002856AB" w:rsidRDefault="00524BFF" w:rsidP="00524BFF">
            <w:pPr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Create a new log </w:t>
            </w:r>
            <w:r w:rsidR="00EA7DD0" w:rsidRPr="002856AB">
              <w:rPr>
                <w:rFonts w:ascii="Arial" w:hAnsi="Arial" w:cs="Arial"/>
                <w:sz w:val="22"/>
                <w:szCs w:val="22"/>
              </w:rPr>
              <w:t>and obtain clinical care staff signature</w:t>
            </w:r>
          </w:p>
        </w:tc>
        <w:tc>
          <w:tcPr>
            <w:tcW w:w="1925" w:type="dxa"/>
          </w:tcPr>
          <w:p w:rsidR="00750A70" w:rsidRPr="002856AB" w:rsidRDefault="00750A70" w:rsidP="00E725CB">
            <w:pPr>
              <w:rPr>
                <w:rFonts w:ascii="Arial" w:hAnsi="Arial" w:cs="Arial"/>
              </w:rPr>
            </w:pPr>
          </w:p>
        </w:tc>
      </w:tr>
      <w:tr w:rsidR="0035491C" w:rsidRPr="002856AB" w:rsidTr="00EA7DD0">
        <w:tc>
          <w:tcPr>
            <w:tcW w:w="522" w:type="dxa"/>
          </w:tcPr>
          <w:p w:rsidR="0035491C" w:rsidRPr="002856AB" w:rsidRDefault="00C101BC" w:rsidP="00A0132D">
            <w:pPr>
              <w:rPr>
                <w:rFonts w:ascii="Arial" w:hAnsi="Arial" w:cs="Arial"/>
                <w:b/>
              </w:rPr>
            </w:pPr>
            <w:r w:rsidRPr="002856A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5491C" w:rsidRPr="002856A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49" w:type="dxa"/>
          </w:tcPr>
          <w:p w:rsidR="0035491C" w:rsidRPr="002856AB" w:rsidRDefault="0035491C" w:rsidP="008C4CE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When returning the PBR to the Transfusion Service: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Before leaving the patient care area </w:t>
            </w:r>
          </w:p>
          <w:p w:rsidR="00750A70" w:rsidRPr="002856AB" w:rsidRDefault="00750A70" w:rsidP="008C4CE9">
            <w:pPr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Confirm documentation of removal matches refrigerator contents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0A70" w:rsidRPr="002856AB" w:rsidRDefault="00750A70" w:rsidP="008C4CE9">
            <w:pPr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Reconcile any discrepancies </w:t>
            </w:r>
          </w:p>
          <w:p w:rsidR="009D4222" w:rsidRPr="002856AB" w:rsidRDefault="009D4222" w:rsidP="008C4CE9">
            <w:pPr>
              <w:numPr>
                <w:ilvl w:val="2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Place erasable board face down on top of refrigerator</w:t>
            </w:r>
          </w:p>
          <w:p w:rsidR="0035491C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Complete the Returned Section of the PBR log</w:t>
            </w:r>
            <w:r w:rsidR="00C101BC" w:rsidRPr="002856AB">
              <w:rPr>
                <w:rFonts w:ascii="Arial" w:hAnsi="Arial" w:cs="Arial"/>
                <w:sz w:val="22"/>
                <w:szCs w:val="22"/>
              </w:rPr>
              <w:t xml:space="preserve"> including Return Time</w:t>
            </w:r>
            <w:r w:rsidRPr="002856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Examine “time out” for products removed and returned by clinical care staff.</w:t>
            </w:r>
          </w:p>
          <w:p w:rsidR="008C4CE9" w:rsidRPr="002856AB" w:rsidRDefault="008C4CE9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Perform visual inspection.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Quarantine unacceptable or questionable products.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Return Sunquest issued products using Blood Status Update. </w:t>
            </w:r>
          </w:p>
          <w:p w:rsidR="00044963" w:rsidRPr="002856AB" w:rsidRDefault="00044963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Complete Blood Product Issue for non-Sunquest issued transfused products.</w:t>
            </w:r>
          </w:p>
          <w:p w:rsidR="00F7117A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Return any unused blood products to the appropriate storage area. </w:t>
            </w:r>
          </w:p>
          <w:p w:rsidR="00F7117A" w:rsidRPr="00985D6F" w:rsidRDefault="00F7117A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5D6F">
              <w:rPr>
                <w:rFonts w:ascii="Arial" w:hAnsi="Arial" w:cs="Arial"/>
                <w:sz w:val="22"/>
                <w:szCs w:val="22"/>
              </w:rPr>
              <w:t xml:space="preserve">File Portable Refrigerator Log </w:t>
            </w:r>
            <w:r w:rsidR="00B544F2" w:rsidRPr="00985D6F">
              <w:rPr>
                <w:rFonts w:ascii="Arial" w:hAnsi="Arial" w:cs="Arial"/>
                <w:sz w:val="22"/>
                <w:szCs w:val="22"/>
              </w:rPr>
              <w:t>in the BPR file, removing and discarding the photocopy which was left for interim tracking.  BIF report will be checked against this original log, which shows final disposition of all products.</w:t>
            </w:r>
          </w:p>
          <w:p w:rsidR="00044963" w:rsidRPr="00985D6F" w:rsidRDefault="00F7117A" w:rsidP="00F7117A">
            <w:pPr>
              <w:ind w:left="720"/>
              <w:rPr>
                <w:rFonts w:ascii="Arial" w:hAnsi="Arial" w:cs="Arial"/>
              </w:rPr>
            </w:pPr>
            <w:r w:rsidRPr="00985D6F">
              <w:rPr>
                <w:rFonts w:ascii="Arial" w:hAnsi="Arial" w:cs="Arial"/>
                <w:sz w:val="22"/>
                <w:szCs w:val="22"/>
              </w:rPr>
              <w:t>Refrigerator:</w:t>
            </w:r>
            <w:r w:rsidR="0035491C" w:rsidRPr="00985D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0A70" w:rsidRPr="002856AB" w:rsidRDefault="00750A70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5D6F">
              <w:rPr>
                <w:rFonts w:ascii="Arial" w:hAnsi="Arial" w:cs="Arial"/>
                <w:sz w:val="22"/>
                <w:szCs w:val="22"/>
              </w:rPr>
              <w:t xml:space="preserve">Verify that the </w:t>
            </w:r>
            <w:r w:rsidR="008C4CE9" w:rsidRPr="00985D6F">
              <w:rPr>
                <w:rFonts w:ascii="Arial" w:hAnsi="Arial" w:cs="Arial"/>
                <w:sz w:val="22"/>
                <w:szCs w:val="22"/>
              </w:rPr>
              <w:t xml:space="preserve">PBR </w:t>
            </w:r>
            <w:r w:rsidRPr="00985D6F">
              <w:rPr>
                <w:rFonts w:ascii="Arial" w:hAnsi="Arial" w:cs="Arial"/>
                <w:sz w:val="22"/>
                <w:szCs w:val="22"/>
              </w:rPr>
              <w:t>temperature graph</w:t>
            </w:r>
            <w:bookmarkStart w:id="0" w:name="_GoBack"/>
            <w:bookmarkEnd w:id="0"/>
            <w:r w:rsidRPr="002856AB">
              <w:rPr>
                <w:rFonts w:ascii="Arial" w:hAnsi="Arial" w:cs="Arial"/>
                <w:sz w:val="22"/>
                <w:szCs w:val="22"/>
              </w:rPr>
              <w:t xml:space="preserve"> is recording.</w:t>
            </w:r>
          </w:p>
          <w:p w:rsidR="0035491C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Clean both the exterior and interior surfaces of the PBR with a disinfectant solution designated for use on stainless steel.</w:t>
            </w:r>
          </w:p>
          <w:p w:rsidR="009D4222" w:rsidRPr="002856AB" w:rsidRDefault="009D4222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Wipe erasable board clean</w:t>
            </w:r>
          </w:p>
          <w:p w:rsidR="00E92812" w:rsidRPr="002856AB" w:rsidRDefault="00E92812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Document on the Portable Refrigerator Cleaning Log</w:t>
            </w:r>
          </w:p>
          <w:p w:rsidR="0035491C" w:rsidRPr="002856AB" w:rsidRDefault="0035491C" w:rsidP="008C4CE9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 xml:space="preserve">Plug into </w:t>
            </w:r>
            <w:r w:rsidR="00044963" w:rsidRPr="002856AB">
              <w:rPr>
                <w:rFonts w:ascii="Arial" w:hAnsi="Arial" w:cs="Arial"/>
                <w:sz w:val="22"/>
                <w:szCs w:val="22"/>
              </w:rPr>
              <w:t>power</w:t>
            </w:r>
            <w:r w:rsidRPr="002856AB">
              <w:rPr>
                <w:rFonts w:ascii="Arial" w:hAnsi="Arial" w:cs="Arial"/>
                <w:sz w:val="22"/>
                <w:szCs w:val="22"/>
              </w:rPr>
              <w:t xml:space="preserve"> outlet.</w:t>
            </w:r>
          </w:p>
          <w:p w:rsidR="0035491C" w:rsidRPr="002856AB" w:rsidRDefault="00345459" w:rsidP="00A0132D">
            <w:pPr>
              <w:ind w:left="360"/>
              <w:rPr>
                <w:rFonts w:ascii="Arial" w:hAnsi="Arial" w:cs="Arial"/>
                <w:i/>
              </w:rPr>
            </w:pPr>
            <w:r w:rsidRPr="002856AB">
              <w:rPr>
                <w:rFonts w:ascii="Arial" w:hAnsi="Arial" w:cs="Arial"/>
                <w:i/>
              </w:rPr>
              <w:t xml:space="preserve">          Note:  Emergency Power outlet is preferred.</w:t>
            </w:r>
          </w:p>
        </w:tc>
        <w:tc>
          <w:tcPr>
            <w:tcW w:w="1937" w:type="dxa"/>
            <w:gridSpan w:val="2"/>
          </w:tcPr>
          <w:p w:rsidR="0035491C" w:rsidRPr="002856AB" w:rsidRDefault="0035491C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Blood Status Update.</w:t>
            </w:r>
          </w:p>
          <w:p w:rsidR="0035491C" w:rsidRPr="002856AB" w:rsidRDefault="0035491C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Blood Product Issue</w:t>
            </w:r>
          </w:p>
          <w:p w:rsidR="00E92812" w:rsidRPr="002856AB" w:rsidRDefault="00E92812" w:rsidP="008C4CE9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2856AB">
              <w:rPr>
                <w:rFonts w:ascii="Arial" w:hAnsi="Arial" w:cs="Arial"/>
                <w:sz w:val="22"/>
                <w:szCs w:val="22"/>
              </w:rPr>
              <w:t>Portable Refrigerator Cleaning Log Form</w:t>
            </w:r>
          </w:p>
        </w:tc>
      </w:tr>
    </w:tbl>
    <w:p w:rsidR="0035491C" w:rsidRPr="002856AB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2856AB" w:rsidRDefault="0035491C" w:rsidP="00A0132D">
      <w:pPr>
        <w:ind w:left="-120"/>
        <w:rPr>
          <w:rFonts w:ascii="Arial" w:hAnsi="Arial" w:cs="Arial"/>
          <w:b/>
          <w:sz w:val="22"/>
          <w:szCs w:val="22"/>
        </w:rPr>
      </w:pPr>
      <w:r w:rsidRPr="002856AB">
        <w:rPr>
          <w:rFonts w:ascii="Arial" w:hAnsi="Arial" w:cs="Arial"/>
          <w:b/>
          <w:sz w:val="22"/>
          <w:szCs w:val="22"/>
        </w:rPr>
        <w:t>References:</w:t>
      </w:r>
    </w:p>
    <w:p w:rsidR="0035491C" w:rsidRPr="002856AB" w:rsidRDefault="0035491C" w:rsidP="00A0132D">
      <w:pPr>
        <w:ind w:left="-120"/>
        <w:rPr>
          <w:rFonts w:ascii="Arial" w:hAnsi="Arial" w:cs="Arial"/>
          <w:sz w:val="22"/>
          <w:szCs w:val="22"/>
        </w:rPr>
      </w:pPr>
      <w:proofErr w:type="gramStart"/>
      <w:r w:rsidRPr="002856AB"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35491C" w:rsidRPr="002856AB" w:rsidRDefault="0035491C" w:rsidP="00A0132D">
      <w:pPr>
        <w:ind w:left="-120"/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ind w:left="-120"/>
        <w:rPr>
          <w:rFonts w:ascii="Arial" w:hAnsi="Arial" w:cs="Arial"/>
          <w:sz w:val="22"/>
          <w:szCs w:val="22"/>
        </w:rPr>
      </w:pPr>
      <w:r w:rsidRPr="002856AB">
        <w:rPr>
          <w:rFonts w:ascii="Arial" w:hAnsi="Arial" w:cs="Arial"/>
          <w:sz w:val="22"/>
          <w:szCs w:val="22"/>
        </w:rPr>
        <w:t>AABB Technical Manual, Current Edition.</w:t>
      </w: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p w:rsidR="0035491C" w:rsidRPr="00A0132D" w:rsidRDefault="0035491C" w:rsidP="00A0132D">
      <w:pPr>
        <w:rPr>
          <w:rFonts w:ascii="Arial" w:hAnsi="Arial" w:cs="Arial"/>
          <w:sz w:val="22"/>
          <w:szCs w:val="22"/>
        </w:rPr>
      </w:pPr>
    </w:p>
    <w:sectPr w:rsidR="0035491C" w:rsidRPr="00A0132D" w:rsidSect="00A01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5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1C" w:rsidRDefault="0035491C">
      <w:r>
        <w:separator/>
      </w:r>
    </w:p>
  </w:endnote>
  <w:endnote w:type="continuationSeparator" w:id="0">
    <w:p w:rsidR="0035491C" w:rsidRDefault="003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AB" w:rsidRDefault="002856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Page </w:t>
    </w:r>
    <w:r w:rsidR="00FA79CC" w:rsidRPr="00A0132D">
      <w:rPr>
        <w:rFonts w:ascii="Arial" w:hAnsi="Arial" w:cs="Arial"/>
        <w:sz w:val="20"/>
        <w:szCs w:val="20"/>
      </w:rPr>
      <w:fldChar w:fldCharType="begin"/>
    </w:r>
    <w:r w:rsidRPr="00A0132D">
      <w:rPr>
        <w:rFonts w:ascii="Arial" w:hAnsi="Arial" w:cs="Arial"/>
        <w:sz w:val="20"/>
        <w:szCs w:val="20"/>
      </w:rPr>
      <w:instrText xml:space="preserve"> PAGE </w:instrText>
    </w:r>
    <w:r w:rsidR="00FA79CC" w:rsidRPr="00A0132D">
      <w:rPr>
        <w:rFonts w:ascii="Arial" w:hAnsi="Arial" w:cs="Arial"/>
        <w:sz w:val="20"/>
        <w:szCs w:val="20"/>
      </w:rPr>
      <w:fldChar w:fldCharType="separate"/>
    </w:r>
    <w:r w:rsidR="00985D6F">
      <w:rPr>
        <w:rFonts w:ascii="Arial" w:hAnsi="Arial" w:cs="Arial"/>
        <w:noProof/>
        <w:sz w:val="20"/>
        <w:szCs w:val="20"/>
      </w:rPr>
      <w:t>2</w:t>
    </w:r>
    <w:r w:rsidR="00FA79CC" w:rsidRPr="00A0132D">
      <w:rPr>
        <w:rFonts w:ascii="Arial" w:hAnsi="Arial" w:cs="Arial"/>
        <w:sz w:val="20"/>
        <w:szCs w:val="20"/>
      </w:rPr>
      <w:fldChar w:fldCharType="end"/>
    </w:r>
    <w:r w:rsidRPr="00A0132D">
      <w:rPr>
        <w:rFonts w:ascii="Arial" w:hAnsi="Arial" w:cs="Arial"/>
        <w:sz w:val="20"/>
        <w:szCs w:val="20"/>
      </w:rPr>
      <w:t xml:space="preserve"> of 2</w:t>
    </w:r>
  </w:p>
  <w:p w:rsidR="0035491C" w:rsidRPr="00A0132D" w:rsidRDefault="0035491C" w:rsidP="00A0132D">
    <w:pPr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Harborview Medical Center, 325 Ninth Ave, Seattle, WA 9810</w:t>
    </w:r>
    <w:r w:rsidR="00EB1F2F">
      <w:rPr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Pr="00247FF8" w:rsidRDefault="0035491C" w:rsidP="00247FF8">
    <w:pPr>
      <w:pStyle w:val="Footer"/>
      <w:tabs>
        <w:tab w:val="left" w:pos="7740"/>
      </w:tabs>
      <w:rPr>
        <w:rFonts w:ascii="Arial" w:hAnsi="Arial" w:cs="Arial"/>
        <w:sz w:val="20"/>
        <w:szCs w:val="20"/>
      </w:rPr>
    </w:pPr>
    <w:r w:rsidRPr="00247FF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35491C" w:rsidRDefault="00354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1C" w:rsidRDefault="0035491C">
      <w:r>
        <w:separator/>
      </w:r>
    </w:p>
  </w:footnote>
  <w:footnote w:type="continuationSeparator" w:id="0">
    <w:p w:rsidR="0035491C" w:rsidRDefault="0035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AB" w:rsidRDefault="00285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  <w:r w:rsidRPr="00A0132D">
      <w:rPr>
        <w:rFonts w:ascii="Arial" w:hAnsi="Arial" w:cs="Arial"/>
        <w:sz w:val="20"/>
        <w:szCs w:val="20"/>
      </w:rPr>
      <w:t>Using Portable Blood Refrigerators</w:t>
    </w:r>
  </w:p>
  <w:p w:rsidR="0035491C" w:rsidRDefault="0035491C" w:rsidP="00247FF8">
    <w:pPr>
      <w:pStyle w:val="Header"/>
      <w:rPr>
        <w:rFonts w:ascii="Arial" w:hAnsi="Arial" w:cs="Arial"/>
        <w:sz w:val="20"/>
        <w:szCs w:val="20"/>
      </w:rPr>
    </w:pPr>
  </w:p>
  <w:p w:rsidR="0035491C" w:rsidRPr="00A0132D" w:rsidRDefault="0035491C" w:rsidP="00247FF8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1C" w:rsidRDefault="002856AB" w:rsidP="00A0132D">
    <w:pPr>
      <w:ind w:hanging="24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15100" cy="676275"/>
          <wp:effectExtent l="0" t="0" r="0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491C" w:rsidRDefault="0035491C" w:rsidP="00247FF8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35491C" w:rsidRPr="0071576B" w:rsidTr="00A0132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C852EB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C852E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C852EB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C852EB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C852EB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5491C" w:rsidRPr="00C852EB" w:rsidRDefault="0035491C" w:rsidP="00247FF8">
          <w:pPr>
            <w:rPr>
              <w:rFonts w:ascii="Arial" w:hAnsi="Arial" w:cs="Arial"/>
              <w:b/>
            </w:rPr>
          </w:pPr>
          <w:r w:rsidRPr="00C852EB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5491C" w:rsidRPr="002856AB" w:rsidRDefault="0035491C" w:rsidP="00247FF8">
          <w:pPr>
            <w:rPr>
              <w:rFonts w:ascii="Arial" w:hAnsi="Arial" w:cs="Arial"/>
              <w:b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5491C" w:rsidRPr="002856AB" w:rsidRDefault="0035491C" w:rsidP="00C852EB">
          <w:pPr>
            <w:jc w:val="both"/>
            <w:rPr>
              <w:rFonts w:ascii="Arial" w:hAnsi="Arial" w:cs="Arial"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2856AB">
            <w:rPr>
              <w:rFonts w:ascii="Arial" w:hAnsi="Arial" w:cs="Arial"/>
              <w:sz w:val="22"/>
              <w:szCs w:val="22"/>
            </w:rPr>
            <w:t>April 1</w:t>
          </w:r>
          <w:r w:rsidRPr="002856A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2856A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35491C" w:rsidRPr="002856A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5491C" w:rsidRPr="002856AB" w:rsidRDefault="00B544F2" w:rsidP="00247FF8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3010-4</w:t>
          </w:r>
        </w:p>
      </w:tc>
    </w:tr>
    <w:tr w:rsidR="0035491C" w:rsidRPr="0071576B" w:rsidTr="00A0132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5491C" w:rsidRPr="00C852EB" w:rsidRDefault="0035491C" w:rsidP="00247FF8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5491C" w:rsidRPr="002856AB" w:rsidRDefault="0035491C" w:rsidP="00247FF8">
          <w:pPr>
            <w:jc w:val="both"/>
            <w:rPr>
              <w:rFonts w:ascii="Arial" w:hAnsi="Arial" w:cs="Arial"/>
              <w:b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5491C" w:rsidRPr="002856AB" w:rsidRDefault="00B544F2" w:rsidP="00247FF8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10/15/2013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5491C" w:rsidRPr="002856AB" w:rsidRDefault="0035491C" w:rsidP="00247FF8">
          <w:pPr>
            <w:jc w:val="both"/>
            <w:rPr>
              <w:rFonts w:ascii="Arial" w:hAnsi="Arial" w:cs="Arial"/>
            </w:rPr>
          </w:pPr>
          <w:r w:rsidRPr="002856AB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2856AB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5491C" w:rsidRPr="0071576B" w:rsidTr="00A0132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35491C" w:rsidRPr="00A0132D" w:rsidRDefault="0035491C" w:rsidP="00C852EB">
          <w:pPr>
            <w:rPr>
              <w:rFonts w:ascii="Arial" w:hAnsi="Arial" w:cs="Arial"/>
              <w:sz w:val="28"/>
              <w:szCs w:val="28"/>
            </w:rPr>
          </w:pPr>
          <w:r w:rsidRPr="00A0132D">
            <w:rPr>
              <w:rFonts w:ascii="Arial" w:hAnsi="Arial" w:cs="Arial"/>
              <w:sz w:val="28"/>
              <w:szCs w:val="28"/>
            </w:rPr>
            <w:t>TITLE:  Using Portable Blood Refrigerators</w:t>
          </w:r>
        </w:p>
      </w:tc>
    </w:tr>
  </w:tbl>
  <w:p w:rsidR="0035491C" w:rsidRDefault="00354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DEB"/>
    <w:multiLevelType w:val="hybridMultilevel"/>
    <w:tmpl w:val="F1A02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119C"/>
    <w:multiLevelType w:val="hybridMultilevel"/>
    <w:tmpl w:val="92AC46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73A4B"/>
    <w:multiLevelType w:val="hybridMultilevel"/>
    <w:tmpl w:val="8BBC1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633F8C"/>
    <w:multiLevelType w:val="hybridMultilevel"/>
    <w:tmpl w:val="3BA8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723D"/>
    <w:multiLevelType w:val="hybridMultilevel"/>
    <w:tmpl w:val="AB42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177CE"/>
    <w:multiLevelType w:val="hybridMultilevel"/>
    <w:tmpl w:val="D3420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3035"/>
    <w:multiLevelType w:val="hybridMultilevel"/>
    <w:tmpl w:val="56185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85242"/>
    <w:multiLevelType w:val="hybridMultilevel"/>
    <w:tmpl w:val="0E88E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27902"/>
    <w:multiLevelType w:val="hybridMultilevel"/>
    <w:tmpl w:val="208269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747B70"/>
    <w:multiLevelType w:val="hybridMultilevel"/>
    <w:tmpl w:val="8AB82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3615"/>
    <w:multiLevelType w:val="hybridMultilevel"/>
    <w:tmpl w:val="FFC6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F32EA"/>
    <w:multiLevelType w:val="hybridMultilevel"/>
    <w:tmpl w:val="083EA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683B"/>
    <w:multiLevelType w:val="hybridMultilevel"/>
    <w:tmpl w:val="BCA45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C95ACD"/>
    <w:multiLevelType w:val="hybridMultilevel"/>
    <w:tmpl w:val="8154E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224868"/>
    <w:multiLevelType w:val="hybridMultilevel"/>
    <w:tmpl w:val="08F892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31551E"/>
    <w:multiLevelType w:val="hybridMultilevel"/>
    <w:tmpl w:val="4F3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12EE0"/>
    <w:multiLevelType w:val="hybridMultilevel"/>
    <w:tmpl w:val="D2522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C0470"/>
    <w:multiLevelType w:val="hybridMultilevel"/>
    <w:tmpl w:val="A4E4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8C1663"/>
    <w:multiLevelType w:val="hybridMultilevel"/>
    <w:tmpl w:val="27B22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E52FBA"/>
    <w:multiLevelType w:val="hybridMultilevel"/>
    <w:tmpl w:val="B00E7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86F6D"/>
    <w:multiLevelType w:val="hybridMultilevel"/>
    <w:tmpl w:val="CDE2F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12629B"/>
    <w:multiLevelType w:val="hybridMultilevel"/>
    <w:tmpl w:val="29A40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6"/>
  </w:num>
  <w:num w:numId="5">
    <w:abstractNumId w:val="17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20"/>
  </w:num>
  <w:num w:numId="17">
    <w:abstractNumId w:val="19"/>
  </w:num>
  <w:num w:numId="18">
    <w:abstractNumId w:val="13"/>
  </w:num>
  <w:num w:numId="19">
    <w:abstractNumId w:val="15"/>
  </w:num>
  <w:num w:numId="20">
    <w:abstractNumId w:val="10"/>
  </w:num>
  <w:num w:numId="21">
    <w:abstractNumId w:val="14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4E"/>
    <w:rsid w:val="000076A1"/>
    <w:rsid w:val="00025B74"/>
    <w:rsid w:val="000341CD"/>
    <w:rsid w:val="000366AD"/>
    <w:rsid w:val="00044963"/>
    <w:rsid w:val="000835BD"/>
    <w:rsid w:val="00084FD5"/>
    <w:rsid w:val="00091637"/>
    <w:rsid w:val="000948B0"/>
    <w:rsid w:val="000A0614"/>
    <w:rsid w:val="000F5795"/>
    <w:rsid w:val="001160CE"/>
    <w:rsid w:val="00117305"/>
    <w:rsid w:val="00123F45"/>
    <w:rsid w:val="00125E3F"/>
    <w:rsid w:val="00136954"/>
    <w:rsid w:val="00163A72"/>
    <w:rsid w:val="001919F6"/>
    <w:rsid w:val="00193F93"/>
    <w:rsid w:val="001A2F8B"/>
    <w:rsid w:val="001B0FEC"/>
    <w:rsid w:val="001B58B7"/>
    <w:rsid w:val="001C446F"/>
    <w:rsid w:val="001C4BAD"/>
    <w:rsid w:val="001D6E0F"/>
    <w:rsid w:val="001F26BE"/>
    <w:rsid w:val="0021383C"/>
    <w:rsid w:val="002208D9"/>
    <w:rsid w:val="00247FF8"/>
    <w:rsid w:val="002559CC"/>
    <w:rsid w:val="00262DC6"/>
    <w:rsid w:val="002856AB"/>
    <w:rsid w:val="0029534C"/>
    <w:rsid w:val="002A063F"/>
    <w:rsid w:val="002A527E"/>
    <w:rsid w:val="002E23EC"/>
    <w:rsid w:val="002E51D6"/>
    <w:rsid w:val="002F3E9E"/>
    <w:rsid w:val="00345459"/>
    <w:rsid w:val="0035491C"/>
    <w:rsid w:val="00355A36"/>
    <w:rsid w:val="00355A89"/>
    <w:rsid w:val="00367207"/>
    <w:rsid w:val="00392957"/>
    <w:rsid w:val="0039462C"/>
    <w:rsid w:val="003A2A2F"/>
    <w:rsid w:val="003B1B00"/>
    <w:rsid w:val="003F2F2A"/>
    <w:rsid w:val="003F7BE0"/>
    <w:rsid w:val="00400FC6"/>
    <w:rsid w:val="00404700"/>
    <w:rsid w:val="00424ED4"/>
    <w:rsid w:val="00446F6C"/>
    <w:rsid w:val="0045719B"/>
    <w:rsid w:val="00464606"/>
    <w:rsid w:val="0047628B"/>
    <w:rsid w:val="00476549"/>
    <w:rsid w:val="00480A3F"/>
    <w:rsid w:val="00492A88"/>
    <w:rsid w:val="004B4529"/>
    <w:rsid w:val="004B6C43"/>
    <w:rsid w:val="004D272E"/>
    <w:rsid w:val="00524BFF"/>
    <w:rsid w:val="00541213"/>
    <w:rsid w:val="0054417F"/>
    <w:rsid w:val="00551D01"/>
    <w:rsid w:val="00586606"/>
    <w:rsid w:val="005B0AE1"/>
    <w:rsid w:val="005C0B2E"/>
    <w:rsid w:val="005C58F7"/>
    <w:rsid w:val="005C7464"/>
    <w:rsid w:val="005D7BFC"/>
    <w:rsid w:val="005E427C"/>
    <w:rsid w:val="005E6637"/>
    <w:rsid w:val="005F0882"/>
    <w:rsid w:val="005F761B"/>
    <w:rsid w:val="00601E4A"/>
    <w:rsid w:val="006046BB"/>
    <w:rsid w:val="00614978"/>
    <w:rsid w:val="00630DFF"/>
    <w:rsid w:val="00636231"/>
    <w:rsid w:val="00650C93"/>
    <w:rsid w:val="00653C50"/>
    <w:rsid w:val="006A08E3"/>
    <w:rsid w:val="006A1F3F"/>
    <w:rsid w:val="006A414D"/>
    <w:rsid w:val="006A74E7"/>
    <w:rsid w:val="006C266C"/>
    <w:rsid w:val="006E29A6"/>
    <w:rsid w:val="006F1F8B"/>
    <w:rsid w:val="007060EB"/>
    <w:rsid w:val="007131BC"/>
    <w:rsid w:val="0071576B"/>
    <w:rsid w:val="007334CB"/>
    <w:rsid w:val="0074770F"/>
    <w:rsid w:val="00750A70"/>
    <w:rsid w:val="00763837"/>
    <w:rsid w:val="00765B0E"/>
    <w:rsid w:val="00773519"/>
    <w:rsid w:val="007A2412"/>
    <w:rsid w:val="007A4A63"/>
    <w:rsid w:val="007E3786"/>
    <w:rsid w:val="00831BB3"/>
    <w:rsid w:val="008405CC"/>
    <w:rsid w:val="0084484B"/>
    <w:rsid w:val="00847106"/>
    <w:rsid w:val="00852079"/>
    <w:rsid w:val="008548BA"/>
    <w:rsid w:val="00854B8C"/>
    <w:rsid w:val="00855AFD"/>
    <w:rsid w:val="00866251"/>
    <w:rsid w:val="008737A0"/>
    <w:rsid w:val="008962C7"/>
    <w:rsid w:val="008B2A47"/>
    <w:rsid w:val="008B4E1C"/>
    <w:rsid w:val="008C38E0"/>
    <w:rsid w:val="008C4CE9"/>
    <w:rsid w:val="008C6CE9"/>
    <w:rsid w:val="008D1C4C"/>
    <w:rsid w:val="008D2C8C"/>
    <w:rsid w:val="008F443D"/>
    <w:rsid w:val="00905634"/>
    <w:rsid w:val="009108AB"/>
    <w:rsid w:val="0091488D"/>
    <w:rsid w:val="00915426"/>
    <w:rsid w:val="00934167"/>
    <w:rsid w:val="0095427B"/>
    <w:rsid w:val="00956D70"/>
    <w:rsid w:val="00961757"/>
    <w:rsid w:val="00985CEA"/>
    <w:rsid w:val="00985D6F"/>
    <w:rsid w:val="009B639D"/>
    <w:rsid w:val="009C275C"/>
    <w:rsid w:val="009D4222"/>
    <w:rsid w:val="009E6814"/>
    <w:rsid w:val="00A0132D"/>
    <w:rsid w:val="00A03EC0"/>
    <w:rsid w:val="00A06110"/>
    <w:rsid w:val="00A4094D"/>
    <w:rsid w:val="00A40CFF"/>
    <w:rsid w:val="00A4321E"/>
    <w:rsid w:val="00A8451B"/>
    <w:rsid w:val="00A87C62"/>
    <w:rsid w:val="00A9180E"/>
    <w:rsid w:val="00AA0664"/>
    <w:rsid w:val="00AA2E2F"/>
    <w:rsid w:val="00AA3229"/>
    <w:rsid w:val="00AD04E0"/>
    <w:rsid w:val="00AD3204"/>
    <w:rsid w:val="00AE5B40"/>
    <w:rsid w:val="00AF150E"/>
    <w:rsid w:val="00B02CA3"/>
    <w:rsid w:val="00B031F0"/>
    <w:rsid w:val="00B222D0"/>
    <w:rsid w:val="00B25239"/>
    <w:rsid w:val="00B270BE"/>
    <w:rsid w:val="00B27DED"/>
    <w:rsid w:val="00B3429C"/>
    <w:rsid w:val="00B437D6"/>
    <w:rsid w:val="00B47177"/>
    <w:rsid w:val="00B544F2"/>
    <w:rsid w:val="00B550DE"/>
    <w:rsid w:val="00B948E0"/>
    <w:rsid w:val="00BA6D43"/>
    <w:rsid w:val="00BB2197"/>
    <w:rsid w:val="00BC487D"/>
    <w:rsid w:val="00BC5E69"/>
    <w:rsid w:val="00BD4FFC"/>
    <w:rsid w:val="00BD7A23"/>
    <w:rsid w:val="00C101BC"/>
    <w:rsid w:val="00C152CE"/>
    <w:rsid w:val="00C436D3"/>
    <w:rsid w:val="00C645B0"/>
    <w:rsid w:val="00C66D9D"/>
    <w:rsid w:val="00C852EB"/>
    <w:rsid w:val="00C94CB1"/>
    <w:rsid w:val="00CB021E"/>
    <w:rsid w:val="00CC38B0"/>
    <w:rsid w:val="00CD5412"/>
    <w:rsid w:val="00CE6F63"/>
    <w:rsid w:val="00DB133C"/>
    <w:rsid w:val="00DB46B6"/>
    <w:rsid w:val="00DD6C8D"/>
    <w:rsid w:val="00DF584E"/>
    <w:rsid w:val="00E121AB"/>
    <w:rsid w:val="00E13378"/>
    <w:rsid w:val="00E2737C"/>
    <w:rsid w:val="00E568C0"/>
    <w:rsid w:val="00E7239C"/>
    <w:rsid w:val="00E725CB"/>
    <w:rsid w:val="00E87E88"/>
    <w:rsid w:val="00E92812"/>
    <w:rsid w:val="00E936C9"/>
    <w:rsid w:val="00EA7DD0"/>
    <w:rsid w:val="00EB1F2F"/>
    <w:rsid w:val="00EB65DE"/>
    <w:rsid w:val="00EC78BD"/>
    <w:rsid w:val="00F06154"/>
    <w:rsid w:val="00F478C3"/>
    <w:rsid w:val="00F54093"/>
    <w:rsid w:val="00F7117A"/>
    <w:rsid w:val="00F73641"/>
    <w:rsid w:val="00F7630B"/>
    <w:rsid w:val="00F821B6"/>
    <w:rsid w:val="00F94E59"/>
    <w:rsid w:val="00FA13D1"/>
    <w:rsid w:val="00FA2253"/>
    <w:rsid w:val="00FA79CC"/>
    <w:rsid w:val="00FC6203"/>
    <w:rsid w:val="00FD0526"/>
    <w:rsid w:val="00FD059B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4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E3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3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4E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E3F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E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E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E3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3</cp:revision>
  <cp:lastPrinted>2013-10-10T17:55:00Z</cp:lastPrinted>
  <dcterms:created xsi:type="dcterms:W3CDTF">2013-10-02T15:32:00Z</dcterms:created>
  <dcterms:modified xsi:type="dcterms:W3CDTF">2013-10-10T17:56:00Z</dcterms:modified>
  <cp:contentStatus/>
</cp:coreProperties>
</file>