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7A72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A7279" w:rsidRDefault="007A7279">
      <w:pPr>
        <w:rPr>
          <w:rFonts w:ascii="Arial" w:hAnsi="Arial" w:cs="Arial"/>
          <w:b/>
          <w:sz w:val="22"/>
          <w:szCs w:val="22"/>
        </w:rPr>
      </w:pPr>
    </w:p>
    <w:p w:rsidR="007A7279" w:rsidRDefault="007A727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for</w:t>
      </w:r>
      <w:r w:rsidR="00D616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processes and procedures to recognize the importance of understanding customer needs and expectations, and to fulfill these whenever possible.</w:t>
      </w:r>
      <w:proofErr w:type="gramEnd"/>
      <w:r w:rsidR="00D616D8">
        <w:rPr>
          <w:rFonts w:ascii="Arial" w:hAnsi="Arial" w:cs="Arial"/>
          <w:sz w:val="22"/>
          <w:szCs w:val="22"/>
        </w:rPr>
        <w:t xml:space="preserve">  This applies to internal and external customers, including:</w:t>
      </w:r>
    </w:p>
    <w:p w:rsidR="00D616D8" w:rsidRDefault="00D616D8" w:rsidP="00D616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Patients, Physicians, and other health care personnel in the facility and community.</w:t>
      </w:r>
    </w:p>
    <w:p w:rsidR="00D616D8" w:rsidRDefault="00D616D8" w:rsidP="00D616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 personnel in other laboratory departments.</w:t>
      </w:r>
    </w:p>
    <w:p w:rsidR="00D616D8" w:rsidRPr="00D616D8" w:rsidRDefault="00D616D8" w:rsidP="00D616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 of goods and services.</w:t>
      </w:r>
    </w:p>
    <w:p w:rsidR="007A7279" w:rsidRDefault="007A7279">
      <w:pPr>
        <w:rPr>
          <w:rFonts w:ascii="Arial" w:hAnsi="Arial" w:cs="Arial"/>
          <w:sz w:val="22"/>
          <w:szCs w:val="22"/>
        </w:rPr>
      </w:pPr>
    </w:p>
    <w:p w:rsidR="007A7279" w:rsidRDefault="007A7279">
      <w:pPr>
        <w:rPr>
          <w:rFonts w:ascii="Arial" w:hAnsi="Arial" w:cs="Arial"/>
          <w:b/>
          <w:sz w:val="22"/>
          <w:szCs w:val="22"/>
        </w:rPr>
      </w:pPr>
      <w:r w:rsidRPr="007A7279">
        <w:rPr>
          <w:rFonts w:ascii="Arial" w:hAnsi="Arial" w:cs="Arial"/>
          <w:b/>
          <w:sz w:val="22"/>
          <w:szCs w:val="22"/>
        </w:rPr>
        <w:t>Policy Statement</w:t>
      </w:r>
    </w:p>
    <w:p w:rsidR="007A7279" w:rsidRDefault="007A7279">
      <w:pPr>
        <w:rPr>
          <w:rFonts w:ascii="Arial" w:hAnsi="Arial" w:cs="Arial"/>
          <w:b/>
          <w:sz w:val="22"/>
          <w:szCs w:val="22"/>
        </w:rPr>
      </w:pPr>
    </w:p>
    <w:p w:rsidR="007A7279" w:rsidRDefault="007A7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HMC Transfusion Service seeks customer input and feedback on an ongoing basis, and uses this information to assist in the development and enhancement of laboratory medicine practices and services.</w:t>
      </w:r>
    </w:p>
    <w:p w:rsidR="00D616D8" w:rsidRDefault="00D616D8">
      <w:pPr>
        <w:rPr>
          <w:rFonts w:ascii="Arial" w:hAnsi="Arial" w:cs="Arial"/>
          <w:sz w:val="22"/>
          <w:szCs w:val="22"/>
        </w:rPr>
      </w:pPr>
    </w:p>
    <w:p w:rsidR="00D616D8" w:rsidRDefault="00D616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 Include:</w:t>
      </w:r>
    </w:p>
    <w:p w:rsidR="00D616D8" w:rsidRPr="00D616D8" w:rsidRDefault="00D616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6930"/>
      </w:tblGrid>
      <w:tr w:rsidR="00D616D8" w:rsidTr="00D616D8">
        <w:tc>
          <w:tcPr>
            <w:tcW w:w="3798" w:type="dxa"/>
          </w:tcPr>
          <w:p w:rsidR="00D616D8" w:rsidRPr="00D616D8" w:rsidRDefault="00D61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6D8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930" w:type="dxa"/>
          </w:tcPr>
          <w:p w:rsidR="00D616D8" w:rsidRPr="00D616D8" w:rsidRDefault="00D61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6D8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</w:tr>
      <w:tr w:rsidR="00D616D8" w:rsidTr="00D616D8">
        <w:tc>
          <w:tcPr>
            <w:tcW w:w="3798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 Head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development of the laboratory’s customer service practices, and monitor performance of such practice.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input into the development of customer service practices.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performance of such practices.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in resolving complaints.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Manager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pr</w:t>
            </w:r>
            <w:r w:rsidR="009650A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grams and procedures to ensure customer input is obtained as required, and acted on appropriately.  Monitor performance of customer service practices.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D616D8" w:rsidP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Coordinator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 and trend complaints and provide input for corrective and preventative actions.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CB1A44" w:rsidP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Personnel</w:t>
            </w:r>
          </w:p>
        </w:tc>
        <w:tc>
          <w:tcPr>
            <w:tcW w:w="6930" w:type="dxa"/>
          </w:tcPr>
          <w:p w:rsidR="00D616D8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 who their internal and external customers are.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customer service standards and practices.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any complaints they are aware of via Quality Improvement Monitor form.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16D8" w:rsidRPr="007A7279" w:rsidRDefault="00D616D8">
      <w:pPr>
        <w:rPr>
          <w:rFonts w:ascii="Arial" w:hAnsi="Arial" w:cs="Arial"/>
          <w:sz w:val="22"/>
          <w:szCs w:val="22"/>
        </w:rPr>
      </w:pPr>
    </w:p>
    <w:p w:rsidR="007A7279" w:rsidRDefault="007A7279">
      <w:pPr>
        <w:rPr>
          <w:rFonts w:ascii="Arial" w:hAnsi="Arial" w:cs="Arial"/>
          <w:sz w:val="22"/>
          <w:szCs w:val="22"/>
        </w:rPr>
      </w:pPr>
    </w:p>
    <w:p w:rsidR="007A7279" w:rsidRPr="007A7279" w:rsidRDefault="007A7279">
      <w:pPr>
        <w:rPr>
          <w:rFonts w:ascii="Arial" w:hAnsi="Arial" w:cs="Arial"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490"/>
        <w:gridCol w:w="2600"/>
      </w:tblGrid>
      <w:tr w:rsidR="00CB1A44" w:rsidTr="00CB1A44">
        <w:tc>
          <w:tcPr>
            <w:tcW w:w="1638" w:type="dxa"/>
          </w:tcPr>
          <w:p w:rsidR="00CB1A44" w:rsidRPr="00CB1A44" w:rsidRDefault="00CB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A44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6490" w:type="dxa"/>
          </w:tcPr>
          <w:p w:rsidR="00CB1A44" w:rsidRPr="00CB1A44" w:rsidRDefault="00CB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A4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00" w:type="dxa"/>
          </w:tcPr>
          <w:p w:rsidR="00CB1A44" w:rsidRPr="00CB1A44" w:rsidRDefault="00CB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A4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B1A44" w:rsidTr="00CB1A44">
        <w:tc>
          <w:tcPr>
            <w:tcW w:w="1638" w:type="dxa"/>
          </w:tcPr>
          <w:p w:rsidR="00CB1A44" w:rsidRDefault="00F85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</w:t>
            </w:r>
            <w:r w:rsidR="002A15E6">
              <w:rPr>
                <w:rFonts w:ascii="Arial" w:hAnsi="Arial" w:cs="Arial"/>
                <w:sz w:val="22"/>
                <w:szCs w:val="22"/>
              </w:rPr>
              <w:t>ing</w:t>
            </w:r>
          </w:p>
        </w:tc>
        <w:tc>
          <w:tcPr>
            <w:tcW w:w="6490" w:type="dxa"/>
          </w:tcPr>
          <w:p w:rsidR="00CB1A44" w:rsidRDefault="00CB1A44" w:rsidP="00CB1A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laboratory monitors customer satisfaction through the use of the following: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periodic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customer surveys.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evaluations of training</w:t>
            </w:r>
            <w:r w:rsidR="00F85EC4">
              <w:rPr>
                <w:rFonts w:ascii="Arial" w:hAnsi="Arial" w:cs="Arial"/>
                <w:sz w:val="22"/>
                <w:szCs w:val="22"/>
              </w:rPr>
              <w:t xml:space="preserve"> or teaching</w:t>
            </w:r>
            <w:r>
              <w:rPr>
                <w:rFonts w:ascii="Arial" w:hAnsi="Arial" w:cs="Arial"/>
                <w:sz w:val="22"/>
                <w:szCs w:val="22"/>
              </w:rPr>
              <w:t xml:space="preserve"> events.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Meetings and open communication with stake holders.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are analyzed, reviewed, and feedback is reported to staff.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Proactive, remedial, or corrective action is implemented.</w:t>
            </w:r>
          </w:p>
          <w:p w:rsidR="00CB1A44" w:rsidRPr="00CB1A44" w:rsidRDefault="00CB1A44" w:rsidP="00CB1A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9650AA" w:rsidRDefault="009650AA" w:rsidP="008118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</w:t>
            </w:r>
          </w:p>
          <w:p w:rsidR="009650AA" w:rsidRDefault="009650AA" w:rsidP="009650A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Nonconforming Events, Occurrence Management</w:t>
            </w:r>
          </w:p>
          <w:p w:rsidR="00CB1A44" w:rsidRDefault="00811843" w:rsidP="008118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Process Improvement</w:t>
            </w:r>
          </w:p>
          <w:p w:rsidR="00811843" w:rsidRPr="00811843" w:rsidRDefault="00811843" w:rsidP="008118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Practice Committee Bylaws</w:t>
            </w:r>
            <w:r w:rsidR="009650AA">
              <w:rPr>
                <w:rFonts w:ascii="Arial" w:hAnsi="Arial" w:cs="Arial"/>
                <w:sz w:val="22"/>
                <w:szCs w:val="22"/>
              </w:rPr>
              <w:t xml:space="preserve"> and Minutes.</w:t>
            </w:r>
          </w:p>
        </w:tc>
      </w:tr>
      <w:tr w:rsidR="00CB1A44" w:rsidTr="00CB1A44">
        <w:tc>
          <w:tcPr>
            <w:tcW w:w="1638" w:type="dxa"/>
          </w:tcPr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</w:t>
            </w:r>
          </w:p>
        </w:tc>
        <w:tc>
          <w:tcPr>
            <w:tcW w:w="6490" w:type="dxa"/>
          </w:tcPr>
          <w:p w:rsidR="00CB1A44" w:rsidRDefault="00CB1A44" w:rsidP="00CB1A44">
            <w:pPr>
              <w:rPr>
                <w:rFonts w:ascii="Arial" w:hAnsi="Arial" w:cs="Arial"/>
                <w:sz w:val="22"/>
                <w:szCs w:val="22"/>
              </w:rPr>
            </w:pPr>
            <w:r w:rsidRPr="00CB1A44">
              <w:rPr>
                <w:rFonts w:ascii="Arial" w:hAnsi="Arial" w:cs="Arial"/>
                <w:sz w:val="22"/>
                <w:szCs w:val="22"/>
              </w:rPr>
              <w:t>Input is sought:</w:t>
            </w:r>
          </w:p>
          <w:p w:rsidR="00CB1A44" w:rsidRDefault="00F85EC4" w:rsidP="00CB1A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Clinicians and other professionals to ensure laboratory services support patient care and clinical programs.</w:t>
            </w:r>
          </w:p>
          <w:p w:rsidR="00F85EC4" w:rsidRDefault="00F85EC4" w:rsidP="00CB1A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changes in the following: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 of services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 and layout of requisitions and reports</w:t>
            </w:r>
          </w:p>
          <w:p w:rsidR="00F85EC4" w:rsidRPr="00CB1A44" w:rsidRDefault="00F85EC4" w:rsidP="00F85E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Turnaround Time.</w:t>
            </w:r>
          </w:p>
          <w:p w:rsidR="00CB1A44" w:rsidRDefault="00CB1A44" w:rsidP="00CB1A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EC4" w:rsidTr="00CB1A44">
        <w:tc>
          <w:tcPr>
            <w:tcW w:w="1638" w:type="dxa"/>
          </w:tcPr>
          <w:p w:rsidR="00F85EC4" w:rsidRDefault="00F85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</w:t>
            </w:r>
          </w:p>
        </w:tc>
        <w:tc>
          <w:tcPr>
            <w:tcW w:w="6490" w:type="dxa"/>
          </w:tcPr>
          <w:p w:rsidR="00F85EC4" w:rsidRDefault="00F85EC4" w:rsidP="00F85EC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Includes compliments, complaints, or incidents.</w:t>
            </w:r>
          </w:p>
          <w:p w:rsidR="00F85EC4" w:rsidRDefault="002A15E6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documented </w:t>
            </w:r>
            <w:r w:rsidR="00F85EC4">
              <w:rPr>
                <w:rFonts w:ascii="Arial" w:hAnsi="Arial" w:cs="Arial"/>
                <w:sz w:val="22"/>
                <w:szCs w:val="22"/>
              </w:rPr>
              <w:t>via QIM and QI process.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acted on.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shared with staff.</w:t>
            </w:r>
          </w:p>
          <w:p w:rsidR="00F85EC4" w:rsidRPr="002A15E6" w:rsidRDefault="00F85EC4" w:rsidP="002A1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F85EC4" w:rsidRDefault="009650AA" w:rsidP="009650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</w:t>
            </w:r>
          </w:p>
          <w:p w:rsidR="009650AA" w:rsidRPr="009650AA" w:rsidRDefault="009650AA" w:rsidP="009650A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Nonconforming Events, Occurrence Management</w:t>
            </w:r>
          </w:p>
        </w:tc>
      </w:tr>
      <w:tr w:rsidR="002A15E6" w:rsidTr="00CB1A44">
        <w:tc>
          <w:tcPr>
            <w:tcW w:w="1638" w:type="dxa"/>
          </w:tcPr>
          <w:p w:rsidR="002A15E6" w:rsidRDefault="002A15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811843">
              <w:rPr>
                <w:rFonts w:ascii="Arial" w:hAnsi="Arial" w:cs="Arial"/>
                <w:sz w:val="22"/>
                <w:szCs w:val="22"/>
              </w:rPr>
              <w:t>ollaboration with internal customers</w:t>
            </w:r>
          </w:p>
        </w:tc>
        <w:tc>
          <w:tcPr>
            <w:tcW w:w="6490" w:type="dxa"/>
          </w:tcPr>
          <w:p w:rsidR="002A15E6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is committed to open discussion and resolution of issues.</w:t>
            </w:r>
          </w:p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Planned changes that will affect other departments or areas are discussed, and problems resolved before implementation of the change.</w:t>
            </w:r>
          </w:p>
          <w:p w:rsidR="00811843" w:rsidRDefault="00811843" w:rsidP="0081184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</w:tcPr>
          <w:p w:rsidR="002A15E6" w:rsidRDefault="002A1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843" w:rsidTr="00CB1A44">
        <w:tc>
          <w:tcPr>
            <w:tcW w:w="1638" w:type="dxa"/>
          </w:tcPr>
          <w:p w:rsidR="00811843" w:rsidRDefault="008118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 with reference laboratories and suppliers</w:t>
            </w:r>
          </w:p>
        </w:tc>
        <w:tc>
          <w:tcPr>
            <w:tcW w:w="6490" w:type="dxa"/>
          </w:tcPr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proposed changes are discussed prior to implementation.</w:t>
            </w:r>
          </w:p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Complaints and issues are tracked.</w:t>
            </w:r>
          </w:p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is implemented and documented.</w:t>
            </w:r>
          </w:p>
        </w:tc>
        <w:tc>
          <w:tcPr>
            <w:tcW w:w="2600" w:type="dxa"/>
          </w:tcPr>
          <w:p w:rsidR="009650AA" w:rsidRDefault="009650AA" w:rsidP="009650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</w:t>
            </w:r>
          </w:p>
          <w:p w:rsidR="009650AA" w:rsidRDefault="009650AA" w:rsidP="009650A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Nonconforming</w:t>
            </w:r>
          </w:p>
          <w:p w:rsidR="009650AA" w:rsidRDefault="009650AA" w:rsidP="009650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Events, Occurrence</w:t>
            </w:r>
          </w:p>
          <w:p w:rsidR="00811843" w:rsidRDefault="009650AA" w:rsidP="009650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Management</w:t>
            </w:r>
          </w:p>
        </w:tc>
      </w:tr>
    </w:tbl>
    <w:p w:rsidR="009551F8" w:rsidRDefault="009551F8">
      <w:pPr>
        <w:rPr>
          <w:rFonts w:ascii="Arial" w:hAnsi="Arial" w:cs="Arial"/>
          <w:sz w:val="22"/>
          <w:szCs w:val="22"/>
        </w:rPr>
      </w:pPr>
    </w:p>
    <w:p w:rsidR="009650AA" w:rsidRDefault="009650AA">
      <w:pPr>
        <w:rPr>
          <w:rFonts w:ascii="Arial" w:hAnsi="Arial" w:cs="Arial"/>
          <w:sz w:val="22"/>
          <w:szCs w:val="22"/>
        </w:rPr>
      </w:pPr>
    </w:p>
    <w:p w:rsidR="009650AA" w:rsidRPr="009650AA" w:rsidRDefault="009650AA">
      <w:pPr>
        <w:rPr>
          <w:rFonts w:ascii="Arial" w:hAnsi="Arial" w:cs="Arial"/>
          <w:b/>
          <w:sz w:val="22"/>
          <w:szCs w:val="22"/>
        </w:rPr>
      </w:pPr>
      <w:r w:rsidRPr="009650AA">
        <w:rPr>
          <w:rFonts w:ascii="Arial" w:hAnsi="Arial" w:cs="Arial"/>
          <w:b/>
          <w:sz w:val="22"/>
          <w:szCs w:val="22"/>
        </w:rPr>
        <w:t>References</w:t>
      </w:r>
    </w:p>
    <w:p w:rsidR="009650AA" w:rsidRDefault="009650AA">
      <w:pPr>
        <w:rPr>
          <w:rFonts w:ascii="Arial" w:hAnsi="Arial" w:cs="Arial"/>
          <w:sz w:val="22"/>
          <w:szCs w:val="22"/>
        </w:rPr>
      </w:pPr>
    </w:p>
    <w:p w:rsidR="009650AA" w:rsidRPr="006E7B0D" w:rsidRDefault="009650AA">
      <w:pPr>
        <w:rPr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sectPr w:rsidR="009650AA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CA" w:rsidRDefault="000F4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6792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6792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CA" w:rsidRDefault="000F4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CA" w:rsidRDefault="000F4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CB1A44" w:rsidRDefault="00CB1A44" w:rsidP="00D3281B">
    <w:pPr>
      <w:pStyle w:val="Header"/>
      <w:rPr>
        <w:b/>
      </w:rPr>
    </w:pPr>
    <w:r w:rsidRPr="00CB1A44">
      <w:rPr>
        <w:b/>
      </w:rPr>
      <w:t>Quality Policy:  Customer Service Policy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7A7279">
            <w:rPr>
              <w:rFonts w:ascii="Arial" w:hAnsi="Arial" w:cs="Arial"/>
              <w:b/>
              <w:sz w:val="22"/>
              <w:szCs w:val="22"/>
            </w:rPr>
            <w:t>November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7A727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11001-1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F67927" w:rsidRDefault="00F67927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12/01/13</w:t>
          </w: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A7279">
            <w:rPr>
              <w:rFonts w:ascii="Arial" w:hAnsi="Arial" w:cs="Arial"/>
              <w:b/>
              <w:sz w:val="28"/>
              <w:szCs w:val="28"/>
            </w:rPr>
            <w:t>QSE:  Customer Focus</w:t>
          </w:r>
        </w:p>
        <w:p w:rsidR="007A7279" w:rsidRPr="007A7279" w:rsidRDefault="007A7279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Customer Service </w:t>
          </w:r>
          <w:r w:rsidR="000F45CA">
            <w:rPr>
              <w:rFonts w:ascii="Arial" w:hAnsi="Arial" w:cs="Arial"/>
              <w:b/>
              <w:sz w:val="28"/>
              <w:szCs w:val="28"/>
            </w:rPr>
            <w:t>Elements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28"/>
    <w:multiLevelType w:val="hybridMultilevel"/>
    <w:tmpl w:val="9754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8453E"/>
    <w:multiLevelType w:val="hybridMultilevel"/>
    <w:tmpl w:val="19E8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27C58"/>
    <w:multiLevelType w:val="hybridMultilevel"/>
    <w:tmpl w:val="1018A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05875"/>
    <w:multiLevelType w:val="hybridMultilevel"/>
    <w:tmpl w:val="2A08D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14CB6"/>
    <w:multiLevelType w:val="hybridMultilevel"/>
    <w:tmpl w:val="4BA2F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96BF9"/>
    <w:multiLevelType w:val="hybridMultilevel"/>
    <w:tmpl w:val="8D2E9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FA5257"/>
    <w:multiLevelType w:val="hybridMultilevel"/>
    <w:tmpl w:val="3F2E4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F45CA"/>
    <w:rsid w:val="001065F9"/>
    <w:rsid w:val="001A731F"/>
    <w:rsid w:val="00260E4A"/>
    <w:rsid w:val="002A15E6"/>
    <w:rsid w:val="003735F1"/>
    <w:rsid w:val="003816DA"/>
    <w:rsid w:val="004D16C5"/>
    <w:rsid w:val="006720F8"/>
    <w:rsid w:val="006E7B0D"/>
    <w:rsid w:val="00750D94"/>
    <w:rsid w:val="007763E7"/>
    <w:rsid w:val="007A7279"/>
    <w:rsid w:val="00811843"/>
    <w:rsid w:val="008F4BFB"/>
    <w:rsid w:val="00903F57"/>
    <w:rsid w:val="009551F8"/>
    <w:rsid w:val="009650AA"/>
    <w:rsid w:val="009D0337"/>
    <w:rsid w:val="00C6184B"/>
    <w:rsid w:val="00CB1A44"/>
    <w:rsid w:val="00D3281B"/>
    <w:rsid w:val="00D616D8"/>
    <w:rsid w:val="00F67927"/>
    <w:rsid w:val="00F85EC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dcterms:created xsi:type="dcterms:W3CDTF">2013-10-30T21:35:00Z</dcterms:created>
  <dcterms:modified xsi:type="dcterms:W3CDTF">2013-11-18T22:48:00Z</dcterms:modified>
</cp:coreProperties>
</file>