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FD1" w:rsidRDefault="00C34EFD" w:rsidP="00F05BAF">
      <w:pPr>
        <w:jc w:val="both"/>
      </w:pPr>
      <w:r>
        <w:rPr>
          <w:rFonts w:ascii="Verdana" w:hAnsi="Verdana"/>
          <w:noProof/>
          <w:color w:val="0082D9"/>
          <w:sz w:val="17"/>
          <w:szCs w:val="17"/>
        </w:rPr>
        <w:drawing>
          <wp:inline distT="0" distB="0" distL="0" distR="0">
            <wp:extent cx="6362700" cy="666750"/>
            <wp:effectExtent l="19050" t="0" r="0" b="0"/>
            <wp:docPr id="1" name="Picture 1" descr="Laboratory Medicine bann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a:hlinkClick r:id="rId8"/>
                    </pic:cNvPr>
                    <pic:cNvPicPr>
                      <a:picLocks noChangeAspect="1" noChangeArrowheads="1"/>
                    </pic:cNvPicPr>
                  </pic:nvPicPr>
                  <pic:blipFill>
                    <a:blip r:embed="rId9"/>
                    <a:srcRect/>
                    <a:stretch>
                      <a:fillRect/>
                    </a:stretch>
                  </pic:blipFill>
                  <pic:spPr bwMode="auto">
                    <a:xfrm>
                      <a:off x="0" y="0"/>
                      <a:ext cx="6362700" cy="666750"/>
                    </a:xfrm>
                    <a:prstGeom prst="rect">
                      <a:avLst/>
                    </a:prstGeom>
                    <a:noFill/>
                    <a:ln w="9525">
                      <a:noFill/>
                      <a:miter lim="800000"/>
                      <a:headEnd/>
                      <a:tailEnd/>
                    </a:ln>
                  </pic:spPr>
                </pic:pic>
              </a:graphicData>
            </a:graphic>
          </wp:inline>
        </w:drawing>
      </w:r>
    </w:p>
    <w:p w:rsidR="00203FD1" w:rsidRDefault="00203FD1" w:rsidP="00F05BAF">
      <w:pPr>
        <w:jc w:val="both"/>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203FD1" w:rsidRPr="00574A2A" w:rsidTr="00F5541A">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203FD1" w:rsidRPr="00574A2A" w:rsidRDefault="00203FD1" w:rsidP="00F5541A">
            <w:pPr>
              <w:rPr>
                <w:rFonts w:cs="Arial"/>
                <w:b/>
                <w:szCs w:val="22"/>
              </w:rPr>
            </w:pPr>
            <w:smartTag w:uri="urn:schemas-microsoft-com:office:smarttags" w:element="place">
              <w:smartTag w:uri="urn:schemas-microsoft-com:office:smarttags" w:element="PlaceType">
                <w:r w:rsidRPr="00574A2A">
                  <w:rPr>
                    <w:rFonts w:cs="Arial"/>
                    <w:b/>
                    <w:sz w:val="22"/>
                    <w:szCs w:val="22"/>
                  </w:rPr>
                  <w:t>University</w:t>
                </w:r>
              </w:smartTag>
              <w:r w:rsidRPr="00574A2A">
                <w:rPr>
                  <w:rFonts w:cs="Arial"/>
                  <w:b/>
                  <w:sz w:val="22"/>
                  <w:szCs w:val="22"/>
                </w:rPr>
                <w:t xml:space="preserve"> of </w:t>
              </w:r>
              <w:smartTag w:uri="urn:schemas-microsoft-com:office:smarttags" w:element="PlaceName">
                <w:r w:rsidRPr="00574A2A">
                  <w:rPr>
                    <w:rFonts w:cs="Arial"/>
                    <w:b/>
                    <w:sz w:val="22"/>
                    <w:szCs w:val="22"/>
                  </w:rPr>
                  <w:t>Washington</w:t>
                </w:r>
              </w:smartTag>
            </w:smartTag>
            <w:r w:rsidRPr="00574A2A">
              <w:rPr>
                <w:rFonts w:cs="Arial"/>
                <w:b/>
                <w:sz w:val="22"/>
                <w:szCs w:val="22"/>
              </w:rPr>
              <w:t xml:space="preserve">, </w:t>
            </w:r>
          </w:p>
          <w:p w:rsidR="00203FD1" w:rsidRPr="00574A2A" w:rsidRDefault="00203FD1" w:rsidP="00F5541A">
            <w:pPr>
              <w:rPr>
                <w:rFonts w:cs="Arial"/>
                <w:b/>
                <w:szCs w:val="22"/>
              </w:rPr>
            </w:pPr>
            <w:smartTag w:uri="urn:schemas-microsoft-com:office:smarttags" w:element="place">
              <w:smartTag w:uri="urn:schemas-microsoft-com:office:smarttags" w:element="PlaceName">
                <w:r w:rsidRPr="00574A2A">
                  <w:rPr>
                    <w:rFonts w:cs="Arial"/>
                    <w:b/>
                    <w:sz w:val="22"/>
                    <w:szCs w:val="22"/>
                  </w:rPr>
                  <w:t>Harborview</w:t>
                </w:r>
              </w:smartTag>
              <w:r w:rsidRPr="00574A2A">
                <w:rPr>
                  <w:rFonts w:cs="Arial"/>
                  <w:b/>
                  <w:sz w:val="22"/>
                  <w:szCs w:val="22"/>
                </w:rPr>
                <w:t xml:space="preserve"> </w:t>
              </w:r>
              <w:smartTag w:uri="urn:schemas-microsoft-com:office:smarttags" w:element="PlaceName">
                <w:r w:rsidRPr="00574A2A">
                  <w:rPr>
                    <w:rFonts w:cs="Arial"/>
                    <w:b/>
                    <w:sz w:val="22"/>
                    <w:szCs w:val="22"/>
                  </w:rPr>
                  <w:t>Medical</w:t>
                </w:r>
              </w:smartTag>
              <w:r w:rsidRPr="00574A2A">
                <w:rPr>
                  <w:rFonts w:cs="Arial"/>
                  <w:b/>
                  <w:sz w:val="22"/>
                  <w:szCs w:val="22"/>
                </w:rPr>
                <w:t xml:space="preserve"> </w:t>
              </w:r>
              <w:smartTag w:uri="urn:schemas-microsoft-com:office:smarttags" w:element="PlaceType">
                <w:r w:rsidRPr="00574A2A">
                  <w:rPr>
                    <w:rFonts w:cs="Arial"/>
                    <w:b/>
                    <w:sz w:val="22"/>
                    <w:szCs w:val="22"/>
                  </w:rPr>
                  <w:t>Center</w:t>
                </w:r>
              </w:smartTag>
            </w:smartTag>
          </w:p>
          <w:p w:rsidR="00203FD1" w:rsidRPr="00574A2A" w:rsidRDefault="00203FD1" w:rsidP="00F5541A">
            <w:pPr>
              <w:rPr>
                <w:rFonts w:cs="Arial"/>
                <w:b/>
                <w:szCs w:val="22"/>
              </w:rPr>
            </w:pPr>
            <w:smartTag w:uri="urn:schemas-microsoft-com:office:smarttags" w:element="Street">
              <w:r w:rsidRPr="00574A2A">
                <w:rPr>
                  <w:rFonts w:cs="Arial"/>
                  <w:b/>
                  <w:sz w:val="22"/>
                  <w:szCs w:val="22"/>
                </w:rPr>
                <w:t>325 9</w:t>
              </w:r>
              <w:r w:rsidRPr="00574A2A">
                <w:rPr>
                  <w:rFonts w:cs="Arial"/>
                  <w:b/>
                  <w:sz w:val="22"/>
                  <w:szCs w:val="22"/>
                  <w:vertAlign w:val="superscript"/>
                </w:rPr>
                <w:t>th</w:t>
              </w:r>
              <w:r w:rsidRPr="00574A2A">
                <w:rPr>
                  <w:rFonts w:cs="Arial"/>
                  <w:b/>
                  <w:sz w:val="22"/>
                  <w:szCs w:val="22"/>
                </w:rPr>
                <w:t xml:space="preserve"> Ave.</w:t>
              </w:r>
            </w:smartTag>
            <w:r w:rsidRPr="00574A2A">
              <w:rPr>
                <w:rFonts w:cs="Arial"/>
                <w:b/>
                <w:sz w:val="22"/>
                <w:szCs w:val="22"/>
              </w:rPr>
              <w:t xml:space="preserve"> </w:t>
            </w:r>
            <w:smartTag w:uri="urn:schemas-microsoft-com:office:smarttags" w:element="PostalCode">
              <w:r w:rsidRPr="00574A2A">
                <w:rPr>
                  <w:rFonts w:cs="Arial"/>
                  <w:b/>
                  <w:sz w:val="22"/>
                  <w:szCs w:val="22"/>
                </w:rPr>
                <w:t>Seattle</w:t>
              </w:r>
            </w:smartTag>
            <w:r w:rsidRPr="00574A2A">
              <w:rPr>
                <w:rFonts w:cs="Arial"/>
                <w:b/>
                <w:sz w:val="22"/>
                <w:szCs w:val="22"/>
              </w:rPr>
              <w:t xml:space="preserve">, </w:t>
            </w:r>
            <w:smartTag w:uri="urn:schemas-microsoft-com:office:smarttags" w:element="PostalCode">
              <w:r w:rsidRPr="00574A2A">
                <w:rPr>
                  <w:rFonts w:cs="Arial"/>
                  <w:b/>
                  <w:sz w:val="22"/>
                  <w:szCs w:val="22"/>
                </w:rPr>
                <w:t>WA</w:t>
              </w:r>
            </w:smartTag>
            <w:r w:rsidRPr="00574A2A">
              <w:rPr>
                <w:rFonts w:cs="Arial"/>
                <w:b/>
                <w:sz w:val="22"/>
                <w:szCs w:val="22"/>
              </w:rPr>
              <w:t xml:space="preserve">,  </w:t>
            </w:r>
            <w:smartTag w:uri="urn:schemas-microsoft-com:office:smarttags" w:element="PostalCode">
              <w:r w:rsidRPr="00574A2A">
                <w:rPr>
                  <w:rFonts w:cs="Arial"/>
                  <w:b/>
                  <w:sz w:val="22"/>
                  <w:szCs w:val="22"/>
                </w:rPr>
                <w:t>98104</w:t>
              </w:r>
            </w:smartTag>
          </w:p>
          <w:p w:rsidR="00203FD1" w:rsidRPr="00574A2A" w:rsidRDefault="00203FD1" w:rsidP="00F5541A">
            <w:pPr>
              <w:rPr>
                <w:rFonts w:cs="Arial"/>
                <w:b/>
                <w:szCs w:val="22"/>
              </w:rPr>
            </w:pPr>
            <w:r w:rsidRPr="00574A2A">
              <w:rPr>
                <w:rFonts w:cs="Arial"/>
                <w:b/>
                <w:sz w:val="22"/>
                <w:szCs w:val="22"/>
              </w:rPr>
              <w:t>Transfusion Services Laboratory</w:t>
            </w:r>
          </w:p>
          <w:p w:rsidR="00203FD1" w:rsidRPr="00574A2A" w:rsidRDefault="00203FD1" w:rsidP="00F5541A">
            <w:pPr>
              <w:rPr>
                <w:rFonts w:cs="Arial"/>
                <w:b/>
                <w:szCs w:val="22"/>
              </w:rPr>
            </w:pPr>
            <w:r w:rsidRPr="00574A2A">
              <w:rPr>
                <w:rFonts w:cs="Arial"/>
                <w:b/>
                <w:sz w:val="22"/>
                <w:szCs w:val="22"/>
              </w:rPr>
              <w:t>Policies and Procedures Manual</w:t>
            </w:r>
          </w:p>
        </w:tc>
        <w:tc>
          <w:tcPr>
            <w:tcW w:w="2747" w:type="dxa"/>
            <w:tcBorders>
              <w:top w:val="double" w:sz="4" w:space="0" w:color="auto"/>
              <w:left w:val="nil"/>
              <w:bottom w:val="nil"/>
              <w:right w:val="single" w:sz="4" w:space="0" w:color="auto"/>
            </w:tcBorders>
          </w:tcPr>
          <w:p w:rsidR="00203FD1" w:rsidRPr="00574A2A" w:rsidRDefault="00203FD1" w:rsidP="00F5541A">
            <w:pPr>
              <w:rPr>
                <w:rFonts w:cs="Arial"/>
                <w:b/>
                <w:szCs w:val="22"/>
              </w:rPr>
            </w:pPr>
            <w:r w:rsidRPr="00574A2A">
              <w:rPr>
                <w:rFonts w:cs="Arial"/>
                <w:b/>
                <w:sz w:val="22"/>
                <w:szCs w:val="22"/>
              </w:rPr>
              <w:t>Original Effective Date:</w:t>
            </w:r>
          </w:p>
          <w:p w:rsidR="00203FD1" w:rsidRPr="00574A2A" w:rsidRDefault="00203FD1" w:rsidP="00F60552">
            <w:pPr>
              <w:jc w:val="both"/>
              <w:rPr>
                <w:rFonts w:cs="Arial"/>
                <w:b/>
                <w:szCs w:val="22"/>
              </w:rPr>
            </w:pPr>
            <w:r>
              <w:rPr>
                <w:rFonts w:cs="Arial"/>
                <w:b/>
                <w:sz w:val="22"/>
                <w:szCs w:val="22"/>
              </w:rPr>
              <w:t xml:space="preserve"> August </w:t>
            </w:r>
            <w:r w:rsidRPr="00574A2A">
              <w:rPr>
                <w:rFonts w:cs="Arial"/>
                <w:b/>
                <w:sz w:val="22"/>
                <w:szCs w:val="22"/>
              </w:rPr>
              <w:t>1</w:t>
            </w:r>
            <w:r w:rsidRPr="00574A2A">
              <w:rPr>
                <w:rFonts w:cs="Arial"/>
                <w:b/>
                <w:sz w:val="22"/>
                <w:szCs w:val="22"/>
                <w:vertAlign w:val="superscript"/>
              </w:rPr>
              <w:t>st</w:t>
            </w:r>
            <w:r w:rsidRPr="00574A2A">
              <w:rPr>
                <w:rFonts w:cs="Arial"/>
                <w:b/>
                <w:sz w:val="22"/>
                <w:szCs w:val="22"/>
              </w:rPr>
              <w:t xml:space="preserve"> 2011</w:t>
            </w:r>
          </w:p>
        </w:tc>
        <w:tc>
          <w:tcPr>
            <w:tcW w:w="2251" w:type="dxa"/>
            <w:tcBorders>
              <w:top w:val="double" w:sz="4" w:space="0" w:color="auto"/>
              <w:left w:val="nil"/>
              <w:bottom w:val="nil"/>
            </w:tcBorders>
          </w:tcPr>
          <w:p w:rsidR="00203FD1" w:rsidRPr="00574A2A" w:rsidRDefault="00203FD1" w:rsidP="00F5541A">
            <w:pPr>
              <w:jc w:val="both"/>
              <w:rPr>
                <w:rFonts w:cs="Arial"/>
                <w:b/>
                <w:szCs w:val="22"/>
              </w:rPr>
            </w:pPr>
            <w:r w:rsidRPr="00574A2A">
              <w:rPr>
                <w:rFonts w:cs="Arial"/>
                <w:b/>
                <w:sz w:val="22"/>
                <w:szCs w:val="22"/>
              </w:rPr>
              <w:t xml:space="preserve">Number: </w:t>
            </w:r>
          </w:p>
          <w:p w:rsidR="00203FD1" w:rsidRPr="00574A2A" w:rsidRDefault="00203FD1" w:rsidP="00F5541A">
            <w:pPr>
              <w:jc w:val="both"/>
              <w:rPr>
                <w:rFonts w:cs="Arial"/>
                <w:b/>
                <w:szCs w:val="22"/>
              </w:rPr>
            </w:pPr>
            <w:r>
              <w:rPr>
                <w:rFonts w:cs="Arial"/>
                <w:b/>
                <w:sz w:val="22"/>
                <w:szCs w:val="22"/>
              </w:rPr>
              <w:t>1700-</w:t>
            </w:r>
            <w:r w:rsidR="00B22EE6">
              <w:rPr>
                <w:rFonts w:cs="Arial"/>
                <w:b/>
                <w:sz w:val="22"/>
                <w:szCs w:val="22"/>
              </w:rPr>
              <w:t>2</w:t>
            </w:r>
            <w:bookmarkStart w:id="0" w:name="_GoBack"/>
            <w:bookmarkEnd w:id="0"/>
          </w:p>
        </w:tc>
      </w:tr>
      <w:tr w:rsidR="00203FD1" w:rsidRPr="00574A2A" w:rsidTr="00F5541A">
        <w:trPr>
          <w:cantSplit/>
          <w:trHeight w:val="132"/>
          <w:jc w:val="center"/>
        </w:trPr>
        <w:tc>
          <w:tcPr>
            <w:tcW w:w="5175" w:type="dxa"/>
            <w:vMerge/>
            <w:tcBorders>
              <w:top w:val="nil"/>
              <w:bottom w:val="single" w:sz="4" w:space="0" w:color="auto"/>
              <w:right w:val="single" w:sz="4" w:space="0" w:color="auto"/>
            </w:tcBorders>
          </w:tcPr>
          <w:p w:rsidR="00203FD1" w:rsidRPr="00574A2A" w:rsidRDefault="00203FD1" w:rsidP="00F5541A">
            <w:pPr>
              <w:rPr>
                <w:rFonts w:cs="Arial"/>
                <w:b/>
                <w:szCs w:val="22"/>
              </w:rPr>
            </w:pPr>
          </w:p>
        </w:tc>
        <w:tc>
          <w:tcPr>
            <w:tcW w:w="2747" w:type="dxa"/>
            <w:tcBorders>
              <w:top w:val="single" w:sz="4" w:space="0" w:color="auto"/>
              <w:left w:val="nil"/>
              <w:bottom w:val="single" w:sz="4" w:space="0" w:color="auto"/>
              <w:right w:val="single" w:sz="4" w:space="0" w:color="auto"/>
            </w:tcBorders>
          </w:tcPr>
          <w:p w:rsidR="00203FD1" w:rsidRPr="00574A2A" w:rsidRDefault="00203FD1" w:rsidP="00F5541A">
            <w:pPr>
              <w:jc w:val="both"/>
              <w:rPr>
                <w:rFonts w:cs="Arial"/>
                <w:b/>
                <w:szCs w:val="22"/>
              </w:rPr>
            </w:pPr>
            <w:r w:rsidRPr="00574A2A">
              <w:rPr>
                <w:rFonts w:cs="Arial"/>
                <w:b/>
                <w:sz w:val="22"/>
                <w:szCs w:val="22"/>
              </w:rPr>
              <w:t>Revision Effective Date:</w:t>
            </w:r>
          </w:p>
          <w:p w:rsidR="00203FD1" w:rsidRPr="00B22EE6" w:rsidRDefault="00B22EE6" w:rsidP="00F5541A">
            <w:pPr>
              <w:jc w:val="both"/>
              <w:rPr>
                <w:rFonts w:cs="Arial"/>
                <w:szCs w:val="22"/>
              </w:rPr>
            </w:pPr>
            <w:r w:rsidRPr="00B22EE6">
              <w:rPr>
                <w:rFonts w:cs="Arial"/>
                <w:szCs w:val="22"/>
              </w:rPr>
              <w:t>12/15/13</w:t>
            </w:r>
          </w:p>
        </w:tc>
        <w:tc>
          <w:tcPr>
            <w:tcW w:w="2251" w:type="dxa"/>
            <w:tcBorders>
              <w:top w:val="single" w:sz="4" w:space="0" w:color="auto"/>
              <w:left w:val="nil"/>
              <w:bottom w:val="single" w:sz="4" w:space="0" w:color="auto"/>
            </w:tcBorders>
          </w:tcPr>
          <w:p w:rsidR="00203FD1" w:rsidRDefault="00203FD1" w:rsidP="00F5541A">
            <w:pPr>
              <w:jc w:val="both"/>
              <w:rPr>
                <w:rFonts w:cs="Arial"/>
                <w:b/>
                <w:szCs w:val="22"/>
              </w:rPr>
            </w:pPr>
            <w:r w:rsidRPr="00574A2A">
              <w:rPr>
                <w:rFonts w:cs="Arial"/>
                <w:b/>
                <w:sz w:val="22"/>
                <w:szCs w:val="22"/>
              </w:rPr>
              <w:t xml:space="preserve">Pages: </w:t>
            </w:r>
          </w:p>
          <w:p w:rsidR="00203FD1" w:rsidRPr="00574A2A" w:rsidRDefault="00203FD1" w:rsidP="00F5541A">
            <w:pPr>
              <w:jc w:val="both"/>
              <w:rPr>
                <w:rFonts w:cs="Arial"/>
                <w:b/>
                <w:szCs w:val="22"/>
              </w:rPr>
            </w:pPr>
            <w:r>
              <w:rPr>
                <w:rFonts w:cs="Arial"/>
                <w:b/>
                <w:sz w:val="22"/>
                <w:szCs w:val="22"/>
              </w:rPr>
              <w:t>3</w:t>
            </w:r>
          </w:p>
        </w:tc>
      </w:tr>
      <w:tr w:rsidR="00203FD1" w:rsidRPr="00574A2A" w:rsidTr="00F5541A">
        <w:trPr>
          <w:cantSplit/>
          <w:trHeight w:val="590"/>
          <w:jc w:val="center"/>
        </w:trPr>
        <w:tc>
          <w:tcPr>
            <w:tcW w:w="10173" w:type="dxa"/>
            <w:gridSpan w:val="3"/>
            <w:tcBorders>
              <w:top w:val="nil"/>
              <w:bottom w:val="double" w:sz="4" w:space="0" w:color="auto"/>
            </w:tcBorders>
            <w:vAlign w:val="center"/>
          </w:tcPr>
          <w:p w:rsidR="00203FD1" w:rsidRPr="00A532A1" w:rsidRDefault="00203FD1" w:rsidP="00730CDF">
            <w:pPr>
              <w:rPr>
                <w:rFonts w:cs="Arial"/>
                <w:b/>
                <w:sz w:val="28"/>
                <w:szCs w:val="28"/>
              </w:rPr>
            </w:pPr>
            <w:r w:rsidRPr="00574A2A">
              <w:rPr>
                <w:rFonts w:cs="Arial"/>
                <w:b/>
                <w:sz w:val="22"/>
                <w:szCs w:val="22"/>
              </w:rPr>
              <w:t xml:space="preserve">TITLE:  </w:t>
            </w:r>
            <w:r w:rsidRPr="00A532A1">
              <w:rPr>
                <w:rFonts w:cs="Arial"/>
                <w:b/>
                <w:sz w:val="28"/>
                <w:szCs w:val="28"/>
              </w:rPr>
              <w:t>QSE:  Nonconforming Events</w:t>
            </w:r>
          </w:p>
          <w:p w:rsidR="00203FD1" w:rsidRPr="00F60552" w:rsidRDefault="00203FD1" w:rsidP="00730CDF">
            <w:pPr>
              <w:rPr>
                <w:rFonts w:cs="Arial"/>
                <w:b/>
                <w:szCs w:val="24"/>
              </w:rPr>
            </w:pPr>
            <w:r w:rsidRPr="00A532A1">
              <w:rPr>
                <w:rFonts w:cs="Arial"/>
                <w:b/>
                <w:sz w:val="28"/>
                <w:szCs w:val="28"/>
              </w:rPr>
              <w:t xml:space="preserve">            Quality Policy:  Management of Nonconforming events</w:t>
            </w:r>
          </w:p>
        </w:tc>
      </w:tr>
    </w:tbl>
    <w:p w:rsidR="00203FD1" w:rsidRDefault="00203FD1"/>
    <w:p w:rsidR="00203FD1" w:rsidRPr="006E517E" w:rsidRDefault="00203FD1" w:rsidP="00574A2A">
      <w:pPr>
        <w:rPr>
          <w:b/>
          <w:sz w:val="22"/>
          <w:szCs w:val="22"/>
        </w:rPr>
      </w:pPr>
      <w:r w:rsidRPr="006E517E">
        <w:rPr>
          <w:b/>
          <w:sz w:val="22"/>
          <w:szCs w:val="22"/>
        </w:rPr>
        <w:t>Policy</w:t>
      </w:r>
      <w:r>
        <w:rPr>
          <w:b/>
          <w:sz w:val="22"/>
          <w:szCs w:val="22"/>
        </w:rPr>
        <w:t>:</w:t>
      </w:r>
    </w:p>
    <w:p w:rsidR="00203FD1" w:rsidRPr="00F60552" w:rsidRDefault="00203FD1" w:rsidP="00574A2A">
      <w:pPr>
        <w:rPr>
          <w:sz w:val="22"/>
          <w:szCs w:val="22"/>
        </w:rPr>
      </w:pPr>
    </w:p>
    <w:p w:rsidR="00203FD1" w:rsidRDefault="00203FD1" w:rsidP="004360E8">
      <w:pPr>
        <w:rPr>
          <w:sz w:val="22"/>
          <w:szCs w:val="22"/>
        </w:rPr>
      </w:pPr>
      <w:r w:rsidRPr="00F60552">
        <w:rPr>
          <w:sz w:val="22"/>
          <w:szCs w:val="22"/>
        </w:rPr>
        <w:t>The Harborview Medical Center Transfusion Ser</w:t>
      </w:r>
      <w:r>
        <w:rPr>
          <w:sz w:val="22"/>
          <w:szCs w:val="22"/>
        </w:rPr>
        <w:t>vice maintains processes and procedures that ensure the capture, assessment, investigation, and monitoring of deviations from or failures to meet specified requirements, nonconforming events, and adverse reactions to transfusion.  The TSL tracks these events and deviations internally, and reports deviations to outside agencies as required.</w:t>
      </w:r>
    </w:p>
    <w:p w:rsidR="00203FD1" w:rsidRDefault="00203FD1" w:rsidP="004360E8">
      <w:pPr>
        <w:rPr>
          <w:sz w:val="22"/>
          <w:szCs w:val="22"/>
        </w:rPr>
      </w:pPr>
    </w:p>
    <w:p w:rsidR="00203FD1" w:rsidRDefault="00203FD1" w:rsidP="004360E8">
      <w:pPr>
        <w:rPr>
          <w:b/>
          <w:sz w:val="22"/>
          <w:szCs w:val="22"/>
        </w:rPr>
      </w:pPr>
      <w:r w:rsidRPr="006E517E">
        <w:rPr>
          <w:b/>
          <w:sz w:val="22"/>
          <w:szCs w:val="22"/>
        </w:rPr>
        <w:t>Purpose</w:t>
      </w:r>
      <w:r>
        <w:rPr>
          <w:b/>
          <w:sz w:val="22"/>
          <w:szCs w:val="22"/>
        </w:rPr>
        <w:t>:</w:t>
      </w:r>
    </w:p>
    <w:p w:rsidR="00203FD1" w:rsidRDefault="00203FD1" w:rsidP="004360E8">
      <w:pPr>
        <w:rPr>
          <w:b/>
          <w:sz w:val="22"/>
          <w:szCs w:val="22"/>
        </w:rPr>
      </w:pPr>
    </w:p>
    <w:p w:rsidR="00203FD1" w:rsidRPr="006E517E" w:rsidRDefault="00203FD1" w:rsidP="004360E8">
      <w:pPr>
        <w:rPr>
          <w:sz w:val="22"/>
          <w:szCs w:val="22"/>
        </w:rPr>
      </w:pPr>
      <w:r>
        <w:rPr>
          <w:sz w:val="22"/>
          <w:szCs w:val="22"/>
        </w:rPr>
        <w:t>To provide guidelines and directions for the processes and procedures to document, investigate, track, analyze, and take corrective action on events, blood, components, tissue, critical materials or services that fail to meet specified requirements.</w:t>
      </w:r>
    </w:p>
    <w:p w:rsidR="00203FD1" w:rsidRDefault="00203FD1" w:rsidP="004360E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
        <w:gridCol w:w="900"/>
        <w:gridCol w:w="5760"/>
        <w:gridCol w:w="2718"/>
      </w:tblGrid>
      <w:tr w:rsidR="00203FD1" w:rsidTr="001027C8">
        <w:trPr>
          <w:trHeight w:val="377"/>
        </w:trPr>
        <w:tc>
          <w:tcPr>
            <w:tcW w:w="1998" w:type="dxa"/>
            <w:gridSpan w:val="2"/>
            <w:vAlign w:val="center"/>
          </w:tcPr>
          <w:p w:rsidR="00203FD1" w:rsidRPr="003C1E7C" w:rsidRDefault="00203FD1" w:rsidP="004360E8">
            <w:pPr>
              <w:rPr>
                <w:b/>
                <w:szCs w:val="22"/>
              </w:rPr>
            </w:pPr>
            <w:r w:rsidRPr="003C1E7C">
              <w:rPr>
                <w:b/>
                <w:sz w:val="22"/>
                <w:szCs w:val="22"/>
              </w:rPr>
              <w:t>Role</w:t>
            </w:r>
          </w:p>
        </w:tc>
        <w:tc>
          <w:tcPr>
            <w:tcW w:w="5760" w:type="dxa"/>
            <w:vAlign w:val="center"/>
          </w:tcPr>
          <w:p w:rsidR="00203FD1" w:rsidRPr="003C1E7C" w:rsidRDefault="00203FD1" w:rsidP="004360E8">
            <w:pPr>
              <w:rPr>
                <w:b/>
                <w:szCs w:val="22"/>
              </w:rPr>
            </w:pPr>
            <w:r w:rsidRPr="003C1E7C">
              <w:rPr>
                <w:b/>
                <w:sz w:val="22"/>
                <w:szCs w:val="22"/>
              </w:rPr>
              <w:t>Responsibilities</w:t>
            </w:r>
          </w:p>
        </w:tc>
        <w:tc>
          <w:tcPr>
            <w:tcW w:w="2718" w:type="dxa"/>
            <w:vAlign w:val="center"/>
          </w:tcPr>
          <w:p w:rsidR="00203FD1" w:rsidRPr="003C1E7C" w:rsidRDefault="00203FD1" w:rsidP="004360E8">
            <w:pPr>
              <w:rPr>
                <w:b/>
                <w:szCs w:val="22"/>
              </w:rPr>
            </w:pPr>
            <w:r w:rsidRPr="003C1E7C">
              <w:rPr>
                <w:b/>
                <w:sz w:val="22"/>
                <w:szCs w:val="22"/>
              </w:rPr>
              <w:t>Related Documents</w:t>
            </w:r>
          </w:p>
        </w:tc>
      </w:tr>
      <w:tr w:rsidR="00203FD1" w:rsidTr="001027C8">
        <w:trPr>
          <w:trHeight w:val="3410"/>
        </w:trPr>
        <w:tc>
          <w:tcPr>
            <w:tcW w:w="1998" w:type="dxa"/>
            <w:gridSpan w:val="2"/>
          </w:tcPr>
          <w:p w:rsidR="00203FD1" w:rsidRPr="003C1E7C" w:rsidRDefault="00203FD1" w:rsidP="004360E8">
            <w:pPr>
              <w:rPr>
                <w:szCs w:val="22"/>
              </w:rPr>
            </w:pPr>
            <w:r w:rsidRPr="003C1E7C">
              <w:rPr>
                <w:sz w:val="22"/>
                <w:szCs w:val="22"/>
              </w:rPr>
              <w:t>Medical Director</w:t>
            </w:r>
          </w:p>
        </w:tc>
        <w:tc>
          <w:tcPr>
            <w:tcW w:w="5760" w:type="dxa"/>
            <w:vAlign w:val="center"/>
          </w:tcPr>
          <w:p w:rsidR="00203FD1" w:rsidRPr="00DB1567" w:rsidRDefault="00203FD1" w:rsidP="003C1E7C">
            <w:pPr>
              <w:numPr>
                <w:ilvl w:val="0"/>
                <w:numId w:val="2"/>
              </w:numPr>
              <w:rPr>
                <w:szCs w:val="22"/>
              </w:rPr>
            </w:pPr>
            <w:r w:rsidRPr="003C1E7C">
              <w:rPr>
                <w:sz w:val="22"/>
                <w:szCs w:val="22"/>
              </w:rPr>
              <w:t>Approve deviations from policy beforehand when possible.</w:t>
            </w:r>
          </w:p>
          <w:p w:rsidR="00DB1567" w:rsidRPr="003C1E7C" w:rsidRDefault="00DB1567" w:rsidP="003C1E7C">
            <w:pPr>
              <w:numPr>
                <w:ilvl w:val="0"/>
                <w:numId w:val="2"/>
              </w:numPr>
              <w:rPr>
                <w:szCs w:val="22"/>
              </w:rPr>
            </w:pPr>
            <w:r w:rsidRPr="00DB1567">
              <w:rPr>
                <w:sz w:val="22"/>
                <w:szCs w:val="22"/>
                <w:highlight w:val="yellow"/>
              </w:rPr>
              <w:t>Verbal approvals for deviations will be documented at the first opportunity.  May be retrospective</w:t>
            </w:r>
            <w:r>
              <w:rPr>
                <w:sz w:val="22"/>
                <w:szCs w:val="22"/>
              </w:rPr>
              <w:t>.</w:t>
            </w:r>
          </w:p>
          <w:p w:rsidR="00203FD1" w:rsidRPr="003C1E7C" w:rsidRDefault="00203FD1" w:rsidP="003C1E7C">
            <w:pPr>
              <w:numPr>
                <w:ilvl w:val="0"/>
                <w:numId w:val="2"/>
              </w:numPr>
              <w:rPr>
                <w:szCs w:val="22"/>
              </w:rPr>
            </w:pPr>
            <w:r w:rsidRPr="003C1E7C">
              <w:rPr>
                <w:sz w:val="22"/>
                <w:szCs w:val="22"/>
              </w:rPr>
              <w:t>Approve any release of nonconforming products</w:t>
            </w:r>
          </w:p>
          <w:p w:rsidR="00203FD1" w:rsidRPr="003C1E7C" w:rsidRDefault="00203FD1" w:rsidP="003C1E7C">
            <w:pPr>
              <w:numPr>
                <w:ilvl w:val="0"/>
                <w:numId w:val="2"/>
              </w:numPr>
              <w:rPr>
                <w:szCs w:val="22"/>
              </w:rPr>
            </w:pPr>
            <w:r w:rsidRPr="003C1E7C">
              <w:rPr>
                <w:sz w:val="22"/>
                <w:szCs w:val="22"/>
              </w:rPr>
              <w:t>Evaluates, Consult and advises on medical management of Immediate Transfusion-related adverse events.</w:t>
            </w:r>
          </w:p>
          <w:p w:rsidR="00203FD1" w:rsidRPr="003C1E7C" w:rsidRDefault="00203FD1" w:rsidP="003C1E7C">
            <w:pPr>
              <w:numPr>
                <w:ilvl w:val="0"/>
                <w:numId w:val="2"/>
              </w:numPr>
              <w:rPr>
                <w:szCs w:val="22"/>
              </w:rPr>
            </w:pPr>
            <w:r w:rsidRPr="003C1E7C">
              <w:rPr>
                <w:sz w:val="22"/>
                <w:szCs w:val="22"/>
              </w:rPr>
              <w:t>Review and write pathology consultations on all Adverse Reactions to Transfusion both immediate and delayed.</w:t>
            </w:r>
          </w:p>
          <w:p w:rsidR="00203FD1" w:rsidRPr="003C1E7C" w:rsidRDefault="00203FD1" w:rsidP="003C1E7C">
            <w:pPr>
              <w:numPr>
                <w:ilvl w:val="0"/>
                <w:numId w:val="2"/>
              </w:numPr>
              <w:rPr>
                <w:szCs w:val="22"/>
              </w:rPr>
            </w:pPr>
            <w:r w:rsidRPr="003C1E7C">
              <w:rPr>
                <w:sz w:val="22"/>
                <w:szCs w:val="22"/>
              </w:rPr>
              <w:t>Advises and notifies recipient’s physician and/or recipient as specified by the FDA for Look-Back process.</w:t>
            </w:r>
          </w:p>
        </w:tc>
        <w:tc>
          <w:tcPr>
            <w:tcW w:w="2718" w:type="dxa"/>
          </w:tcPr>
          <w:p w:rsidR="00203FD1" w:rsidRPr="00DB1567" w:rsidRDefault="003E71AA" w:rsidP="004360E8">
            <w:pPr>
              <w:pStyle w:val="ListParagraph"/>
              <w:numPr>
                <w:ilvl w:val="0"/>
                <w:numId w:val="2"/>
              </w:numPr>
              <w:rPr>
                <w:szCs w:val="22"/>
              </w:rPr>
            </w:pPr>
            <w:r w:rsidRPr="00DB1567">
              <w:rPr>
                <w:sz w:val="22"/>
                <w:szCs w:val="22"/>
              </w:rPr>
              <w:t xml:space="preserve">Variance </w:t>
            </w:r>
            <w:r w:rsidR="00203FD1" w:rsidRPr="00DB1567">
              <w:rPr>
                <w:sz w:val="22"/>
                <w:szCs w:val="22"/>
              </w:rPr>
              <w:t>Approval Form</w:t>
            </w:r>
          </w:p>
          <w:p w:rsidR="00203FD1" w:rsidRPr="007F7E96" w:rsidRDefault="00203FD1" w:rsidP="007F7E96">
            <w:pPr>
              <w:pStyle w:val="ListParagraph"/>
              <w:numPr>
                <w:ilvl w:val="0"/>
                <w:numId w:val="2"/>
              </w:numPr>
              <w:rPr>
                <w:szCs w:val="22"/>
              </w:rPr>
            </w:pPr>
            <w:r w:rsidRPr="007F7E96">
              <w:rPr>
                <w:sz w:val="22"/>
                <w:szCs w:val="22"/>
              </w:rPr>
              <w:t>Look-Back Process</w:t>
            </w:r>
          </w:p>
          <w:p w:rsidR="00203FD1" w:rsidRPr="007F7E96" w:rsidRDefault="00203FD1" w:rsidP="007F7E96">
            <w:pPr>
              <w:pStyle w:val="ListParagraph"/>
              <w:numPr>
                <w:ilvl w:val="0"/>
                <w:numId w:val="2"/>
              </w:numPr>
              <w:rPr>
                <w:szCs w:val="22"/>
              </w:rPr>
            </w:pPr>
            <w:r w:rsidRPr="007F7E96">
              <w:rPr>
                <w:sz w:val="22"/>
                <w:szCs w:val="22"/>
              </w:rPr>
              <w:t>Suspected Transfusion Reaction Process</w:t>
            </w:r>
          </w:p>
        </w:tc>
      </w:tr>
      <w:tr w:rsidR="00203FD1" w:rsidTr="001027C8">
        <w:trPr>
          <w:trHeight w:val="2033"/>
        </w:trPr>
        <w:tc>
          <w:tcPr>
            <w:tcW w:w="1998" w:type="dxa"/>
            <w:gridSpan w:val="2"/>
          </w:tcPr>
          <w:p w:rsidR="00203FD1" w:rsidRPr="003C1E7C" w:rsidRDefault="00203FD1" w:rsidP="004360E8">
            <w:pPr>
              <w:rPr>
                <w:szCs w:val="22"/>
              </w:rPr>
            </w:pPr>
            <w:r w:rsidRPr="003C1E7C">
              <w:rPr>
                <w:sz w:val="22"/>
                <w:szCs w:val="22"/>
              </w:rPr>
              <w:t>Manager</w:t>
            </w:r>
          </w:p>
        </w:tc>
        <w:tc>
          <w:tcPr>
            <w:tcW w:w="5760" w:type="dxa"/>
            <w:vAlign w:val="center"/>
          </w:tcPr>
          <w:p w:rsidR="00203FD1" w:rsidRPr="003C1E7C" w:rsidRDefault="00203FD1" w:rsidP="003C1E7C">
            <w:pPr>
              <w:numPr>
                <w:ilvl w:val="0"/>
                <w:numId w:val="3"/>
              </w:numPr>
              <w:rPr>
                <w:szCs w:val="22"/>
              </w:rPr>
            </w:pPr>
            <w:r w:rsidRPr="003C1E7C">
              <w:rPr>
                <w:sz w:val="22"/>
                <w:szCs w:val="22"/>
              </w:rPr>
              <w:t>Maintains processes and procedures for capturing, assessing, investigating and monitoring deviations..</w:t>
            </w:r>
          </w:p>
          <w:p w:rsidR="00203FD1" w:rsidRPr="003C1E7C" w:rsidRDefault="00203FD1" w:rsidP="003C1E7C">
            <w:pPr>
              <w:numPr>
                <w:ilvl w:val="0"/>
                <w:numId w:val="3"/>
              </w:numPr>
              <w:rPr>
                <w:szCs w:val="22"/>
              </w:rPr>
            </w:pPr>
            <w:r w:rsidRPr="003C1E7C">
              <w:rPr>
                <w:sz w:val="22"/>
                <w:szCs w:val="22"/>
              </w:rPr>
              <w:t>Monitors occurrences, categorizing and reporting as required.</w:t>
            </w:r>
          </w:p>
          <w:p w:rsidR="00203FD1" w:rsidRPr="003C1E7C" w:rsidRDefault="00203FD1" w:rsidP="003C1E7C">
            <w:pPr>
              <w:numPr>
                <w:ilvl w:val="0"/>
                <w:numId w:val="3"/>
              </w:numPr>
              <w:rPr>
                <w:szCs w:val="22"/>
              </w:rPr>
            </w:pPr>
            <w:r w:rsidRPr="003C1E7C">
              <w:rPr>
                <w:sz w:val="22"/>
                <w:szCs w:val="22"/>
              </w:rPr>
              <w:t>Reviews Laboratory results for Transfusion-related adverse events.</w:t>
            </w:r>
          </w:p>
          <w:p w:rsidR="00203FD1" w:rsidRPr="003C1E7C" w:rsidRDefault="00203FD1" w:rsidP="001027C8">
            <w:pPr>
              <w:numPr>
                <w:ilvl w:val="0"/>
                <w:numId w:val="3"/>
              </w:numPr>
              <w:rPr>
                <w:szCs w:val="22"/>
              </w:rPr>
            </w:pPr>
            <w:r w:rsidRPr="003C1E7C">
              <w:rPr>
                <w:sz w:val="22"/>
                <w:szCs w:val="22"/>
              </w:rPr>
              <w:t>Maintains corrective action processes.</w:t>
            </w:r>
          </w:p>
        </w:tc>
        <w:tc>
          <w:tcPr>
            <w:tcW w:w="2718" w:type="dxa"/>
          </w:tcPr>
          <w:p w:rsidR="00203FD1" w:rsidRPr="007F7E96" w:rsidRDefault="00203FD1" w:rsidP="007F7E96">
            <w:pPr>
              <w:pStyle w:val="ListParagraph"/>
              <w:numPr>
                <w:ilvl w:val="0"/>
                <w:numId w:val="3"/>
              </w:numPr>
              <w:rPr>
                <w:szCs w:val="22"/>
              </w:rPr>
            </w:pPr>
            <w:r w:rsidRPr="007F7E96">
              <w:rPr>
                <w:sz w:val="22"/>
                <w:szCs w:val="22"/>
              </w:rPr>
              <w:t>Occurrence Management Policy</w:t>
            </w:r>
          </w:p>
        </w:tc>
      </w:tr>
      <w:tr w:rsidR="00203FD1" w:rsidTr="001027C8">
        <w:trPr>
          <w:trHeight w:val="935"/>
        </w:trPr>
        <w:tc>
          <w:tcPr>
            <w:tcW w:w="1998" w:type="dxa"/>
            <w:gridSpan w:val="2"/>
          </w:tcPr>
          <w:p w:rsidR="00203FD1" w:rsidRPr="003C1E7C" w:rsidRDefault="00203FD1" w:rsidP="004360E8">
            <w:pPr>
              <w:rPr>
                <w:szCs w:val="22"/>
              </w:rPr>
            </w:pPr>
            <w:r w:rsidRPr="003C1E7C">
              <w:rPr>
                <w:sz w:val="22"/>
                <w:szCs w:val="22"/>
              </w:rPr>
              <w:t>Staff</w:t>
            </w:r>
          </w:p>
        </w:tc>
        <w:tc>
          <w:tcPr>
            <w:tcW w:w="5760" w:type="dxa"/>
            <w:vAlign w:val="center"/>
          </w:tcPr>
          <w:p w:rsidR="00203FD1" w:rsidRPr="003C1E7C" w:rsidRDefault="00203FD1" w:rsidP="003C1E7C">
            <w:pPr>
              <w:numPr>
                <w:ilvl w:val="0"/>
                <w:numId w:val="4"/>
              </w:numPr>
              <w:rPr>
                <w:szCs w:val="22"/>
              </w:rPr>
            </w:pPr>
            <w:r w:rsidRPr="003C1E7C">
              <w:rPr>
                <w:sz w:val="22"/>
                <w:szCs w:val="22"/>
              </w:rPr>
              <w:t>Identifies and reports any deviations.</w:t>
            </w:r>
          </w:p>
          <w:p w:rsidR="00203FD1" w:rsidRPr="00C34EFD" w:rsidRDefault="00203FD1" w:rsidP="003C1E7C">
            <w:pPr>
              <w:numPr>
                <w:ilvl w:val="0"/>
                <w:numId w:val="4"/>
              </w:numPr>
              <w:rPr>
                <w:szCs w:val="22"/>
              </w:rPr>
            </w:pPr>
            <w:r w:rsidRPr="003C1E7C">
              <w:rPr>
                <w:sz w:val="22"/>
                <w:szCs w:val="22"/>
              </w:rPr>
              <w:t>Documents and takes remedial action on identified deviations.</w:t>
            </w:r>
          </w:p>
          <w:p w:rsidR="00C34EFD" w:rsidRPr="003C1E7C" w:rsidRDefault="00C34EFD" w:rsidP="00C34EFD">
            <w:pPr>
              <w:ind w:left="360"/>
              <w:rPr>
                <w:szCs w:val="22"/>
              </w:rPr>
            </w:pPr>
          </w:p>
        </w:tc>
        <w:tc>
          <w:tcPr>
            <w:tcW w:w="2718" w:type="dxa"/>
          </w:tcPr>
          <w:p w:rsidR="00203FD1" w:rsidRPr="007F7E96" w:rsidRDefault="00203FD1" w:rsidP="007F7E96">
            <w:pPr>
              <w:pStyle w:val="ListParagraph"/>
              <w:numPr>
                <w:ilvl w:val="0"/>
                <w:numId w:val="4"/>
              </w:numPr>
              <w:rPr>
                <w:szCs w:val="22"/>
              </w:rPr>
            </w:pPr>
            <w:r w:rsidRPr="007F7E96">
              <w:rPr>
                <w:sz w:val="22"/>
                <w:szCs w:val="22"/>
              </w:rPr>
              <w:lastRenderedPageBreak/>
              <w:t>QIM form</w:t>
            </w:r>
          </w:p>
        </w:tc>
      </w:tr>
      <w:tr w:rsidR="00203FD1" w:rsidTr="00C34EFD">
        <w:trPr>
          <w:trHeight w:val="332"/>
        </w:trPr>
        <w:tc>
          <w:tcPr>
            <w:tcW w:w="1098" w:type="dxa"/>
            <w:vAlign w:val="center"/>
          </w:tcPr>
          <w:p w:rsidR="00203FD1" w:rsidRPr="003C1E7C" w:rsidRDefault="00203FD1" w:rsidP="003C1E7C">
            <w:pPr>
              <w:tabs>
                <w:tab w:val="left" w:pos="930"/>
              </w:tabs>
              <w:rPr>
                <w:rFonts w:cs="Arial"/>
                <w:b/>
                <w:szCs w:val="22"/>
              </w:rPr>
            </w:pPr>
            <w:r w:rsidRPr="003C1E7C">
              <w:rPr>
                <w:rFonts w:cs="Arial"/>
                <w:b/>
                <w:sz w:val="22"/>
                <w:szCs w:val="22"/>
              </w:rPr>
              <w:lastRenderedPageBreak/>
              <w:t>Step</w:t>
            </w:r>
          </w:p>
        </w:tc>
        <w:tc>
          <w:tcPr>
            <w:tcW w:w="6660" w:type="dxa"/>
            <w:gridSpan w:val="2"/>
            <w:vAlign w:val="center"/>
          </w:tcPr>
          <w:p w:rsidR="00203FD1" w:rsidRPr="003C1E7C" w:rsidRDefault="00203FD1" w:rsidP="003C1E7C">
            <w:pPr>
              <w:tabs>
                <w:tab w:val="left" w:pos="930"/>
              </w:tabs>
              <w:rPr>
                <w:rFonts w:cs="Arial"/>
                <w:b/>
                <w:szCs w:val="22"/>
              </w:rPr>
            </w:pPr>
            <w:r w:rsidRPr="003C1E7C">
              <w:rPr>
                <w:rFonts w:cs="Arial"/>
                <w:b/>
                <w:sz w:val="22"/>
                <w:szCs w:val="22"/>
              </w:rPr>
              <w:t>Action</w:t>
            </w:r>
          </w:p>
        </w:tc>
        <w:tc>
          <w:tcPr>
            <w:tcW w:w="2718" w:type="dxa"/>
            <w:vAlign w:val="center"/>
          </w:tcPr>
          <w:p w:rsidR="00203FD1" w:rsidRPr="003C1E7C" w:rsidRDefault="00203FD1" w:rsidP="003C1E7C">
            <w:pPr>
              <w:tabs>
                <w:tab w:val="left" w:pos="930"/>
              </w:tabs>
              <w:rPr>
                <w:rFonts w:cs="Arial"/>
                <w:b/>
                <w:szCs w:val="22"/>
              </w:rPr>
            </w:pPr>
            <w:r w:rsidRPr="003C1E7C">
              <w:rPr>
                <w:rFonts w:cs="Arial"/>
                <w:b/>
                <w:sz w:val="22"/>
                <w:szCs w:val="22"/>
              </w:rPr>
              <w:t>Related Documents</w:t>
            </w:r>
          </w:p>
        </w:tc>
      </w:tr>
      <w:tr w:rsidR="00203FD1" w:rsidTr="001027C8">
        <w:trPr>
          <w:trHeight w:val="350"/>
        </w:trPr>
        <w:tc>
          <w:tcPr>
            <w:tcW w:w="10476" w:type="dxa"/>
            <w:gridSpan w:val="4"/>
            <w:vAlign w:val="center"/>
          </w:tcPr>
          <w:p w:rsidR="00203FD1" w:rsidRPr="003C1E7C" w:rsidRDefault="00203FD1" w:rsidP="003C1E7C">
            <w:pPr>
              <w:tabs>
                <w:tab w:val="left" w:pos="930"/>
              </w:tabs>
              <w:rPr>
                <w:rFonts w:cs="Arial"/>
                <w:b/>
                <w:szCs w:val="22"/>
              </w:rPr>
            </w:pPr>
            <w:r w:rsidRPr="003C1E7C">
              <w:rPr>
                <w:rFonts w:cs="Arial"/>
                <w:b/>
                <w:sz w:val="22"/>
                <w:szCs w:val="22"/>
              </w:rPr>
              <w:t>Deviations</w:t>
            </w:r>
          </w:p>
        </w:tc>
      </w:tr>
      <w:tr w:rsidR="00203FD1" w:rsidTr="003C1E7C">
        <w:tc>
          <w:tcPr>
            <w:tcW w:w="1098" w:type="dxa"/>
          </w:tcPr>
          <w:p w:rsidR="00203FD1" w:rsidRPr="001027C8" w:rsidRDefault="00203FD1" w:rsidP="003C1E7C">
            <w:pPr>
              <w:tabs>
                <w:tab w:val="left" w:pos="930"/>
              </w:tabs>
              <w:rPr>
                <w:rFonts w:cs="Arial"/>
                <w:b/>
                <w:szCs w:val="22"/>
              </w:rPr>
            </w:pPr>
            <w:r w:rsidRPr="001027C8">
              <w:rPr>
                <w:rFonts w:cs="Arial"/>
                <w:b/>
                <w:sz w:val="22"/>
                <w:szCs w:val="22"/>
              </w:rPr>
              <w:t>1.</w:t>
            </w:r>
          </w:p>
        </w:tc>
        <w:tc>
          <w:tcPr>
            <w:tcW w:w="6660" w:type="dxa"/>
            <w:gridSpan w:val="2"/>
          </w:tcPr>
          <w:p w:rsidR="00203FD1" w:rsidRPr="003C1E7C" w:rsidRDefault="00203FD1" w:rsidP="001027C8">
            <w:pPr>
              <w:numPr>
                <w:ilvl w:val="0"/>
                <w:numId w:val="19"/>
              </w:numPr>
              <w:tabs>
                <w:tab w:val="left" w:pos="930"/>
              </w:tabs>
              <w:rPr>
                <w:rFonts w:cs="Arial"/>
                <w:szCs w:val="22"/>
              </w:rPr>
            </w:pPr>
            <w:r w:rsidRPr="003C1E7C">
              <w:rPr>
                <w:rFonts w:cs="Arial"/>
                <w:sz w:val="22"/>
                <w:szCs w:val="22"/>
              </w:rPr>
              <w:t>Planned Deviation</w:t>
            </w:r>
          </w:p>
          <w:p w:rsidR="00203FD1" w:rsidRPr="003C1E7C" w:rsidRDefault="00203FD1" w:rsidP="003C1E7C">
            <w:pPr>
              <w:pStyle w:val="ListParagraph"/>
              <w:numPr>
                <w:ilvl w:val="0"/>
                <w:numId w:val="6"/>
              </w:numPr>
              <w:tabs>
                <w:tab w:val="left" w:pos="930"/>
              </w:tabs>
              <w:rPr>
                <w:rFonts w:cs="Arial"/>
                <w:szCs w:val="22"/>
              </w:rPr>
            </w:pPr>
            <w:r w:rsidRPr="003C1E7C">
              <w:rPr>
                <w:rFonts w:cs="Arial"/>
                <w:sz w:val="22"/>
                <w:szCs w:val="22"/>
              </w:rPr>
              <w:t>Approved by Medical Director prior to event.</w:t>
            </w:r>
          </w:p>
          <w:p w:rsidR="00203FD1" w:rsidRPr="003C1E7C" w:rsidRDefault="00203FD1" w:rsidP="003C1E7C">
            <w:pPr>
              <w:pStyle w:val="ListParagraph"/>
              <w:numPr>
                <w:ilvl w:val="0"/>
                <w:numId w:val="6"/>
              </w:numPr>
              <w:tabs>
                <w:tab w:val="left" w:pos="930"/>
              </w:tabs>
              <w:rPr>
                <w:rFonts w:cs="Arial"/>
                <w:szCs w:val="22"/>
              </w:rPr>
            </w:pPr>
            <w:r w:rsidRPr="003C1E7C">
              <w:rPr>
                <w:rFonts w:cs="Arial"/>
                <w:sz w:val="22"/>
                <w:szCs w:val="22"/>
              </w:rPr>
              <w:t>Documented on Deviation Approval Form</w:t>
            </w:r>
          </w:p>
          <w:p w:rsidR="00203FD1" w:rsidRPr="003C1E7C" w:rsidRDefault="00203FD1" w:rsidP="001027C8">
            <w:pPr>
              <w:pStyle w:val="ListParagraph"/>
              <w:numPr>
                <w:ilvl w:val="1"/>
                <w:numId w:val="6"/>
              </w:numPr>
              <w:tabs>
                <w:tab w:val="left" w:pos="930"/>
              </w:tabs>
              <w:rPr>
                <w:rFonts w:cs="Arial"/>
                <w:szCs w:val="22"/>
              </w:rPr>
            </w:pPr>
            <w:r w:rsidRPr="003C1E7C">
              <w:rPr>
                <w:rFonts w:cs="Arial"/>
                <w:sz w:val="22"/>
                <w:szCs w:val="22"/>
              </w:rPr>
              <w:t>Unplanned Deviation</w:t>
            </w:r>
          </w:p>
          <w:p w:rsidR="00203FD1" w:rsidRPr="003C1E7C" w:rsidRDefault="00203FD1" w:rsidP="003C1E7C">
            <w:pPr>
              <w:pStyle w:val="ListParagraph"/>
              <w:numPr>
                <w:ilvl w:val="0"/>
                <w:numId w:val="7"/>
              </w:numPr>
              <w:tabs>
                <w:tab w:val="left" w:pos="930"/>
              </w:tabs>
              <w:rPr>
                <w:rFonts w:cs="Arial"/>
                <w:szCs w:val="22"/>
              </w:rPr>
            </w:pPr>
            <w:r w:rsidRPr="003C1E7C">
              <w:rPr>
                <w:rFonts w:cs="Arial"/>
                <w:sz w:val="22"/>
                <w:szCs w:val="22"/>
              </w:rPr>
              <w:t>Reported through Occurrence Management Process</w:t>
            </w:r>
          </w:p>
          <w:p w:rsidR="00203FD1" w:rsidRDefault="00203FD1" w:rsidP="003C1E7C">
            <w:pPr>
              <w:pStyle w:val="ListParagraph"/>
              <w:numPr>
                <w:ilvl w:val="0"/>
                <w:numId w:val="7"/>
              </w:numPr>
              <w:tabs>
                <w:tab w:val="left" w:pos="930"/>
              </w:tabs>
              <w:rPr>
                <w:rFonts w:cs="Arial"/>
                <w:szCs w:val="22"/>
              </w:rPr>
            </w:pPr>
            <w:r w:rsidRPr="003C1E7C">
              <w:rPr>
                <w:rFonts w:cs="Arial"/>
                <w:sz w:val="22"/>
                <w:szCs w:val="22"/>
              </w:rPr>
              <w:t>Assessed for patient safety by Manager and Medical</w:t>
            </w:r>
            <w:r>
              <w:rPr>
                <w:rFonts w:cs="Arial"/>
                <w:sz w:val="22"/>
                <w:szCs w:val="22"/>
              </w:rPr>
              <w:t xml:space="preserve"> </w:t>
            </w:r>
          </w:p>
          <w:p w:rsidR="00203FD1" w:rsidRPr="003C1E7C" w:rsidRDefault="00203FD1" w:rsidP="001027C8">
            <w:pPr>
              <w:pStyle w:val="ListParagraph"/>
              <w:tabs>
                <w:tab w:val="left" w:pos="930"/>
              </w:tabs>
              <w:ind w:left="360"/>
              <w:rPr>
                <w:rFonts w:cs="Arial"/>
                <w:szCs w:val="22"/>
              </w:rPr>
            </w:pPr>
            <w:r>
              <w:rPr>
                <w:rFonts w:cs="Arial"/>
                <w:sz w:val="22"/>
                <w:szCs w:val="22"/>
              </w:rPr>
              <w:t xml:space="preserve">         </w:t>
            </w:r>
            <w:r w:rsidRPr="003C1E7C">
              <w:rPr>
                <w:rFonts w:cs="Arial"/>
                <w:sz w:val="22"/>
                <w:szCs w:val="22"/>
              </w:rPr>
              <w:t>Director.</w:t>
            </w:r>
          </w:p>
          <w:p w:rsidR="00203FD1" w:rsidRPr="003C1E7C" w:rsidRDefault="00203FD1" w:rsidP="003C1E7C">
            <w:pPr>
              <w:pStyle w:val="ListParagraph"/>
              <w:numPr>
                <w:ilvl w:val="0"/>
                <w:numId w:val="7"/>
              </w:numPr>
              <w:tabs>
                <w:tab w:val="left" w:pos="930"/>
              </w:tabs>
              <w:rPr>
                <w:rFonts w:cs="Arial"/>
                <w:szCs w:val="22"/>
              </w:rPr>
            </w:pPr>
            <w:r w:rsidRPr="003C1E7C">
              <w:rPr>
                <w:rFonts w:cs="Arial"/>
                <w:sz w:val="22"/>
                <w:szCs w:val="22"/>
              </w:rPr>
              <w:t>Reported to FDA if required.</w:t>
            </w:r>
          </w:p>
          <w:p w:rsidR="00203FD1" w:rsidRPr="003C1E7C" w:rsidRDefault="00203FD1" w:rsidP="003C1E7C">
            <w:pPr>
              <w:pStyle w:val="ListParagraph"/>
              <w:tabs>
                <w:tab w:val="left" w:pos="930"/>
              </w:tabs>
              <w:ind w:left="360"/>
              <w:rPr>
                <w:rFonts w:cs="Arial"/>
                <w:szCs w:val="22"/>
              </w:rPr>
            </w:pPr>
          </w:p>
        </w:tc>
        <w:tc>
          <w:tcPr>
            <w:tcW w:w="2718" w:type="dxa"/>
          </w:tcPr>
          <w:p w:rsidR="00203FD1" w:rsidRPr="007F7E96" w:rsidRDefault="00203FD1" w:rsidP="007F7E96">
            <w:pPr>
              <w:pStyle w:val="ListParagraph"/>
              <w:numPr>
                <w:ilvl w:val="0"/>
                <w:numId w:val="30"/>
              </w:numPr>
              <w:tabs>
                <w:tab w:val="left" w:pos="930"/>
              </w:tabs>
              <w:rPr>
                <w:rFonts w:cs="Arial"/>
                <w:szCs w:val="22"/>
              </w:rPr>
            </w:pPr>
            <w:r w:rsidRPr="007F7E96">
              <w:rPr>
                <w:rFonts w:cs="Arial"/>
                <w:sz w:val="22"/>
                <w:szCs w:val="22"/>
              </w:rPr>
              <w:t>Deviation Approval Form</w:t>
            </w:r>
          </w:p>
          <w:p w:rsidR="00203FD1" w:rsidRPr="007F7E96" w:rsidRDefault="00203FD1" w:rsidP="007F7E96">
            <w:pPr>
              <w:pStyle w:val="ListParagraph"/>
              <w:numPr>
                <w:ilvl w:val="0"/>
                <w:numId w:val="30"/>
              </w:numPr>
              <w:tabs>
                <w:tab w:val="left" w:pos="930"/>
              </w:tabs>
              <w:rPr>
                <w:rFonts w:cs="Arial"/>
                <w:szCs w:val="22"/>
              </w:rPr>
            </w:pPr>
            <w:r w:rsidRPr="007F7E96">
              <w:rPr>
                <w:rFonts w:cs="Arial"/>
                <w:sz w:val="22"/>
                <w:szCs w:val="22"/>
              </w:rPr>
              <w:t>FDA-CBER Incident Reporting</w:t>
            </w:r>
          </w:p>
        </w:tc>
      </w:tr>
      <w:tr w:rsidR="00203FD1" w:rsidTr="001027C8">
        <w:trPr>
          <w:trHeight w:val="1448"/>
        </w:trPr>
        <w:tc>
          <w:tcPr>
            <w:tcW w:w="1098" w:type="dxa"/>
          </w:tcPr>
          <w:p w:rsidR="00203FD1" w:rsidRPr="001027C8" w:rsidRDefault="00203FD1" w:rsidP="003C1E7C">
            <w:pPr>
              <w:tabs>
                <w:tab w:val="left" w:pos="930"/>
              </w:tabs>
              <w:rPr>
                <w:rFonts w:cs="Arial"/>
                <w:b/>
                <w:szCs w:val="22"/>
              </w:rPr>
            </w:pPr>
            <w:r w:rsidRPr="001027C8">
              <w:rPr>
                <w:rFonts w:cs="Arial"/>
                <w:b/>
                <w:sz w:val="22"/>
                <w:szCs w:val="22"/>
              </w:rPr>
              <w:t>2.</w:t>
            </w:r>
          </w:p>
        </w:tc>
        <w:tc>
          <w:tcPr>
            <w:tcW w:w="6660" w:type="dxa"/>
            <w:gridSpan w:val="2"/>
          </w:tcPr>
          <w:p w:rsidR="00203FD1" w:rsidRPr="003C1E7C" w:rsidRDefault="00203FD1" w:rsidP="001027C8">
            <w:pPr>
              <w:pStyle w:val="ListParagraph"/>
              <w:numPr>
                <w:ilvl w:val="0"/>
                <w:numId w:val="20"/>
              </w:numPr>
              <w:tabs>
                <w:tab w:val="left" w:pos="930"/>
              </w:tabs>
              <w:rPr>
                <w:rFonts w:cs="Arial"/>
                <w:szCs w:val="22"/>
              </w:rPr>
            </w:pPr>
            <w:r w:rsidRPr="003C1E7C">
              <w:rPr>
                <w:rFonts w:cs="Arial"/>
                <w:sz w:val="22"/>
                <w:szCs w:val="22"/>
              </w:rPr>
              <w:t>FDA Reportable Deviations</w:t>
            </w:r>
          </w:p>
          <w:p w:rsidR="00203FD1" w:rsidRPr="003C1E7C" w:rsidRDefault="00203FD1" w:rsidP="003C1E7C">
            <w:pPr>
              <w:pStyle w:val="ListParagraph"/>
              <w:numPr>
                <w:ilvl w:val="0"/>
                <w:numId w:val="8"/>
              </w:numPr>
              <w:tabs>
                <w:tab w:val="left" w:pos="930"/>
              </w:tabs>
              <w:rPr>
                <w:rFonts w:cs="Arial"/>
                <w:szCs w:val="22"/>
              </w:rPr>
            </w:pPr>
            <w:r w:rsidRPr="003C1E7C">
              <w:rPr>
                <w:rFonts w:cs="Arial"/>
                <w:sz w:val="22"/>
                <w:szCs w:val="22"/>
              </w:rPr>
              <w:t>Fatalities reported within 24 hours.</w:t>
            </w:r>
          </w:p>
          <w:p w:rsidR="00203FD1" w:rsidRPr="003C1E7C" w:rsidRDefault="00203FD1" w:rsidP="003C1E7C">
            <w:pPr>
              <w:pStyle w:val="ListParagraph"/>
              <w:numPr>
                <w:ilvl w:val="0"/>
                <w:numId w:val="8"/>
              </w:numPr>
              <w:tabs>
                <w:tab w:val="left" w:pos="930"/>
              </w:tabs>
              <w:rPr>
                <w:rFonts w:cs="Arial"/>
                <w:szCs w:val="22"/>
              </w:rPr>
            </w:pPr>
            <w:r w:rsidRPr="003C1E7C">
              <w:rPr>
                <w:rFonts w:cs="Arial"/>
                <w:sz w:val="22"/>
                <w:szCs w:val="22"/>
              </w:rPr>
              <w:t>Biological Deviations reported within 45 days.</w:t>
            </w:r>
          </w:p>
          <w:p w:rsidR="00203FD1" w:rsidRPr="001027C8" w:rsidRDefault="00203FD1" w:rsidP="001027C8">
            <w:pPr>
              <w:pStyle w:val="ListParagraph"/>
              <w:numPr>
                <w:ilvl w:val="1"/>
                <w:numId w:val="8"/>
              </w:numPr>
              <w:tabs>
                <w:tab w:val="left" w:pos="930"/>
              </w:tabs>
              <w:rPr>
                <w:rFonts w:cs="Arial"/>
                <w:szCs w:val="22"/>
              </w:rPr>
            </w:pPr>
            <w:r w:rsidRPr="001027C8">
              <w:rPr>
                <w:sz w:val="22"/>
                <w:szCs w:val="22"/>
              </w:rPr>
              <w:t>Safety or Environment of Care deviations reported to appropriate agency.</w:t>
            </w:r>
          </w:p>
        </w:tc>
        <w:tc>
          <w:tcPr>
            <w:tcW w:w="2718" w:type="dxa"/>
          </w:tcPr>
          <w:p w:rsidR="00203FD1" w:rsidRPr="007F7E96" w:rsidRDefault="00203FD1" w:rsidP="007F7E96">
            <w:pPr>
              <w:pStyle w:val="ListParagraph"/>
              <w:numPr>
                <w:ilvl w:val="1"/>
                <w:numId w:val="8"/>
              </w:numPr>
              <w:tabs>
                <w:tab w:val="left" w:pos="930"/>
              </w:tabs>
              <w:rPr>
                <w:rFonts w:cs="Arial"/>
                <w:szCs w:val="22"/>
              </w:rPr>
            </w:pPr>
            <w:r w:rsidRPr="007F7E96">
              <w:rPr>
                <w:rFonts w:cs="Arial"/>
                <w:sz w:val="22"/>
                <w:szCs w:val="22"/>
              </w:rPr>
              <w:t>FDA-CBER Incident Reporting</w:t>
            </w:r>
          </w:p>
        </w:tc>
      </w:tr>
      <w:tr w:rsidR="00203FD1" w:rsidTr="001027C8">
        <w:trPr>
          <w:trHeight w:val="422"/>
        </w:trPr>
        <w:tc>
          <w:tcPr>
            <w:tcW w:w="10476" w:type="dxa"/>
            <w:gridSpan w:val="4"/>
            <w:vAlign w:val="center"/>
          </w:tcPr>
          <w:p w:rsidR="00203FD1" w:rsidRPr="003C1E7C" w:rsidRDefault="00203FD1" w:rsidP="003C1E7C">
            <w:pPr>
              <w:tabs>
                <w:tab w:val="left" w:pos="930"/>
              </w:tabs>
              <w:rPr>
                <w:rFonts w:cs="Arial"/>
                <w:b/>
                <w:szCs w:val="22"/>
              </w:rPr>
            </w:pPr>
            <w:r w:rsidRPr="003C1E7C">
              <w:rPr>
                <w:rFonts w:cs="Arial"/>
                <w:b/>
                <w:sz w:val="22"/>
                <w:szCs w:val="22"/>
              </w:rPr>
              <w:t>Nonconformances—nonconforming products</w:t>
            </w:r>
          </w:p>
        </w:tc>
      </w:tr>
      <w:tr w:rsidR="00203FD1" w:rsidTr="001027C8">
        <w:trPr>
          <w:trHeight w:val="1970"/>
        </w:trPr>
        <w:tc>
          <w:tcPr>
            <w:tcW w:w="1098" w:type="dxa"/>
          </w:tcPr>
          <w:p w:rsidR="00203FD1" w:rsidRPr="001027C8" w:rsidRDefault="00203FD1" w:rsidP="003C1E7C">
            <w:pPr>
              <w:tabs>
                <w:tab w:val="left" w:pos="930"/>
              </w:tabs>
              <w:rPr>
                <w:rFonts w:cs="Arial"/>
                <w:b/>
                <w:szCs w:val="22"/>
              </w:rPr>
            </w:pPr>
            <w:r w:rsidRPr="001027C8">
              <w:rPr>
                <w:rFonts w:cs="Arial"/>
                <w:b/>
                <w:sz w:val="22"/>
                <w:szCs w:val="22"/>
              </w:rPr>
              <w:t>1.</w:t>
            </w:r>
          </w:p>
        </w:tc>
        <w:tc>
          <w:tcPr>
            <w:tcW w:w="6660" w:type="dxa"/>
            <w:gridSpan w:val="2"/>
          </w:tcPr>
          <w:p w:rsidR="00203FD1" w:rsidRPr="003C1E7C" w:rsidRDefault="00203FD1" w:rsidP="003C1E7C">
            <w:pPr>
              <w:tabs>
                <w:tab w:val="left" w:pos="930"/>
              </w:tabs>
              <w:rPr>
                <w:rFonts w:cs="Arial"/>
                <w:szCs w:val="22"/>
              </w:rPr>
            </w:pPr>
            <w:r w:rsidRPr="003C1E7C">
              <w:rPr>
                <w:rFonts w:cs="Arial"/>
                <w:sz w:val="22"/>
                <w:szCs w:val="22"/>
              </w:rPr>
              <w:t>TSL maintains processes and procedure for the review, evaluation, and disposition of nonconforming products including:</w:t>
            </w:r>
          </w:p>
          <w:p w:rsidR="00203FD1" w:rsidRPr="003C1E7C" w:rsidRDefault="00203FD1" w:rsidP="001027C8">
            <w:pPr>
              <w:pStyle w:val="ListParagraph"/>
              <w:numPr>
                <w:ilvl w:val="0"/>
                <w:numId w:val="21"/>
              </w:numPr>
              <w:tabs>
                <w:tab w:val="left" w:pos="930"/>
              </w:tabs>
              <w:rPr>
                <w:rFonts w:cs="Arial"/>
                <w:szCs w:val="22"/>
              </w:rPr>
            </w:pPr>
            <w:r w:rsidRPr="003C1E7C">
              <w:rPr>
                <w:rFonts w:cs="Arial"/>
                <w:sz w:val="22"/>
                <w:szCs w:val="22"/>
              </w:rPr>
              <w:t>Blood</w:t>
            </w:r>
          </w:p>
          <w:p w:rsidR="00203FD1" w:rsidRPr="003C1E7C" w:rsidRDefault="00203FD1" w:rsidP="001027C8">
            <w:pPr>
              <w:pStyle w:val="ListParagraph"/>
              <w:numPr>
                <w:ilvl w:val="0"/>
                <w:numId w:val="21"/>
              </w:numPr>
              <w:tabs>
                <w:tab w:val="left" w:pos="930"/>
              </w:tabs>
              <w:rPr>
                <w:rFonts w:cs="Arial"/>
                <w:szCs w:val="22"/>
              </w:rPr>
            </w:pPr>
            <w:r w:rsidRPr="003C1E7C">
              <w:rPr>
                <w:rFonts w:cs="Arial"/>
                <w:sz w:val="22"/>
                <w:szCs w:val="22"/>
              </w:rPr>
              <w:t>Components</w:t>
            </w:r>
          </w:p>
          <w:p w:rsidR="00203FD1" w:rsidRPr="003C1E7C" w:rsidRDefault="00203FD1" w:rsidP="001027C8">
            <w:pPr>
              <w:pStyle w:val="ListParagraph"/>
              <w:numPr>
                <w:ilvl w:val="0"/>
                <w:numId w:val="21"/>
              </w:numPr>
              <w:tabs>
                <w:tab w:val="left" w:pos="930"/>
              </w:tabs>
              <w:rPr>
                <w:rFonts w:cs="Arial"/>
                <w:szCs w:val="22"/>
              </w:rPr>
            </w:pPr>
            <w:r w:rsidRPr="003C1E7C">
              <w:rPr>
                <w:rFonts w:cs="Arial"/>
                <w:sz w:val="22"/>
                <w:szCs w:val="22"/>
              </w:rPr>
              <w:t>Tissue</w:t>
            </w:r>
          </w:p>
          <w:p w:rsidR="00203FD1" w:rsidRPr="003C1E7C" w:rsidRDefault="00203FD1" w:rsidP="001027C8">
            <w:pPr>
              <w:pStyle w:val="ListParagraph"/>
              <w:numPr>
                <w:ilvl w:val="0"/>
                <w:numId w:val="21"/>
              </w:numPr>
              <w:tabs>
                <w:tab w:val="left" w:pos="930"/>
              </w:tabs>
              <w:rPr>
                <w:rFonts w:cs="Arial"/>
                <w:szCs w:val="22"/>
              </w:rPr>
            </w:pPr>
            <w:r w:rsidRPr="003C1E7C">
              <w:rPr>
                <w:rFonts w:cs="Arial"/>
                <w:sz w:val="22"/>
                <w:szCs w:val="22"/>
              </w:rPr>
              <w:t>Critical materials</w:t>
            </w:r>
          </w:p>
          <w:p w:rsidR="00203FD1" w:rsidRPr="003C1E7C" w:rsidRDefault="00203FD1" w:rsidP="001027C8">
            <w:pPr>
              <w:pStyle w:val="ListParagraph"/>
              <w:numPr>
                <w:ilvl w:val="0"/>
                <w:numId w:val="21"/>
              </w:numPr>
              <w:tabs>
                <w:tab w:val="left" w:pos="930"/>
              </w:tabs>
              <w:rPr>
                <w:rFonts w:cs="Arial"/>
                <w:szCs w:val="22"/>
              </w:rPr>
            </w:pPr>
            <w:r w:rsidRPr="003C1E7C">
              <w:rPr>
                <w:rFonts w:cs="Arial"/>
                <w:sz w:val="22"/>
                <w:szCs w:val="22"/>
              </w:rPr>
              <w:t>Services</w:t>
            </w:r>
          </w:p>
        </w:tc>
        <w:tc>
          <w:tcPr>
            <w:tcW w:w="2718" w:type="dxa"/>
          </w:tcPr>
          <w:p w:rsidR="00203FD1" w:rsidRPr="007F7E96" w:rsidRDefault="00203FD1" w:rsidP="007F7E96">
            <w:pPr>
              <w:pStyle w:val="ListParagraph"/>
              <w:numPr>
                <w:ilvl w:val="0"/>
                <w:numId w:val="21"/>
              </w:numPr>
              <w:tabs>
                <w:tab w:val="left" w:pos="930"/>
              </w:tabs>
              <w:rPr>
                <w:rFonts w:cs="Arial"/>
                <w:szCs w:val="22"/>
              </w:rPr>
            </w:pPr>
            <w:r w:rsidRPr="007F7E96">
              <w:rPr>
                <w:rFonts w:cs="Arial"/>
                <w:sz w:val="22"/>
                <w:szCs w:val="22"/>
              </w:rPr>
              <w:t>Evaluation of Nonconforming Products and Services</w:t>
            </w:r>
          </w:p>
        </w:tc>
      </w:tr>
      <w:tr w:rsidR="00203FD1" w:rsidTr="001027C8">
        <w:tc>
          <w:tcPr>
            <w:tcW w:w="1098" w:type="dxa"/>
          </w:tcPr>
          <w:p w:rsidR="00203FD1" w:rsidRPr="001027C8" w:rsidRDefault="00203FD1" w:rsidP="003C1E7C">
            <w:pPr>
              <w:tabs>
                <w:tab w:val="left" w:pos="930"/>
              </w:tabs>
              <w:rPr>
                <w:rFonts w:cs="Arial"/>
                <w:b/>
                <w:szCs w:val="22"/>
              </w:rPr>
            </w:pPr>
            <w:r w:rsidRPr="001027C8">
              <w:rPr>
                <w:rFonts w:cs="Arial"/>
                <w:b/>
                <w:sz w:val="22"/>
                <w:szCs w:val="22"/>
              </w:rPr>
              <w:t>2.</w:t>
            </w:r>
          </w:p>
        </w:tc>
        <w:tc>
          <w:tcPr>
            <w:tcW w:w="6660" w:type="dxa"/>
            <w:gridSpan w:val="2"/>
          </w:tcPr>
          <w:p w:rsidR="00203FD1" w:rsidRPr="003C1E7C" w:rsidRDefault="00203FD1" w:rsidP="003C1E7C">
            <w:pPr>
              <w:tabs>
                <w:tab w:val="left" w:pos="930"/>
              </w:tabs>
              <w:rPr>
                <w:rFonts w:cs="Arial"/>
                <w:szCs w:val="22"/>
              </w:rPr>
            </w:pPr>
            <w:r w:rsidRPr="003C1E7C">
              <w:rPr>
                <w:rFonts w:cs="Arial"/>
                <w:sz w:val="22"/>
                <w:szCs w:val="22"/>
              </w:rPr>
              <w:t>TSL maintains processes and procedures for:</w:t>
            </w:r>
          </w:p>
          <w:p w:rsidR="00203FD1" w:rsidRPr="003C1E7C" w:rsidRDefault="00203FD1" w:rsidP="001027C8">
            <w:pPr>
              <w:pStyle w:val="ListParagraph"/>
              <w:numPr>
                <w:ilvl w:val="0"/>
                <w:numId w:val="22"/>
              </w:numPr>
              <w:tabs>
                <w:tab w:val="left" w:pos="930"/>
              </w:tabs>
              <w:rPr>
                <w:rFonts w:cs="Arial"/>
                <w:szCs w:val="22"/>
              </w:rPr>
            </w:pPr>
            <w:r w:rsidRPr="003C1E7C">
              <w:rPr>
                <w:rFonts w:cs="Arial"/>
                <w:sz w:val="22"/>
                <w:szCs w:val="22"/>
              </w:rPr>
              <w:t>Identification of nonconforming blood products.</w:t>
            </w:r>
          </w:p>
          <w:p w:rsidR="00203FD1" w:rsidRPr="003C1E7C" w:rsidRDefault="00203FD1" w:rsidP="001027C8">
            <w:pPr>
              <w:pStyle w:val="ListParagraph"/>
              <w:numPr>
                <w:ilvl w:val="0"/>
                <w:numId w:val="22"/>
              </w:numPr>
              <w:tabs>
                <w:tab w:val="left" w:pos="930"/>
              </w:tabs>
              <w:rPr>
                <w:rFonts w:cs="Arial"/>
                <w:szCs w:val="22"/>
              </w:rPr>
            </w:pPr>
            <w:r w:rsidRPr="003C1E7C">
              <w:rPr>
                <w:rFonts w:cs="Arial"/>
                <w:sz w:val="22"/>
                <w:szCs w:val="22"/>
              </w:rPr>
              <w:t>Quarantine of nonconforming blood products.</w:t>
            </w:r>
          </w:p>
          <w:p w:rsidR="00203FD1" w:rsidRPr="003C1E7C" w:rsidRDefault="00203FD1" w:rsidP="001027C8">
            <w:pPr>
              <w:pStyle w:val="ListParagraph"/>
              <w:numPr>
                <w:ilvl w:val="0"/>
                <w:numId w:val="22"/>
              </w:numPr>
              <w:tabs>
                <w:tab w:val="left" w:pos="930"/>
              </w:tabs>
              <w:rPr>
                <w:rFonts w:cs="Arial"/>
                <w:szCs w:val="22"/>
              </w:rPr>
            </w:pPr>
            <w:r w:rsidRPr="003C1E7C">
              <w:rPr>
                <w:rFonts w:cs="Arial"/>
                <w:sz w:val="22"/>
                <w:szCs w:val="22"/>
              </w:rPr>
              <w:t>Retrieval of nonconforming blood products.</w:t>
            </w:r>
          </w:p>
          <w:p w:rsidR="00203FD1" w:rsidRPr="003C1E7C" w:rsidRDefault="00203FD1" w:rsidP="001027C8">
            <w:pPr>
              <w:pStyle w:val="ListParagraph"/>
              <w:numPr>
                <w:ilvl w:val="0"/>
                <w:numId w:val="22"/>
              </w:numPr>
              <w:tabs>
                <w:tab w:val="left" w:pos="930"/>
              </w:tabs>
              <w:rPr>
                <w:rFonts w:cs="Arial"/>
                <w:szCs w:val="22"/>
              </w:rPr>
            </w:pPr>
            <w:r w:rsidRPr="003C1E7C">
              <w:rPr>
                <w:rFonts w:cs="Arial"/>
                <w:sz w:val="22"/>
                <w:szCs w:val="22"/>
              </w:rPr>
              <w:t>Recall of nonconforming blood products.</w:t>
            </w:r>
          </w:p>
          <w:p w:rsidR="00203FD1" w:rsidRPr="003C1E7C" w:rsidRDefault="00203FD1" w:rsidP="001027C8">
            <w:pPr>
              <w:pStyle w:val="ListParagraph"/>
              <w:numPr>
                <w:ilvl w:val="0"/>
                <w:numId w:val="22"/>
              </w:numPr>
              <w:tabs>
                <w:tab w:val="left" w:pos="930"/>
              </w:tabs>
              <w:rPr>
                <w:rFonts w:cs="Arial"/>
                <w:szCs w:val="22"/>
              </w:rPr>
            </w:pPr>
            <w:r w:rsidRPr="003C1E7C">
              <w:rPr>
                <w:rFonts w:cs="Arial"/>
                <w:sz w:val="22"/>
                <w:szCs w:val="22"/>
              </w:rPr>
              <w:t>Evaluation of products determined to be nonconforming after release, to determine effect of nonconformance on the product.</w:t>
            </w:r>
          </w:p>
          <w:p w:rsidR="00203FD1" w:rsidRPr="003C1E7C" w:rsidRDefault="00203FD1" w:rsidP="001027C8">
            <w:pPr>
              <w:pStyle w:val="ListParagraph"/>
              <w:numPr>
                <w:ilvl w:val="0"/>
                <w:numId w:val="22"/>
              </w:numPr>
              <w:tabs>
                <w:tab w:val="left" w:pos="930"/>
              </w:tabs>
              <w:rPr>
                <w:rFonts w:cs="Arial"/>
                <w:szCs w:val="22"/>
              </w:rPr>
            </w:pPr>
            <w:r w:rsidRPr="003C1E7C">
              <w:rPr>
                <w:rFonts w:cs="Arial"/>
                <w:sz w:val="22"/>
                <w:szCs w:val="22"/>
              </w:rPr>
              <w:t>Identification and management of nonconforming services.</w:t>
            </w:r>
          </w:p>
          <w:p w:rsidR="00203FD1" w:rsidRPr="003C1E7C" w:rsidRDefault="00203FD1" w:rsidP="001027C8">
            <w:pPr>
              <w:pStyle w:val="ListParagraph"/>
              <w:tabs>
                <w:tab w:val="left" w:pos="930"/>
              </w:tabs>
              <w:ind w:left="0"/>
              <w:rPr>
                <w:rFonts w:cs="Arial"/>
                <w:szCs w:val="22"/>
              </w:rPr>
            </w:pPr>
            <w:r w:rsidRPr="003C1E7C">
              <w:rPr>
                <w:rFonts w:cs="Arial"/>
                <w:sz w:val="22"/>
                <w:szCs w:val="22"/>
              </w:rPr>
              <w:t>Notification of users, providers, and outside agencies as required.</w:t>
            </w:r>
          </w:p>
        </w:tc>
        <w:tc>
          <w:tcPr>
            <w:tcW w:w="2718" w:type="dxa"/>
          </w:tcPr>
          <w:p w:rsidR="00203FD1" w:rsidRPr="007F7E96" w:rsidRDefault="00203FD1" w:rsidP="007F7E96">
            <w:pPr>
              <w:pStyle w:val="ListParagraph"/>
              <w:numPr>
                <w:ilvl w:val="0"/>
                <w:numId w:val="31"/>
              </w:numPr>
              <w:tabs>
                <w:tab w:val="left" w:pos="930"/>
              </w:tabs>
              <w:rPr>
                <w:rFonts w:cs="Arial"/>
                <w:szCs w:val="22"/>
              </w:rPr>
            </w:pPr>
            <w:r w:rsidRPr="007F7E96">
              <w:rPr>
                <w:rFonts w:cs="Arial"/>
                <w:sz w:val="22"/>
                <w:szCs w:val="22"/>
              </w:rPr>
              <w:t>Product Recall Process</w:t>
            </w:r>
          </w:p>
          <w:p w:rsidR="00203FD1" w:rsidRPr="003C1E7C" w:rsidRDefault="00203FD1" w:rsidP="003C1E7C">
            <w:pPr>
              <w:tabs>
                <w:tab w:val="left" w:pos="930"/>
              </w:tabs>
              <w:rPr>
                <w:rFonts w:cs="Arial"/>
                <w:szCs w:val="22"/>
              </w:rPr>
            </w:pPr>
          </w:p>
          <w:p w:rsidR="00203FD1" w:rsidRPr="007F7E96" w:rsidRDefault="00203FD1" w:rsidP="007F7E96">
            <w:pPr>
              <w:pStyle w:val="ListParagraph"/>
              <w:numPr>
                <w:ilvl w:val="0"/>
                <w:numId w:val="31"/>
              </w:numPr>
              <w:tabs>
                <w:tab w:val="left" w:pos="930"/>
              </w:tabs>
              <w:rPr>
                <w:rFonts w:cs="Arial"/>
                <w:szCs w:val="22"/>
              </w:rPr>
            </w:pPr>
            <w:r w:rsidRPr="007F7E96">
              <w:rPr>
                <w:rFonts w:cs="Arial"/>
                <w:sz w:val="22"/>
                <w:szCs w:val="22"/>
              </w:rPr>
              <w:t>Look-Back Process</w:t>
            </w:r>
          </w:p>
          <w:p w:rsidR="00203FD1" w:rsidRPr="003C1E7C" w:rsidRDefault="00203FD1" w:rsidP="003C1E7C">
            <w:pPr>
              <w:tabs>
                <w:tab w:val="left" w:pos="930"/>
              </w:tabs>
              <w:rPr>
                <w:rFonts w:cs="Arial"/>
                <w:szCs w:val="22"/>
              </w:rPr>
            </w:pPr>
          </w:p>
          <w:p w:rsidR="00203FD1" w:rsidRPr="007F7E96" w:rsidRDefault="00203FD1" w:rsidP="007F7E96">
            <w:pPr>
              <w:pStyle w:val="ListParagraph"/>
              <w:numPr>
                <w:ilvl w:val="0"/>
                <w:numId w:val="31"/>
              </w:numPr>
              <w:tabs>
                <w:tab w:val="left" w:pos="930"/>
              </w:tabs>
              <w:rPr>
                <w:rFonts w:cs="Arial"/>
                <w:szCs w:val="22"/>
              </w:rPr>
            </w:pPr>
            <w:r w:rsidRPr="007F7E96">
              <w:rPr>
                <w:rFonts w:cs="Arial"/>
                <w:sz w:val="22"/>
                <w:szCs w:val="22"/>
              </w:rPr>
              <w:t>FDA-CBER Incident Reporting</w:t>
            </w:r>
          </w:p>
        </w:tc>
      </w:tr>
      <w:tr w:rsidR="00203FD1" w:rsidTr="00300D5D">
        <w:trPr>
          <w:trHeight w:val="350"/>
        </w:trPr>
        <w:tc>
          <w:tcPr>
            <w:tcW w:w="10476" w:type="dxa"/>
            <w:gridSpan w:val="4"/>
            <w:vAlign w:val="center"/>
          </w:tcPr>
          <w:p w:rsidR="00203FD1" w:rsidRPr="003C1E7C" w:rsidRDefault="00203FD1" w:rsidP="003C1E7C">
            <w:pPr>
              <w:tabs>
                <w:tab w:val="left" w:pos="930"/>
              </w:tabs>
              <w:rPr>
                <w:rFonts w:cs="Arial"/>
                <w:b/>
                <w:szCs w:val="22"/>
              </w:rPr>
            </w:pPr>
            <w:r w:rsidRPr="003C1E7C">
              <w:rPr>
                <w:rFonts w:cs="Arial"/>
                <w:b/>
                <w:sz w:val="22"/>
                <w:szCs w:val="22"/>
              </w:rPr>
              <w:t>Adverse Transfusion-Related Events</w:t>
            </w:r>
          </w:p>
        </w:tc>
      </w:tr>
      <w:tr w:rsidR="00203FD1" w:rsidTr="00C34EFD">
        <w:trPr>
          <w:trHeight w:val="602"/>
        </w:trPr>
        <w:tc>
          <w:tcPr>
            <w:tcW w:w="1098" w:type="dxa"/>
          </w:tcPr>
          <w:p w:rsidR="00203FD1" w:rsidRPr="001027C8" w:rsidRDefault="00203FD1" w:rsidP="003C1E7C">
            <w:pPr>
              <w:tabs>
                <w:tab w:val="left" w:pos="930"/>
              </w:tabs>
              <w:rPr>
                <w:rFonts w:cs="Arial"/>
                <w:b/>
                <w:szCs w:val="22"/>
              </w:rPr>
            </w:pPr>
            <w:r w:rsidRPr="001027C8">
              <w:rPr>
                <w:rFonts w:cs="Arial"/>
                <w:b/>
                <w:sz w:val="22"/>
                <w:szCs w:val="22"/>
              </w:rPr>
              <w:t>1.</w:t>
            </w:r>
          </w:p>
        </w:tc>
        <w:tc>
          <w:tcPr>
            <w:tcW w:w="6660" w:type="dxa"/>
            <w:gridSpan w:val="2"/>
          </w:tcPr>
          <w:p w:rsidR="00203FD1" w:rsidRPr="001027C8" w:rsidRDefault="00203FD1" w:rsidP="00C34EFD">
            <w:pPr>
              <w:pStyle w:val="ListParagraph"/>
              <w:numPr>
                <w:ilvl w:val="0"/>
                <w:numId w:val="29"/>
              </w:numPr>
              <w:tabs>
                <w:tab w:val="left" w:pos="930"/>
              </w:tabs>
              <w:rPr>
                <w:rFonts w:cs="Arial"/>
                <w:szCs w:val="22"/>
              </w:rPr>
            </w:pPr>
            <w:r w:rsidRPr="001027C8">
              <w:rPr>
                <w:rFonts w:cs="Arial"/>
                <w:sz w:val="22"/>
                <w:szCs w:val="22"/>
              </w:rPr>
              <w:t>Immediate Transfusion-Related Event:</w:t>
            </w:r>
          </w:p>
          <w:p w:rsidR="00203FD1" w:rsidRPr="001027C8" w:rsidRDefault="00203FD1" w:rsidP="00C34EFD">
            <w:pPr>
              <w:pStyle w:val="ListParagraph"/>
              <w:numPr>
                <w:ilvl w:val="0"/>
                <w:numId w:val="29"/>
              </w:numPr>
              <w:tabs>
                <w:tab w:val="left" w:pos="930"/>
              </w:tabs>
              <w:rPr>
                <w:rFonts w:cs="Arial"/>
                <w:szCs w:val="22"/>
              </w:rPr>
            </w:pPr>
            <w:r w:rsidRPr="001027C8">
              <w:rPr>
                <w:rFonts w:cs="Arial"/>
                <w:sz w:val="22"/>
                <w:szCs w:val="22"/>
              </w:rPr>
              <w:t>TSL maintains processes and procedures for:</w:t>
            </w:r>
          </w:p>
          <w:p w:rsidR="00203FD1" w:rsidRPr="001027C8" w:rsidRDefault="00203FD1" w:rsidP="00C34EFD">
            <w:pPr>
              <w:pStyle w:val="ListParagraph"/>
              <w:numPr>
                <w:ilvl w:val="0"/>
                <w:numId w:val="29"/>
              </w:numPr>
              <w:tabs>
                <w:tab w:val="left" w:pos="930"/>
              </w:tabs>
              <w:rPr>
                <w:rFonts w:cs="Arial"/>
                <w:szCs w:val="22"/>
              </w:rPr>
            </w:pPr>
            <w:r w:rsidRPr="001027C8">
              <w:rPr>
                <w:rFonts w:cs="Arial"/>
                <w:sz w:val="22"/>
                <w:szCs w:val="22"/>
              </w:rPr>
              <w:t>Immediate notification of the transfusion service and the responsible physician.</w:t>
            </w:r>
          </w:p>
          <w:p w:rsidR="00203FD1" w:rsidRPr="001027C8" w:rsidRDefault="00203FD1" w:rsidP="00C34EFD">
            <w:pPr>
              <w:pStyle w:val="ListParagraph"/>
              <w:numPr>
                <w:ilvl w:val="0"/>
                <w:numId w:val="29"/>
              </w:numPr>
              <w:tabs>
                <w:tab w:val="left" w:pos="930"/>
              </w:tabs>
              <w:rPr>
                <w:rFonts w:cs="Arial"/>
                <w:szCs w:val="22"/>
              </w:rPr>
            </w:pPr>
            <w:r w:rsidRPr="001027C8">
              <w:rPr>
                <w:rFonts w:cs="Arial"/>
                <w:sz w:val="22"/>
                <w:szCs w:val="22"/>
              </w:rPr>
              <w:t>Prompt evaluation of all suspected transfusion-related adverse events in a manner that does not delay the proper clinical management of the patient.</w:t>
            </w:r>
          </w:p>
          <w:p w:rsidR="00203FD1" w:rsidRPr="001027C8" w:rsidRDefault="00203FD1" w:rsidP="00C34EFD">
            <w:pPr>
              <w:pStyle w:val="ListParagraph"/>
              <w:numPr>
                <w:ilvl w:val="0"/>
                <w:numId w:val="29"/>
              </w:numPr>
              <w:tabs>
                <w:tab w:val="left" w:pos="930"/>
              </w:tabs>
              <w:rPr>
                <w:rFonts w:cs="Arial"/>
                <w:szCs w:val="22"/>
              </w:rPr>
            </w:pPr>
            <w:r w:rsidRPr="001027C8">
              <w:rPr>
                <w:rFonts w:cs="Arial"/>
                <w:sz w:val="22"/>
                <w:szCs w:val="22"/>
              </w:rPr>
              <w:t xml:space="preserve">Indicating under which circumstances additional testing is </w:t>
            </w:r>
            <w:r w:rsidRPr="001027C8">
              <w:rPr>
                <w:rFonts w:cs="Arial"/>
                <w:sz w:val="22"/>
                <w:szCs w:val="22"/>
              </w:rPr>
              <w:lastRenderedPageBreak/>
              <w:t>performed, and what the testing will be.</w:t>
            </w:r>
          </w:p>
          <w:p w:rsidR="00203FD1" w:rsidRPr="00C34EFD" w:rsidRDefault="00203FD1" w:rsidP="00C34EFD">
            <w:pPr>
              <w:pStyle w:val="ListParagraph"/>
              <w:numPr>
                <w:ilvl w:val="0"/>
                <w:numId w:val="29"/>
              </w:numPr>
              <w:tabs>
                <w:tab w:val="left" w:pos="930"/>
              </w:tabs>
              <w:rPr>
                <w:szCs w:val="22"/>
              </w:rPr>
            </w:pPr>
            <w:r w:rsidRPr="00C34EFD">
              <w:rPr>
                <w:sz w:val="22"/>
                <w:szCs w:val="22"/>
              </w:rPr>
              <w:t>Immediate and subsequent notification of the collecting facility when a transfusion-related adverse event occurs.</w:t>
            </w:r>
          </w:p>
          <w:p w:rsidR="00203FD1" w:rsidRPr="00C34EFD" w:rsidRDefault="00203FD1" w:rsidP="00C34EFD">
            <w:pPr>
              <w:pStyle w:val="ListParagraph"/>
              <w:numPr>
                <w:ilvl w:val="0"/>
                <w:numId w:val="29"/>
              </w:numPr>
              <w:tabs>
                <w:tab w:val="left" w:pos="930"/>
              </w:tabs>
              <w:rPr>
                <w:rFonts w:cs="Arial"/>
                <w:szCs w:val="22"/>
              </w:rPr>
            </w:pPr>
            <w:r w:rsidRPr="00C34EFD">
              <w:rPr>
                <w:rFonts w:cs="Arial"/>
                <w:sz w:val="22"/>
                <w:szCs w:val="22"/>
              </w:rPr>
              <w:t>Documentation in the patient’s medical record of event.</w:t>
            </w:r>
          </w:p>
        </w:tc>
        <w:tc>
          <w:tcPr>
            <w:tcW w:w="2718" w:type="dxa"/>
          </w:tcPr>
          <w:p w:rsidR="00203FD1" w:rsidRPr="007F7E96" w:rsidRDefault="00203FD1" w:rsidP="007F7E96">
            <w:pPr>
              <w:pStyle w:val="ListParagraph"/>
              <w:numPr>
                <w:ilvl w:val="0"/>
                <w:numId w:val="29"/>
              </w:numPr>
              <w:tabs>
                <w:tab w:val="left" w:pos="930"/>
              </w:tabs>
              <w:rPr>
                <w:rFonts w:cs="Arial"/>
                <w:szCs w:val="22"/>
              </w:rPr>
            </w:pPr>
            <w:r w:rsidRPr="007F7E96">
              <w:rPr>
                <w:rFonts w:cs="Arial"/>
                <w:sz w:val="22"/>
                <w:szCs w:val="22"/>
              </w:rPr>
              <w:lastRenderedPageBreak/>
              <w:t>Transfusion Reaction Investigation Process</w:t>
            </w:r>
          </w:p>
          <w:p w:rsidR="00203FD1" w:rsidRPr="003C1E7C" w:rsidRDefault="00203FD1" w:rsidP="003C1E7C">
            <w:pPr>
              <w:tabs>
                <w:tab w:val="left" w:pos="930"/>
              </w:tabs>
              <w:rPr>
                <w:rFonts w:cs="Arial"/>
                <w:szCs w:val="22"/>
              </w:rPr>
            </w:pPr>
          </w:p>
          <w:p w:rsidR="00203FD1" w:rsidRPr="007F7E96" w:rsidRDefault="00203FD1" w:rsidP="007F7E96">
            <w:pPr>
              <w:pStyle w:val="ListParagraph"/>
              <w:numPr>
                <w:ilvl w:val="0"/>
                <w:numId w:val="29"/>
              </w:numPr>
              <w:tabs>
                <w:tab w:val="left" w:pos="930"/>
              </w:tabs>
              <w:rPr>
                <w:rFonts w:cs="Arial"/>
                <w:szCs w:val="22"/>
              </w:rPr>
            </w:pPr>
            <w:r w:rsidRPr="007F7E96">
              <w:rPr>
                <w:rFonts w:cs="Arial"/>
                <w:sz w:val="22"/>
                <w:szCs w:val="22"/>
              </w:rPr>
              <w:t>Transfusion Reaction Investigation</w:t>
            </w:r>
          </w:p>
          <w:p w:rsidR="00203FD1" w:rsidRPr="003C1E7C" w:rsidRDefault="00203FD1" w:rsidP="003C1E7C">
            <w:pPr>
              <w:tabs>
                <w:tab w:val="left" w:pos="930"/>
              </w:tabs>
              <w:rPr>
                <w:rFonts w:cs="Arial"/>
                <w:szCs w:val="22"/>
              </w:rPr>
            </w:pPr>
          </w:p>
        </w:tc>
      </w:tr>
      <w:tr w:rsidR="00203FD1" w:rsidTr="001027C8">
        <w:trPr>
          <w:trHeight w:val="422"/>
        </w:trPr>
        <w:tc>
          <w:tcPr>
            <w:tcW w:w="1098" w:type="dxa"/>
            <w:vAlign w:val="center"/>
          </w:tcPr>
          <w:p w:rsidR="00203FD1" w:rsidRPr="003C1E7C" w:rsidRDefault="00203FD1" w:rsidP="003C1E7C">
            <w:pPr>
              <w:tabs>
                <w:tab w:val="left" w:pos="930"/>
              </w:tabs>
              <w:rPr>
                <w:rFonts w:cs="Arial"/>
                <w:b/>
                <w:szCs w:val="22"/>
              </w:rPr>
            </w:pPr>
            <w:r w:rsidRPr="003C1E7C">
              <w:rPr>
                <w:rFonts w:cs="Arial"/>
                <w:b/>
                <w:sz w:val="22"/>
                <w:szCs w:val="22"/>
              </w:rPr>
              <w:lastRenderedPageBreak/>
              <w:t>Step</w:t>
            </w:r>
          </w:p>
        </w:tc>
        <w:tc>
          <w:tcPr>
            <w:tcW w:w="6660" w:type="dxa"/>
            <w:gridSpan w:val="2"/>
            <w:vAlign w:val="center"/>
          </w:tcPr>
          <w:p w:rsidR="00203FD1" w:rsidRPr="003C1E7C" w:rsidRDefault="00203FD1" w:rsidP="003C1E7C">
            <w:pPr>
              <w:tabs>
                <w:tab w:val="left" w:pos="930"/>
              </w:tabs>
              <w:rPr>
                <w:rFonts w:cs="Arial"/>
                <w:b/>
                <w:szCs w:val="22"/>
              </w:rPr>
            </w:pPr>
            <w:r w:rsidRPr="003C1E7C">
              <w:rPr>
                <w:rFonts w:cs="Arial"/>
                <w:b/>
                <w:sz w:val="22"/>
                <w:szCs w:val="22"/>
              </w:rPr>
              <w:t>Action</w:t>
            </w:r>
          </w:p>
        </w:tc>
        <w:tc>
          <w:tcPr>
            <w:tcW w:w="2718" w:type="dxa"/>
            <w:vAlign w:val="center"/>
          </w:tcPr>
          <w:p w:rsidR="00203FD1" w:rsidRPr="003C1E7C" w:rsidRDefault="00203FD1" w:rsidP="003C1E7C">
            <w:pPr>
              <w:tabs>
                <w:tab w:val="left" w:pos="930"/>
              </w:tabs>
              <w:rPr>
                <w:rFonts w:cs="Arial"/>
                <w:b/>
                <w:szCs w:val="22"/>
              </w:rPr>
            </w:pPr>
            <w:r w:rsidRPr="003C1E7C">
              <w:rPr>
                <w:rFonts w:cs="Arial"/>
                <w:b/>
                <w:sz w:val="22"/>
                <w:szCs w:val="22"/>
              </w:rPr>
              <w:t>Related Documents</w:t>
            </w:r>
          </w:p>
        </w:tc>
      </w:tr>
      <w:tr w:rsidR="00203FD1" w:rsidTr="001027C8">
        <w:tc>
          <w:tcPr>
            <w:tcW w:w="1098" w:type="dxa"/>
            <w:vAlign w:val="center"/>
          </w:tcPr>
          <w:p w:rsidR="00203FD1" w:rsidRPr="001027C8" w:rsidRDefault="00203FD1" w:rsidP="003C1E7C">
            <w:pPr>
              <w:tabs>
                <w:tab w:val="left" w:pos="930"/>
              </w:tabs>
              <w:rPr>
                <w:rFonts w:cs="Arial"/>
                <w:b/>
                <w:szCs w:val="22"/>
              </w:rPr>
            </w:pPr>
            <w:r w:rsidRPr="001027C8">
              <w:rPr>
                <w:rFonts w:cs="Arial"/>
                <w:b/>
                <w:sz w:val="22"/>
                <w:szCs w:val="22"/>
              </w:rPr>
              <w:t>2.</w:t>
            </w:r>
          </w:p>
        </w:tc>
        <w:tc>
          <w:tcPr>
            <w:tcW w:w="6660" w:type="dxa"/>
            <w:gridSpan w:val="2"/>
          </w:tcPr>
          <w:p w:rsidR="00203FD1" w:rsidRPr="003C1E7C" w:rsidRDefault="00203FD1" w:rsidP="003C1E7C">
            <w:pPr>
              <w:tabs>
                <w:tab w:val="left" w:pos="930"/>
              </w:tabs>
              <w:rPr>
                <w:rFonts w:cs="Arial"/>
                <w:szCs w:val="22"/>
              </w:rPr>
            </w:pPr>
            <w:r w:rsidRPr="003C1E7C">
              <w:rPr>
                <w:rFonts w:cs="Arial"/>
                <w:sz w:val="22"/>
                <w:szCs w:val="22"/>
              </w:rPr>
              <w:t>Delayed Transfusion-Related Event:</w:t>
            </w:r>
          </w:p>
          <w:p w:rsidR="00203FD1" w:rsidRPr="003C1E7C" w:rsidRDefault="00203FD1" w:rsidP="00300D5D">
            <w:pPr>
              <w:tabs>
                <w:tab w:val="left" w:pos="930"/>
              </w:tabs>
              <w:rPr>
                <w:rFonts w:cs="Arial"/>
                <w:szCs w:val="22"/>
              </w:rPr>
            </w:pPr>
            <w:r w:rsidRPr="003C1E7C">
              <w:rPr>
                <w:rFonts w:cs="Arial"/>
                <w:sz w:val="22"/>
                <w:szCs w:val="22"/>
              </w:rPr>
              <w:t>TSL maintains processes and procedures for:</w:t>
            </w:r>
          </w:p>
          <w:p w:rsidR="00203FD1" w:rsidRPr="003C1E7C" w:rsidRDefault="00203FD1" w:rsidP="00300D5D">
            <w:pPr>
              <w:pStyle w:val="ListParagraph"/>
              <w:numPr>
                <w:ilvl w:val="0"/>
                <w:numId w:val="28"/>
              </w:numPr>
              <w:tabs>
                <w:tab w:val="left" w:pos="930"/>
              </w:tabs>
              <w:rPr>
                <w:rFonts w:cs="Arial"/>
                <w:szCs w:val="22"/>
              </w:rPr>
            </w:pPr>
            <w:r w:rsidRPr="003C1E7C">
              <w:rPr>
                <w:rFonts w:cs="Arial"/>
                <w:sz w:val="22"/>
                <w:szCs w:val="22"/>
              </w:rPr>
              <w:t>Performance of testing.</w:t>
            </w:r>
          </w:p>
          <w:p w:rsidR="00203FD1" w:rsidRPr="003C1E7C" w:rsidRDefault="00203FD1" w:rsidP="00300D5D">
            <w:pPr>
              <w:pStyle w:val="ListParagraph"/>
              <w:numPr>
                <w:ilvl w:val="0"/>
                <w:numId w:val="28"/>
              </w:numPr>
              <w:tabs>
                <w:tab w:val="left" w:pos="930"/>
              </w:tabs>
              <w:rPr>
                <w:rFonts w:cs="Arial"/>
                <w:szCs w:val="22"/>
              </w:rPr>
            </w:pPr>
            <w:r w:rsidRPr="003C1E7C">
              <w:rPr>
                <w:rFonts w:cs="Arial"/>
                <w:sz w:val="22"/>
                <w:szCs w:val="22"/>
              </w:rPr>
              <w:t>Evaluation of testing.</w:t>
            </w:r>
          </w:p>
          <w:p w:rsidR="00203FD1" w:rsidRPr="003C1E7C" w:rsidRDefault="00203FD1" w:rsidP="00300D5D">
            <w:pPr>
              <w:pStyle w:val="ListParagraph"/>
              <w:numPr>
                <w:ilvl w:val="0"/>
                <w:numId w:val="28"/>
              </w:numPr>
              <w:tabs>
                <w:tab w:val="left" w:pos="930"/>
              </w:tabs>
              <w:rPr>
                <w:rFonts w:cs="Arial"/>
                <w:szCs w:val="22"/>
              </w:rPr>
            </w:pPr>
            <w:r w:rsidRPr="003C1E7C">
              <w:rPr>
                <w:rFonts w:cs="Arial"/>
                <w:sz w:val="22"/>
                <w:szCs w:val="22"/>
              </w:rPr>
              <w:t>Reporting to the patient’s physician when a delayed reaction is detected or suspected.</w:t>
            </w:r>
          </w:p>
          <w:p w:rsidR="00203FD1" w:rsidRPr="003C1E7C" w:rsidRDefault="00203FD1" w:rsidP="003C1E7C">
            <w:pPr>
              <w:pStyle w:val="ListParagraph"/>
              <w:tabs>
                <w:tab w:val="left" w:pos="930"/>
              </w:tabs>
              <w:ind w:left="360"/>
              <w:rPr>
                <w:rFonts w:cs="Arial"/>
                <w:szCs w:val="22"/>
              </w:rPr>
            </w:pPr>
          </w:p>
        </w:tc>
        <w:tc>
          <w:tcPr>
            <w:tcW w:w="2718" w:type="dxa"/>
          </w:tcPr>
          <w:p w:rsidR="00203FD1" w:rsidRPr="003C1E7C" w:rsidRDefault="00203FD1" w:rsidP="003C1E7C">
            <w:pPr>
              <w:tabs>
                <w:tab w:val="left" w:pos="930"/>
              </w:tabs>
              <w:rPr>
                <w:rFonts w:cs="Arial"/>
                <w:szCs w:val="22"/>
              </w:rPr>
            </w:pPr>
          </w:p>
        </w:tc>
      </w:tr>
      <w:tr w:rsidR="00203FD1" w:rsidTr="001027C8">
        <w:trPr>
          <w:trHeight w:val="377"/>
        </w:trPr>
        <w:tc>
          <w:tcPr>
            <w:tcW w:w="10476" w:type="dxa"/>
            <w:gridSpan w:val="4"/>
            <w:vAlign w:val="center"/>
          </w:tcPr>
          <w:p w:rsidR="00203FD1" w:rsidRPr="001027C8" w:rsidRDefault="00203FD1" w:rsidP="003C1E7C">
            <w:pPr>
              <w:tabs>
                <w:tab w:val="left" w:pos="930"/>
              </w:tabs>
              <w:rPr>
                <w:rFonts w:cs="Arial"/>
                <w:b/>
                <w:szCs w:val="22"/>
              </w:rPr>
            </w:pPr>
            <w:r w:rsidRPr="001027C8">
              <w:rPr>
                <w:rFonts w:cs="Arial"/>
                <w:b/>
                <w:sz w:val="22"/>
                <w:szCs w:val="22"/>
              </w:rPr>
              <w:t>Reporting of Transfusion-Transmitted Disease</w:t>
            </w:r>
          </w:p>
        </w:tc>
      </w:tr>
      <w:tr w:rsidR="00203FD1" w:rsidTr="003C1E7C">
        <w:tc>
          <w:tcPr>
            <w:tcW w:w="1098" w:type="dxa"/>
          </w:tcPr>
          <w:p w:rsidR="00203FD1" w:rsidRPr="001027C8" w:rsidRDefault="00203FD1" w:rsidP="003C1E7C">
            <w:pPr>
              <w:tabs>
                <w:tab w:val="left" w:pos="930"/>
              </w:tabs>
              <w:rPr>
                <w:rFonts w:cs="Arial"/>
                <w:b/>
                <w:szCs w:val="22"/>
              </w:rPr>
            </w:pPr>
            <w:r w:rsidRPr="001027C8">
              <w:rPr>
                <w:rFonts w:cs="Arial"/>
                <w:b/>
                <w:sz w:val="22"/>
                <w:szCs w:val="22"/>
              </w:rPr>
              <w:t>1.</w:t>
            </w:r>
          </w:p>
        </w:tc>
        <w:tc>
          <w:tcPr>
            <w:tcW w:w="6660" w:type="dxa"/>
            <w:gridSpan w:val="2"/>
          </w:tcPr>
          <w:p w:rsidR="00203FD1" w:rsidRPr="003C1E7C" w:rsidRDefault="00203FD1" w:rsidP="003C1E7C">
            <w:pPr>
              <w:tabs>
                <w:tab w:val="left" w:pos="930"/>
              </w:tabs>
              <w:rPr>
                <w:rFonts w:cs="Arial"/>
                <w:szCs w:val="22"/>
              </w:rPr>
            </w:pPr>
            <w:r w:rsidRPr="003C1E7C">
              <w:rPr>
                <w:rFonts w:cs="Arial"/>
                <w:sz w:val="22"/>
                <w:szCs w:val="22"/>
              </w:rPr>
              <w:t>The TSL maintains a process for:</w:t>
            </w:r>
          </w:p>
          <w:p w:rsidR="00203FD1" w:rsidRPr="003C1E7C" w:rsidRDefault="00203FD1" w:rsidP="001027C8">
            <w:pPr>
              <w:pStyle w:val="ListParagraph"/>
              <w:numPr>
                <w:ilvl w:val="0"/>
                <w:numId w:val="23"/>
              </w:numPr>
              <w:tabs>
                <w:tab w:val="left" w:pos="930"/>
              </w:tabs>
              <w:rPr>
                <w:rFonts w:cs="Arial"/>
                <w:szCs w:val="22"/>
              </w:rPr>
            </w:pPr>
            <w:r w:rsidRPr="003C1E7C">
              <w:rPr>
                <w:rFonts w:cs="Arial"/>
                <w:sz w:val="22"/>
                <w:szCs w:val="22"/>
              </w:rPr>
              <w:t>Identifying suspected cases of transfusion-transmitted diseases.</w:t>
            </w:r>
          </w:p>
          <w:p w:rsidR="00203FD1" w:rsidRPr="003C1E7C" w:rsidRDefault="00203FD1" w:rsidP="001027C8">
            <w:pPr>
              <w:pStyle w:val="ListParagraph"/>
              <w:numPr>
                <w:ilvl w:val="0"/>
                <w:numId w:val="23"/>
              </w:numPr>
              <w:tabs>
                <w:tab w:val="left" w:pos="930"/>
              </w:tabs>
              <w:rPr>
                <w:rFonts w:cs="Arial"/>
                <w:szCs w:val="22"/>
              </w:rPr>
            </w:pPr>
            <w:r w:rsidRPr="003C1E7C">
              <w:rPr>
                <w:rFonts w:cs="Arial"/>
                <w:sz w:val="22"/>
                <w:szCs w:val="22"/>
              </w:rPr>
              <w:t>Investigating suspected cases of transfusion-transmitted diseases.</w:t>
            </w:r>
          </w:p>
          <w:p w:rsidR="00203FD1" w:rsidRPr="003C1E7C" w:rsidRDefault="00203FD1" w:rsidP="001027C8">
            <w:pPr>
              <w:pStyle w:val="ListParagraph"/>
              <w:numPr>
                <w:ilvl w:val="0"/>
                <w:numId w:val="23"/>
              </w:numPr>
              <w:tabs>
                <w:tab w:val="left" w:pos="930"/>
              </w:tabs>
              <w:rPr>
                <w:rFonts w:cs="Arial"/>
                <w:szCs w:val="22"/>
              </w:rPr>
            </w:pPr>
            <w:r w:rsidRPr="003C1E7C">
              <w:rPr>
                <w:rFonts w:cs="Arial"/>
                <w:sz w:val="22"/>
                <w:szCs w:val="22"/>
              </w:rPr>
              <w:t>Reporting the identity of any implicated donor units to the collecting facility.</w:t>
            </w:r>
          </w:p>
          <w:p w:rsidR="00203FD1" w:rsidRPr="003C1E7C" w:rsidRDefault="00203FD1" w:rsidP="003C1E7C">
            <w:pPr>
              <w:pStyle w:val="ListParagraph"/>
              <w:tabs>
                <w:tab w:val="left" w:pos="930"/>
              </w:tabs>
              <w:ind w:left="360"/>
              <w:rPr>
                <w:rFonts w:cs="Arial"/>
                <w:szCs w:val="22"/>
              </w:rPr>
            </w:pPr>
          </w:p>
        </w:tc>
        <w:tc>
          <w:tcPr>
            <w:tcW w:w="2718" w:type="dxa"/>
          </w:tcPr>
          <w:p w:rsidR="00203FD1" w:rsidRPr="007F7E96" w:rsidRDefault="00203FD1" w:rsidP="007F7E96">
            <w:pPr>
              <w:pStyle w:val="ListParagraph"/>
              <w:numPr>
                <w:ilvl w:val="0"/>
                <w:numId w:val="23"/>
              </w:numPr>
              <w:tabs>
                <w:tab w:val="left" w:pos="930"/>
              </w:tabs>
              <w:rPr>
                <w:rFonts w:cs="Arial"/>
                <w:szCs w:val="22"/>
              </w:rPr>
            </w:pPr>
            <w:r w:rsidRPr="007F7E96">
              <w:rPr>
                <w:rFonts w:cs="Arial"/>
                <w:sz w:val="22"/>
                <w:szCs w:val="22"/>
              </w:rPr>
              <w:t>Transfusion-Transmitted Disease Reporting Process.</w:t>
            </w:r>
          </w:p>
        </w:tc>
      </w:tr>
    </w:tbl>
    <w:p w:rsidR="00203FD1" w:rsidRDefault="00203FD1" w:rsidP="00574A2A">
      <w:pPr>
        <w:tabs>
          <w:tab w:val="left" w:pos="930"/>
        </w:tabs>
        <w:rPr>
          <w:rFonts w:cs="Arial"/>
          <w:sz w:val="22"/>
          <w:szCs w:val="22"/>
        </w:rPr>
      </w:pPr>
    </w:p>
    <w:p w:rsidR="00203FD1" w:rsidRPr="00877EB4" w:rsidRDefault="00203FD1" w:rsidP="00574A2A">
      <w:pPr>
        <w:tabs>
          <w:tab w:val="left" w:pos="930"/>
        </w:tabs>
        <w:rPr>
          <w:rFonts w:cs="Arial"/>
          <w:b/>
          <w:sz w:val="22"/>
          <w:szCs w:val="22"/>
        </w:rPr>
      </w:pPr>
      <w:r w:rsidRPr="00877EB4">
        <w:rPr>
          <w:rFonts w:cs="Arial"/>
          <w:b/>
          <w:sz w:val="22"/>
          <w:szCs w:val="22"/>
        </w:rPr>
        <w:t>References</w:t>
      </w:r>
    </w:p>
    <w:p w:rsidR="00203FD1" w:rsidRDefault="00203FD1" w:rsidP="00574A2A">
      <w:pPr>
        <w:tabs>
          <w:tab w:val="left" w:pos="930"/>
        </w:tabs>
        <w:rPr>
          <w:rFonts w:cs="Arial"/>
          <w:sz w:val="22"/>
          <w:szCs w:val="22"/>
        </w:rPr>
      </w:pPr>
    </w:p>
    <w:p w:rsidR="00203FD1" w:rsidRDefault="00203FD1" w:rsidP="00574A2A">
      <w:pPr>
        <w:tabs>
          <w:tab w:val="left" w:pos="930"/>
        </w:tabs>
        <w:rPr>
          <w:rFonts w:cs="Arial"/>
          <w:sz w:val="22"/>
          <w:szCs w:val="22"/>
        </w:rPr>
      </w:pPr>
      <w:r>
        <w:rPr>
          <w:rFonts w:cs="Arial"/>
          <w:sz w:val="22"/>
          <w:szCs w:val="22"/>
        </w:rPr>
        <w:t>AABB Standards for Blood Banks and Transfusion Services, Current Edition</w:t>
      </w:r>
    </w:p>
    <w:p w:rsidR="00203FD1" w:rsidRDefault="00203FD1" w:rsidP="00574A2A">
      <w:pPr>
        <w:tabs>
          <w:tab w:val="left" w:pos="930"/>
        </w:tabs>
        <w:rPr>
          <w:rFonts w:cs="Arial"/>
          <w:sz w:val="22"/>
          <w:szCs w:val="22"/>
        </w:rPr>
      </w:pPr>
      <w:r>
        <w:rPr>
          <w:rFonts w:cs="Arial"/>
          <w:sz w:val="22"/>
          <w:szCs w:val="22"/>
        </w:rPr>
        <w:t>Practical Guide to Transfusion Medicine, Current Edition</w:t>
      </w:r>
    </w:p>
    <w:p w:rsidR="00203FD1" w:rsidRPr="00766D1A" w:rsidRDefault="00203FD1" w:rsidP="00574A2A">
      <w:pPr>
        <w:tabs>
          <w:tab w:val="left" w:pos="930"/>
        </w:tabs>
        <w:rPr>
          <w:rFonts w:cs="Arial"/>
          <w:sz w:val="22"/>
          <w:szCs w:val="22"/>
        </w:rPr>
      </w:pPr>
      <w:r>
        <w:rPr>
          <w:rFonts w:cs="Arial"/>
          <w:sz w:val="22"/>
          <w:szCs w:val="22"/>
        </w:rPr>
        <w:t xml:space="preserve">Transfusion Reactions, Edited by Mark A. </w:t>
      </w:r>
      <w:proofErr w:type="spellStart"/>
      <w:r>
        <w:rPr>
          <w:rFonts w:cs="Arial"/>
          <w:sz w:val="22"/>
          <w:szCs w:val="22"/>
        </w:rPr>
        <w:t>Popovsky</w:t>
      </w:r>
      <w:proofErr w:type="spellEnd"/>
      <w:r>
        <w:rPr>
          <w:rFonts w:cs="Arial"/>
          <w:sz w:val="22"/>
          <w:szCs w:val="22"/>
        </w:rPr>
        <w:t>, Current Edition.</w:t>
      </w:r>
    </w:p>
    <w:sectPr w:rsidR="00203FD1" w:rsidRPr="00766D1A" w:rsidSect="001027C8">
      <w:headerReference w:type="default" r:id="rId10"/>
      <w:footerReference w:type="default" r:id="rId11"/>
      <w:pgSz w:w="12240" w:h="15840"/>
      <w:pgMar w:top="540" w:right="900" w:bottom="1260" w:left="1080" w:header="720" w:footer="43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F4E" w:rsidRDefault="00A51F4E" w:rsidP="00766D1A">
      <w:r>
        <w:separator/>
      </w:r>
    </w:p>
  </w:endnote>
  <w:endnote w:type="continuationSeparator" w:id="0">
    <w:p w:rsidR="00A51F4E" w:rsidRDefault="00A51F4E" w:rsidP="0076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F4E" w:rsidRPr="001027C8" w:rsidRDefault="00A51F4E" w:rsidP="001027C8">
    <w:pPr>
      <w:pStyle w:val="Footer"/>
      <w:tabs>
        <w:tab w:val="clear" w:pos="9360"/>
        <w:tab w:val="right" w:pos="10200"/>
      </w:tabs>
      <w:rPr>
        <w:sz w:val="20"/>
      </w:rPr>
    </w:pPr>
    <w:r w:rsidRPr="001027C8">
      <w:rPr>
        <w:sz w:val="20"/>
      </w:rPr>
      <w:t>Transfusion Service Laboratory</w:t>
    </w:r>
    <w:r>
      <w:rPr>
        <w:sz w:val="20"/>
      </w:rPr>
      <w:t xml:space="preserve"> </w:t>
    </w:r>
    <w:r>
      <w:rPr>
        <w:sz w:val="20"/>
      </w:rPr>
      <w:tab/>
    </w:r>
    <w:r>
      <w:rPr>
        <w:sz w:val="20"/>
      </w:rPr>
      <w:tab/>
      <w:t xml:space="preserve">          </w:t>
    </w:r>
    <w:r w:rsidRPr="001027C8">
      <w:rPr>
        <w:sz w:val="20"/>
      </w:rPr>
      <w:t xml:space="preserve">Page </w:t>
    </w:r>
    <w:r w:rsidRPr="001027C8">
      <w:rPr>
        <w:sz w:val="20"/>
      </w:rPr>
      <w:fldChar w:fldCharType="begin"/>
    </w:r>
    <w:r w:rsidRPr="001027C8">
      <w:rPr>
        <w:sz w:val="20"/>
      </w:rPr>
      <w:instrText xml:space="preserve"> PAGE </w:instrText>
    </w:r>
    <w:r w:rsidRPr="001027C8">
      <w:rPr>
        <w:sz w:val="20"/>
      </w:rPr>
      <w:fldChar w:fldCharType="separate"/>
    </w:r>
    <w:r w:rsidR="00B22EE6">
      <w:rPr>
        <w:noProof/>
        <w:sz w:val="20"/>
      </w:rPr>
      <w:t>2</w:t>
    </w:r>
    <w:r w:rsidRPr="001027C8">
      <w:rPr>
        <w:sz w:val="20"/>
      </w:rPr>
      <w:fldChar w:fldCharType="end"/>
    </w:r>
    <w:r w:rsidRPr="001027C8">
      <w:rPr>
        <w:sz w:val="20"/>
      </w:rPr>
      <w:t xml:space="preserve"> of </w:t>
    </w:r>
    <w:r w:rsidRPr="001027C8">
      <w:rPr>
        <w:sz w:val="20"/>
      </w:rPr>
      <w:fldChar w:fldCharType="begin"/>
    </w:r>
    <w:r w:rsidRPr="001027C8">
      <w:rPr>
        <w:sz w:val="20"/>
      </w:rPr>
      <w:instrText xml:space="preserve"> NUMPAGES </w:instrText>
    </w:r>
    <w:r w:rsidRPr="001027C8">
      <w:rPr>
        <w:sz w:val="20"/>
      </w:rPr>
      <w:fldChar w:fldCharType="separate"/>
    </w:r>
    <w:r w:rsidR="00B22EE6">
      <w:rPr>
        <w:noProof/>
        <w:sz w:val="20"/>
      </w:rPr>
      <w:t>3</w:t>
    </w:r>
    <w:r w:rsidRPr="001027C8">
      <w:rPr>
        <w:sz w:val="20"/>
      </w:rPr>
      <w:fldChar w:fldCharType="end"/>
    </w:r>
  </w:p>
  <w:p w:rsidR="00A51F4E" w:rsidRPr="001027C8" w:rsidRDefault="00A51F4E" w:rsidP="001027C8">
    <w:pPr>
      <w:pStyle w:val="Footer"/>
      <w:tabs>
        <w:tab w:val="clear" w:pos="9360"/>
      </w:tabs>
      <w:rPr>
        <w:sz w:val="20"/>
      </w:rPr>
    </w:pPr>
    <w:smartTag w:uri="urn:schemas-microsoft-com:office:smarttags" w:element="PlaceName">
      <w:smartTag w:uri="urn:schemas-microsoft-com:office:smarttags" w:element="place">
        <w:r w:rsidRPr="001027C8">
          <w:rPr>
            <w:sz w:val="20"/>
          </w:rPr>
          <w:t>Harborview</w:t>
        </w:r>
      </w:smartTag>
      <w:r w:rsidRPr="001027C8">
        <w:rPr>
          <w:sz w:val="20"/>
        </w:rPr>
        <w:t xml:space="preserve"> </w:t>
      </w:r>
      <w:smartTag w:uri="urn:schemas-microsoft-com:office:smarttags" w:element="PostalCode">
        <w:r w:rsidRPr="001027C8">
          <w:rPr>
            <w:sz w:val="20"/>
          </w:rPr>
          <w:t>Medical</w:t>
        </w:r>
      </w:smartTag>
      <w:r w:rsidRPr="001027C8">
        <w:rPr>
          <w:sz w:val="20"/>
        </w:rPr>
        <w:t xml:space="preserve"> </w:t>
      </w:r>
      <w:smartTag w:uri="urn:schemas-microsoft-com:office:smarttags" w:element="PostalCode">
        <w:r w:rsidRPr="001027C8">
          <w:rPr>
            <w:sz w:val="20"/>
          </w:rPr>
          <w:t>Center</w:t>
        </w:r>
      </w:smartTag>
    </w:smartTag>
    <w:r w:rsidRPr="001027C8">
      <w:rPr>
        <w:sz w:val="20"/>
      </w:rPr>
      <w:t xml:space="preserve">, </w:t>
    </w:r>
    <w:smartTag w:uri="urn:schemas-microsoft-com:office:smarttags" w:element="PostalCode">
      <w:r w:rsidRPr="001027C8">
        <w:rPr>
          <w:sz w:val="20"/>
        </w:rPr>
        <w:t>325 Ninth Ave.</w:t>
      </w:r>
    </w:smartTag>
    <w:r w:rsidRPr="001027C8">
      <w:rPr>
        <w:sz w:val="20"/>
      </w:rPr>
      <w:t xml:space="preserve">  </w:t>
    </w:r>
    <w:smartTag w:uri="urn:schemas-microsoft-com:office:smarttags" w:element="PostalCode">
      <w:smartTag w:uri="urn:schemas-microsoft-com:office:smarttags" w:element="PostalCode">
        <w:r w:rsidRPr="001027C8">
          <w:rPr>
            <w:sz w:val="20"/>
          </w:rPr>
          <w:t>Seattle</w:t>
        </w:r>
      </w:smartTag>
      <w:r w:rsidRPr="001027C8">
        <w:rPr>
          <w:sz w:val="20"/>
        </w:rPr>
        <w:t xml:space="preserve">, </w:t>
      </w:r>
      <w:smartTag w:uri="urn:schemas-microsoft-com:office:smarttags" w:element="PostalCode">
        <w:r w:rsidRPr="001027C8">
          <w:rPr>
            <w:sz w:val="20"/>
          </w:rPr>
          <w:t>WA</w:t>
        </w:r>
      </w:smartTag>
      <w:r w:rsidRPr="001027C8">
        <w:rPr>
          <w:sz w:val="20"/>
        </w:rPr>
        <w:t xml:space="preserve"> </w:t>
      </w:r>
      <w:smartTag w:uri="urn:schemas-microsoft-com:office:smarttags" w:element="PostalCode">
        <w:r w:rsidRPr="001027C8">
          <w:rPr>
            <w:sz w:val="20"/>
          </w:rPr>
          <w:t>98104</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F4E" w:rsidRDefault="00A51F4E" w:rsidP="00766D1A">
      <w:r>
        <w:separator/>
      </w:r>
    </w:p>
  </w:footnote>
  <w:footnote w:type="continuationSeparator" w:id="0">
    <w:p w:rsidR="00A51F4E" w:rsidRDefault="00A51F4E" w:rsidP="00766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F4E" w:rsidRDefault="00A51F4E">
    <w:pPr>
      <w:pStyle w:val="Header"/>
      <w:rPr>
        <w:sz w:val="20"/>
      </w:rPr>
    </w:pPr>
    <w:r w:rsidRPr="001027C8">
      <w:rPr>
        <w:sz w:val="20"/>
      </w:rPr>
      <w:t>Quality Policy:  Management of Nonconforming Events</w:t>
    </w:r>
  </w:p>
  <w:p w:rsidR="00A51F4E" w:rsidRPr="001027C8" w:rsidRDefault="00A51F4E">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49EF"/>
    <w:multiLevelType w:val="hybridMultilevel"/>
    <w:tmpl w:val="BC36ED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5791577"/>
    <w:multiLevelType w:val="multilevel"/>
    <w:tmpl w:val="CAE2C84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6F63173"/>
    <w:multiLevelType w:val="hybridMultilevel"/>
    <w:tmpl w:val="AFCA4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54053"/>
    <w:multiLevelType w:val="hybridMultilevel"/>
    <w:tmpl w:val="CAE2C84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C03DCA"/>
    <w:multiLevelType w:val="hybridMultilevel"/>
    <w:tmpl w:val="597AF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B507A82"/>
    <w:multiLevelType w:val="hybridMultilevel"/>
    <w:tmpl w:val="6E342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941F42"/>
    <w:multiLevelType w:val="hybridMultilevel"/>
    <w:tmpl w:val="AFE2D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A642F6"/>
    <w:multiLevelType w:val="hybridMultilevel"/>
    <w:tmpl w:val="F420F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05975F4"/>
    <w:multiLevelType w:val="hybridMultilevel"/>
    <w:tmpl w:val="E3FCBF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0C814F3"/>
    <w:multiLevelType w:val="hybridMultilevel"/>
    <w:tmpl w:val="E99ED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5BB0219"/>
    <w:multiLevelType w:val="hybridMultilevel"/>
    <w:tmpl w:val="438CD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92C1E9F"/>
    <w:multiLevelType w:val="hybridMultilevel"/>
    <w:tmpl w:val="BECC1A12"/>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7D7A57"/>
    <w:multiLevelType w:val="hybridMultilevel"/>
    <w:tmpl w:val="3934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7F115E"/>
    <w:multiLevelType w:val="hybridMultilevel"/>
    <w:tmpl w:val="F0A23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E020C7B"/>
    <w:multiLevelType w:val="hybridMultilevel"/>
    <w:tmpl w:val="0B88CE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F616E4"/>
    <w:multiLevelType w:val="hybridMultilevel"/>
    <w:tmpl w:val="5CE41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6393E96"/>
    <w:multiLevelType w:val="hybridMultilevel"/>
    <w:tmpl w:val="8E445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7513141"/>
    <w:multiLevelType w:val="hybridMultilevel"/>
    <w:tmpl w:val="A2EE2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D7F58E1"/>
    <w:multiLevelType w:val="hybridMultilevel"/>
    <w:tmpl w:val="F02ED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A72969"/>
    <w:multiLevelType w:val="hybridMultilevel"/>
    <w:tmpl w:val="AFA830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D19443B"/>
    <w:multiLevelType w:val="hybridMultilevel"/>
    <w:tmpl w:val="A7364B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17F08C7"/>
    <w:multiLevelType w:val="hybridMultilevel"/>
    <w:tmpl w:val="4B8A4008"/>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D95E8F"/>
    <w:multiLevelType w:val="hybridMultilevel"/>
    <w:tmpl w:val="C8588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F1B2636"/>
    <w:multiLevelType w:val="hybridMultilevel"/>
    <w:tmpl w:val="05EA2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2D94159"/>
    <w:multiLevelType w:val="hybridMultilevel"/>
    <w:tmpl w:val="906E5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5D40F66"/>
    <w:multiLevelType w:val="hybridMultilevel"/>
    <w:tmpl w:val="8DA47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9B90F42"/>
    <w:multiLevelType w:val="hybridMultilevel"/>
    <w:tmpl w:val="1938BF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AEA3A27"/>
    <w:multiLevelType w:val="hybridMultilevel"/>
    <w:tmpl w:val="6D48FD3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0D05C8"/>
    <w:multiLevelType w:val="hybridMultilevel"/>
    <w:tmpl w:val="FAF2A6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E23571F"/>
    <w:multiLevelType w:val="hybridMultilevel"/>
    <w:tmpl w:val="FA30C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E7F0FF6"/>
    <w:multiLevelType w:val="hybridMultilevel"/>
    <w:tmpl w:val="FFD8B1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5"/>
  </w:num>
  <w:num w:numId="3">
    <w:abstractNumId w:val="23"/>
  </w:num>
  <w:num w:numId="4">
    <w:abstractNumId w:val="15"/>
  </w:num>
  <w:num w:numId="5">
    <w:abstractNumId w:val="4"/>
  </w:num>
  <w:num w:numId="6">
    <w:abstractNumId w:val="11"/>
  </w:num>
  <w:num w:numId="7">
    <w:abstractNumId w:val="27"/>
  </w:num>
  <w:num w:numId="8">
    <w:abstractNumId w:val="21"/>
  </w:num>
  <w:num w:numId="9">
    <w:abstractNumId w:val="17"/>
  </w:num>
  <w:num w:numId="10">
    <w:abstractNumId w:val="29"/>
  </w:num>
  <w:num w:numId="11">
    <w:abstractNumId w:val="22"/>
  </w:num>
  <w:num w:numId="12">
    <w:abstractNumId w:val="9"/>
  </w:num>
  <w:num w:numId="13">
    <w:abstractNumId w:val="2"/>
  </w:num>
  <w:num w:numId="14">
    <w:abstractNumId w:val="12"/>
  </w:num>
  <w:num w:numId="15">
    <w:abstractNumId w:val="18"/>
  </w:num>
  <w:num w:numId="16">
    <w:abstractNumId w:val="16"/>
  </w:num>
  <w:num w:numId="17">
    <w:abstractNumId w:val="6"/>
  </w:num>
  <w:num w:numId="18">
    <w:abstractNumId w:val="13"/>
  </w:num>
  <w:num w:numId="19">
    <w:abstractNumId w:val="19"/>
  </w:num>
  <w:num w:numId="20">
    <w:abstractNumId w:val="26"/>
  </w:num>
  <w:num w:numId="21">
    <w:abstractNumId w:val="20"/>
  </w:num>
  <w:num w:numId="22">
    <w:abstractNumId w:val="30"/>
  </w:num>
  <w:num w:numId="23">
    <w:abstractNumId w:val="0"/>
  </w:num>
  <w:num w:numId="24">
    <w:abstractNumId w:val="8"/>
  </w:num>
  <w:num w:numId="25">
    <w:abstractNumId w:val="3"/>
  </w:num>
  <w:num w:numId="26">
    <w:abstractNumId w:val="28"/>
  </w:num>
  <w:num w:numId="27">
    <w:abstractNumId w:val="1"/>
  </w:num>
  <w:num w:numId="28">
    <w:abstractNumId w:val="14"/>
  </w:num>
  <w:num w:numId="29">
    <w:abstractNumId w:val="7"/>
  </w:num>
  <w:num w:numId="30">
    <w:abstractNumId w:val="2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AF"/>
    <w:rsid w:val="00011DF8"/>
    <w:rsid w:val="00014A05"/>
    <w:rsid w:val="001027C8"/>
    <w:rsid w:val="00176CEA"/>
    <w:rsid w:val="001942E7"/>
    <w:rsid w:val="00203FD1"/>
    <w:rsid w:val="0027244A"/>
    <w:rsid w:val="002F045B"/>
    <w:rsid w:val="00300D5D"/>
    <w:rsid w:val="003C1E7C"/>
    <w:rsid w:val="003C2720"/>
    <w:rsid w:val="003C4983"/>
    <w:rsid w:val="003D79BF"/>
    <w:rsid w:val="003E71AA"/>
    <w:rsid w:val="00405E8B"/>
    <w:rsid w:val="004360E8"/>
    <w:rsid w:val="004F5527"/>
    <w:rsid w:val="00545B22"/>
    <w:rsid w:val="00574A2A"/>
    <w:rsid w:val="00595CF8"/>
    <w:rsid w:val="00624727"/>
    <w:rsid w:val="0064249A"/>
    <w:rsid w:val="00690025"/>
    <w:rsid w:val="00697F31"/>
    <w:rsid w:val="006E517E"/>
    <w:rsid w:val="006F7BFC"/>
    <w:rsid w:val="00730CDF"/>
    <w:rsid w:val="007405A3"/>
    <w:rsid w:val="00766D1A"/>
    <w:rsid w:val="00782BC7"/>
    <w:rsid w:val="007922CB"/>
    <w:rsid w:val="007F7E96"/>
    <w:rsid w:val="00816F5B"/>
    <w:rsid w:val="00877EB4"/>
    <w:rsid w:val="008B17AA"/>
    <w:rsid w:val="008B626F"/>
    <w:rsid w:val="00937203"/>
    <w:rsid w:val="00A51F4E"/>
    <w:rsid w:val="00A532A1"/>
    <w:rsid w:val="00AC483C"/>
    <w:rsid w:val="00B22EE6"/>
    <w:rsid w:val="00B82215"/>
    <w:rsid w:val="00BA6291"/>
    <w:rsid w:val="00C03543"/>
    <w:rsid w:val="00C34EFD"/>
    <w:rsid w:val="00C46B3B"/>
    <w:rsid w:val="00C82C04"/>
    <w:rsid w:val="00C854C8"/>
    <w:rsid w:val="00D05A98"/>
    <w:rsid w:val="00DB1567"/>
    <w:rsid w:val="00DE02D4"/>
    <w:rsid w:val="00E45EBB"/>
    <w:rsid w:val="00E607D0"/>
    <w:rsid w:val="00E77122"/>
    <w:rsid w:val="00EE69BC"/>
    <w:rsid w:val="00F05BAF"/>
    <w:rsid w:val="00F5541A"/>
    <w:rsid w:val="00F60552"/>
    <w:rsid w:val="00FA4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AF"/>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F55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66D1A"/>
    <w:pPr>
      <w:tabs>
        <w:tab w:val="center" w:pos="4680"/>
        <w:tab w:val="right" w:pos="9360"/>
      </w:tabs>
    </w:pPr>
  </w:style>
  <w:style w:type="character" w:customStyle="1" w:styleId="HeaderChar">
    <w:name w:val="Header Char"/>
    <w:basedOn w:val="DefaultParagraphFont"/>
    <w:link w:val="Header"/>
    <w:uiPriority w:val="99"/>
    <w:locked/>
    <w:rsid w:val="00766D1A"/>
    <w:rPr>
      <w:rFonts w:cs="Times New Roman"/>
      <w:sz w:val="24"/>
    </w:rPr>
  </w:style>
  <w:style w:type="paragraph" w:styleId="Footer">
    <w:name w:val="footer"/>
    <w:basedOn w:val="Normal"/>
    <w:link w:val="FooterChar"/>
    <w:uiPriority w:val="99"/>
    <w:rsid w:val="00766D1A"/>
    <w:pPr>
      <w:tabs>
        <w:tab w:val="center" w:pos="4680"/>
        <w:tab w:val="right" w:pos="9360"/>
      </w:tabs>
    </w:pPr>
  </w:style>
  <w:style w:type="character" w:customStyle="1" w:styleId="FooterChar">
    <w:name w:val="Footer Char"/>
    <w:basedOn w:val="DefaultParagraphFont"/>
    <w:link w:val="Footer"/>
    <w:uiPriority w:val="99"/>
    <w:locked/>
    <w:rsid w:val="00766D1A"/>
    <w:rPr>
      <w:rFonts w:cs="Times New Roman"/>
      <w:sz w:val="24"/>
    </w:rPr>
  </w:style>
  <w:style w:type="paragraph" w:styleId="ListParagraph">
    <w:name w:val="List Paragraph"/>
    <w:basedOn w:val="Normal"/>
    <w:uiPriority w:val="99"/>
    <w:qFormat/>
    <w:rsid w:val="00766D1A"/>
    <w:pPr>
      <w:ind w:left="720"/>
      <w:contextualSpacing/>
    </w:pPr>
  </w:style>
  <w:style w:type="paragraph" w:styleId="BalloonText">
    <w:name w:val="Balloon Text"/>
    <w:basedOn w:val="Normal"/>
    <w:link w:val="BalloonTextChar"/>
    <w:uiPriority w:val="99"/>
    <w:semiHidden/>
    <w:unhideWhenUsed/>
    <w:rsid w:val="00C46B3B"/>
    <w:rPr>
      <w:rFonts w:ascii="Tahoma" w:hAnsi="Tahoma" w:cs="Tahoma"/>
      <w:sz w:val="16"/>
      <w:szCs w:val="16"/>
    </w:rPr>
  </w:style>
  <w:style w:type="character" w:customStyle="1" w:styleId="BalloonTextChar">
    <w:name w:val="Balloon Text Char"/>
    <w:basedOn w:val="DefaultParagraphFont"/>
    <w:link w:val="BalloonText"/>
    <w:uiPriority w:val="99"/>
    <w:semiHidden/>
    <w:rsid w:val="00C46B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AF"/>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F55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66D1A"/>
    <w:pPr>
      <w:tabs>
        <w:tab w:val="center" w:pos="4680"/>
        <w:tab w:val="right" w:pos="9360"/>
      </w:tabs>
    </w:pPr>
  </w:style>
  <w:style w:type="character" w:customStyle="1" w:styleId="HeaderChar">
    <w:name w:val="Header Char"/>
    <w:basedOn w:val="DefaultParagraphFont"/>
    <w:link w:val="Header"/>
    <w:uiPriority w:val="99"/>
    <w:locked/>
    <w:rsid w:val="00766D1A"/>
    <w:rPr>
      <w:rFonts w:cs="Times New Roman"/>
      <w:sz w:val="24"/>
    </w:rPr>
  </w:style>
  <w:style w:type="paragraph" w:styleId="Footer">
    <w:name w:val="footer"/>
    <w:basedOn w:val="Normal"/>
    <w:link w:val="FooterChar"/>
    <w:uiPriority w:val="99"/>
    <w:rsid w:val="00766D1A"/>
    <w:pPr>
      <w:tabs>
        <w:tab w:val="center" w:pos="4680"/>
        <w:tab w:val="right" w:pos="9360"/>
      </w:tabs>
    </w:pPr>
  </w:style>
  <w:style w:type="character" w:customStyle="1" w:styleId="FooterChar">
    <w:name w:val="Footer Char"/>
    <w:basedOn w:val="DefaultParagraphFont"/>
    <w:link w:val="Footer"/>
    <w:uiPriority w:val="99"/>
    <w:locked/>
    <w:rsid w:val="00766D1A"/>
    <w:rPr>
      <w:rFonts w:cs="Times New Roman"/>
      <w:sz w:val="24"/>
    </w:rPr>
  </w:style>
  <w:style w:type="paragraph" w:styleId="ListParagraph">
    <w:name w:val="List Paragraph"/>
    <w:basedOn w:val="Normal"/>
    <w:uiPriority w:val="99"/>
    <w:qFormat/>
    <w:rsid w:val="00766D1A"/>
    <w:pPr>
      <w:ind w:left="720"/>
      <w:contextualSpacing/>
    </w:pPr>
  </w:style>
  <w:style w:type="paragraph" w:styleId="BalloonText">
    <w:name w:val="Balloon Text"/>
    <w:basedOn w:val="Normal"/>
    <w:link w:val="BalloonTextChar"/>
    <w:uiPriority w:val="99"/>
    <w:semiHidden/>
    <w:unhideWhenUsed/>
    <w:rsid w:val="00C46B3B"/>
    <w:rPr>
      <w:rFonts w:ascii="Tahoma" w:hAnsi="Tahoma" w:cs="Tahoma"/>
      <w:sz w:val="16"/>
      <w:szCs w:val="16"/>
    </w:rPr>
  </w:style>
  <w:style w:type="character" w:customStyle="1" w:styleId="BalloonTextChar">
    <w:name w:val="Balloon Text Char"/>
    <w:basedOn w:val="DefaultParagraphFont"/>
    <w:link w:val="BalloonText"/>
    <w:uiPriority w:val="99"/>
    <w:semiHidden/>
    <w:rsid w:val="00C46B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pts.washington.edu/labweb/index.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629</Words>
  <Characters>4374</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lpstr>
    </vt:vector>
  </TitlesOfParts>
  <Company>UWMC</Company>
  <LinksUpToDate>false</LinksUpToDate>
  <CharactersWithSpaces>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jad2210</dc:creator>
  <cp:keywords/>
  <dc:description/>
  <cp:lastModifiedBy>Brenda Hayden</cp:lastModifiedBy>
  <cp:revision>2</cp:revision>
  <cp:lastPrinted>2013-08-20T21:31:00Z</cp:lastPrinted>
  <dcterms:created xsi:type="dcterms:W3CDTF">2013-11-21T22:29:00Z</dcterms:created>
  <dcterms:modified xsi:type="dcterms:W3CDTF">2013-11-21T22:29:00Z</dcterms:modified>
</cp:coreProperties>
</file>