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1" w:rsidRPr="00493DFB" w:rsidRDefault="00B51B01" w:rsidP="00837B55">
      <w:pPr>
        <w:ind w:left="-180"/>
        <w:rPr>
          <w:rFonts w:ascii="Arial" w:hAnsi="Arial" w:cs="Arial"/>
          <w:sz w:val="22"/>
          <w:szCs w:val="22"/>
        </w:rPr>
      </w:pPr>
      <w:r w:rsidRPr="00493DFB">
        <w:rPr>
          <w:rFonts w:ascii="Arial" w:hAnsi="Arial" w:cs="Arial"/>
          <w:b/>
          <w:sz w:val="22"/>
          <w:szCs w:val="22"/>
        </w:rPr>
        <w:t>Purpose</w:t>
      </w:r>
      <w:r w:rsidRPr="00493DFB">
        <w:rPr>
          <w:rFonts w:ascii="Arial" w:hAnsi="Arial" w:cs="Arial"/>
          <w:sz w:val="22"/>
          <w:szCs w:val="22"/>
        </w:rPr>
        <w:t xml:space="preserve">: To describe the </w:t>
      </w:r>
      <w:r w:rsidR="00B41143">
        <w:rPr>
          <w:rFonts w:ascii="Arial" w:hAnsi="Arial" w:cs="Arial"/>
          <w:sz w:val="22"/>
          <w:szCs w:val="22"/>
        </w:rPr>
        <w:t xml:space="preserve">ABO/Rh </w:t>
      </w:r>
      <w:r w:rsidRPr="00493DFB">
        <w:rPr>
          <w:rFonts w:ascii="Arial" w:hAnsi="Arial" w:cs="Arial"/>
          <w:sz w:val="22"/>
          <w:szCs w:val="22"/>
        </w:rPr>
        <w:t xml:space="preserve">selection </w:t>
      </w:r>
      <w:r w:rsidR="00B41143">
        <w:rPr>
          <w:rFonts w:ascii="Arial" w:hAnsi="Arial" w:cs="Arial"/>
          <w:sz w:val="22"/>
          <w:szCs w:val="22"/>
        </w:rPr>
        <w:t xml:space="preserve">of platelets, plasma and cryoprecipitate </w:t>
      </w:r>
      <w:r w:rsidR="00B41143" w:rsidRPr="00493DFB">
        <w:rPr>
          <w:rFonts w:ascii="Arial" w:hAnsi="Arial" w:cs="Arial"/>
          <w:sz w:val="22"/>
          <w:szCs w:val="22"/>
        </w:rPr>
        <w:t>at</w:t>
      </w:r>
      <w:r w:rsidR="006D6D22">
        <w:rPr>
          <w:rFonts w:ascii="Arial" w:hAnsi="Arial" w:cs="Arial"/>
          <w:sz w:val="22"/>
          <w:szCs w:val="22"/>
        </w:rPr>
        <w:t xml:space="preserve"> Harborview Medical Center (HMC</w:t>
      </w:r>
      <w:r w:rsidR="000045CC">
        <w:rPr>
          <w:rFonts w:ascii="Arial" w:hAnsi="Arial" w:cs="Arial"/>
          <w:sz w:val="22"/>
          <w:szCs w:val="22"/>
        </w:rPr>
        <w:t>) including</w:t>
      </w:r>
      <w:r w:rsidR="00B41143">
        <w:rPr>
          <w:rFonts w:ascii="Arial" w:hAnsi="Arial" w:cs="Arial"/>
          <w:sz w:val="22"/>
          <w:szCs w:val="22"/>
        </w:rPr>
        <w:t xml:space="preserve"> alternative selections</w:t>
      </w:r>
      <w:r w:rsidR="006D6D22">
        <w:rPr>
          <w:rFonts w:ascii="Arial" w:hAnsi="Arial" w:cs="Arial"/>
          <w:sz w:val="22"/>
          <w:szCs w:val="22"/>
        </w:rPr>
        <w:t xml:space="preserve"> </w:t>
      </w:r>
      <w:r w:rsidRPr="00493DFB">
        <w:rPr>
          <w:rFonts w:ascii="Arial" w:hAnsi="Arial" w:cs="Arial"/>
          <w:sz w:val="22"/>
          <w:szCs w:val="22"/>
        </w:rPr>
        <w:t xml:space="preserve">when ABO/Rh identical </w:t>
      </w:r>
      <w:r w:rsidR="006D6D22">
        <w:rPr>
          <w:rFonts w:ascii="Arial" w:hAnsi="Arial" w:cs="Arial"/>
          <w:sz w:val="22"/>
          <w:szCs w:val="22"/>
        </w:rPr>
        <w:t xml:space="preserve">products </w:t>
      </w:r>
      <w:r w:rsidRPr="00493DFB">
        <w:rPr>
          <w:rFonts w:ascii="Arial" w:hAnsi="Arial" w:cs="Arial"/>
          <w:sz w:val="22"/>
          <w:szCs w:val="22"/>
        </w:rPr>
        <w:t xml:space="preserve">are </w:t>
      </w:r>
      <w:r w:rsidR="000045CC">
        <w:rPr>
          <w:rFonts w:ascii="Arial" w:hAnsi="Arial" w:cs="Arial"/>
          <w:sz w:val="22"/>
          <w:szCs w:val="22"/>
        </w:rPr>
        <w:t>un</w:t>
      </w:r>
      <w:r w:rsidRPr="00493DFB">
        <w:rPr>
          <w:rFonts w:ascii="Arial" w:hAnsi="Arial" w:cs="Arial"/>
          <w:sz w:val="22"/>
          <w:szCs w:val="22"/>
        </w:rPr>
        <w:t xml:space="preserve">able to </w:t>
      </w:r>
      <w:r w:rsidR="0033613E">
        <w:rPr>
          <w:rFonts w:ascii="Arial" w:hAnsi="Arial" w:cs="Arial"/>
          <w:sz w:val="22"/>
          <w:szCs w:val="22"/>
        </w:rPr>
        <w:t>be transfused</w:t>
      </w:r>
      <w:r w:rsidRPr="00493DFB">
        <w:rPr>
          <w:rFonts w:ascii="Arial" w:hAnsi="Arial" w:cs="Arial"/>
          <w:sz w:val="22"/>
          <w:szCs w:val="22"/>
        </w:rPr>
        <w:t xml:space="preserve"> due to inventory management issues.</w:t>
      </w:r>
    </w:p>
    <w:p w:rsidR="00B51B01" w:rsidRPr="00493DFB" w:rsidRDefault="00B51B01" w:rsidP="00837B55">
      <w:pPr>
        <w:ind w:left="-180"/>
        <w:rPr>
          <w:rFonts w:ascii="Arial" w:hAnsi="Arial" w:cs="Arial"/>
          <w:sz w:val="22"/>
          <w:szCs w:val="22"/>
        </w:rPr>
      </w:pPr>
    </w:p>
    <w:p w:rsidR="003A6BBB" w:rsidRDefault="00B51B01" w:rsidP="00837B55">
      <w:pPr>
        <w:ind w:left="-180"/>
        <w:rPr>
          <w:rFonts w:ascii="Arial" w:hAnsi="Arial" w:cs="Arial"/>
          <w:b/>
          <w:sz w:val="22"/>
          <w:szCs w:val="22"/>
        </w:rPr>
      </w:pPr>
      <w:r w:rsidRPr="00493DFB">
        <w:rPr>
          <w:rFonts w:ascii="Arial" w:hAnsi="Arial" w:cs="Arial"/>
          <w:b/>
          <w:sz w:val="22"/>
          <w:szCs w:val="22"/>
        </w:rPr>
        <w:t xml:space="preserve">Policy: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020"/>
        <w:gridCol w:w="2340"/>
      </w:tblGrid>
      <w:tr w:rsidR="00493DFB" w:rsidRPr="0004426A" w:rsidTr="003C7798">
        <w:trPr>
          <w:trHeight w:val="548"/>
        </w:trPr>
        <w:tc>
          <w:tcPr>
            <w:tcW w:w="720" w:type="dxa"/>
          </w:tcPr>
          <w:p w:rsidR="00493DFB" w:rsidRPr="0004426A" w:rsidRDefault="00493DFB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0" w:type="dxa"/>
          </w:tcPr>
          <w:p w:rsidR="00493DFB" w:rsidRPr="0004426A" w:rsidRDefault="001D3B62" w:rsidP="003C77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</w:tc>
        <w:tc>
          <w:tcPr>
            <w:tcW w:w="2340" w:type="dxa"/>
          </w:tcPr>
          <w:p w:rsidR="00493DFB" w:rsidRPr="0004426A" w:rsidRDefault="00493DFB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51B01" w:rsidRPr="0004426A" w:rsidTr="003C7798">
        <w:trPr>
          <w:trHeight w:val="647"/>
        </w:trPr>
        <w:tc>
          <w:tcPr>
            <w:tcW w:w="720" w:type="dxa"/>
          </w:tcPr>
          <w:p w:rsidR="00B51B01" w:rsidRPr="0004426A" w:rsidRDefault="00493DFB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20" w:type="dxa"/>
          </w:tcPr>
          <w:p w:rsidR="00B51B01" w:rsidRPr="0004426A" w:rsidRDefault="006D6D22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 xml:space="preserve">When inventory allows, ABO/Rh typed patients </w:t>
            </w:r>
            <w:r w:rsidR="0033613E" w:rsidRPr="0004426A">
              <w:rPr>
                <w:rFonts w:ascii="Arial" w:hAnsi="Arial" w:cs="Arial"/>
                <w:sz w:val="22"/>
                <w:szCs w:val="22"/>
              </w:rPr>
              <w:t>shall</w:t>
            </w:r>
            <w:r w:rsidR="003C7798">
              <w:rPr>
                <w:rFonts w:ascii="Arial" w:hAnsi="Arial" w:cs="Arial"/>
                <w:sz w:val="22"/>
                <w:szCs w:val="22"/>
              </w:rPr>
              <w:t xml:space="preserve"> receive ABO</w:t>
            </w:r>
            <w:r w:rsidRPr="0004426A">
              <w:rPr>
                <w:rFonts w:ascii="Arial" w:hAnsi="Arial" w:cs="Arial"/>
                <w:sz w:val="22"/>
                <w:szCs w:val="22"/>
              </w:rPr>
              <w:t xml:space="preserve"> identical platelets and ABO identical plasma.</w:t>
            </w:r>
            <w:r w:rsidR="001B319D" w:rsidRPr="000442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B51B01" w:rsidRPr="0004426A" w:rsidRDefault="00B51B01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B62" w:rsidRPr="0004426A" w:rsidTr="003C7798">
        <w:trPr>
          <w:trHeight w:val="530"/>
        </w:trPr>
        <w:tc>
          <w:tcPr>
            <w:tcW w:w="7740" w:type="dxa"/>
            <w:gridSpan w:val="2"/>
          </w:tcPr>
          <w:p w:rsidR="001D3B62" w:rsidRPr="0004426A" w:rsidRDefault="001D3B62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Platelets</w:t>
            </w:r>
          </w:p>
        </w:tc>
        <w:tc>
          <w:tcPr>
            <w:tcW w:w="2340" w:type="dxa"/>
          </w:tcPr>
          <w:p w:rsidR="001D3B62" w:rsidRPr="0004426A" w:rsidRDefault="001D3B62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0051" w:rsidRPr="00D82B1B" w:rsidTr="003C7798">
        <w:trPr>
          <w:trHeight w:val="890"/>
        </w:trPr>
        <w:tc>
          <w:tcPr>
            <w:tcW w:w="720" w:type="dxa"/>
          </w:tcPr>
          <w:p w:rsidR="00620051" w:rsidRPr="00D82B1B" w:rsidRDefault="00620051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20" w:type="dxa"/>
          </w:tcPr>
          <w:p w:rsidR="0052205C" w:rsidRDefault="003C7798" w:rsidP="00C7380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Plate</w:t>
            </w:r>
            <w:r w:rsidR="00C73809">
              <w:rPr>
                <w:rFonts w:ascii="Arial" w:hAnsi="Arial" w:cs="Arial"/>
                <w:sz w:val="22"/>
                <w:szCs w:val="22"/>
              </w:rPr>
              <w:t>lets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can be given without reference to a patien</w:t>
            </w:r>
            <w:r w:rsidR="00C73809">
              <w:rPr>
                <w:rFonts w:ascii="Arial" w:hAnsi="Arial" w:cs="Arial"/>
                <w:sz w:val="22"/>
                <w:szCs w:val="22"/>
              </w:rPr>
              <w:t xml:space="preserve">t’s Rh type, </w:t>
            </w:r>
            <w:r w:rsidR="00C73809" w:rsidRPr="00C73809">
              <w:rPr>
                <w:rFonts w:ascii="Arial" w:hAnsi="Arial" w:cs="Arial"/>
                <w:b/>
                <w:i/>
                <w:sz w:val="22"/>
                <w:szCs w:val="22"/>
              </w:rPr>
              <w:t>except</w:t>
            </w:r>
            <w:r w:rsidR="00C73809" w:rsidRPr="00C7380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C73809">
              <w:rPr>
                <w:rFonts w:ascii="Arial" w:hAnsi="Arial" w:cs="Arial"/>
                <w:i/>
                <w:sz w:val="22"/>
                <w:szCs w:val="22"/>
              </w:rPr>
              <w:t xml:space="preserve">to </w:t>
            </w:r>
            <w:r w:rsidR="00C73809" w:rsidRPr="00C73809">
              <w:rPr>
                <w:rFonts w:ascii="Arial" w:hAnsi="Arial" w:cs="Arial"/>
                <w:i/>
                <w:sz w:val="22"/>
                <w:szCs w:val="22"/>
              </w:rPr>
              <w:t>neonates and infants &lt; 4 months of</w:t>
            </w:r>
            <w:r w:rsidR="00C73809">
              <w:rPr>
                <w:rFonts w:ascii="Arial" w:hAnsi="Arial" w:cs="Arial"/>
                <w:i/>
                <w:sz w:val="22"/>
                <w:szCs w:val="22"/>
              </w:rPr>
              <w:t xml:space="preserve"> age</w:t>
            </w:r>
            <w:r w:rsidRPr="00D82B1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73809" w:rsidRPr="00D82B1B" w:rsidRDefault="00C73809" w:rsidP="00C7380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Table 1.</w:t>
            </w:r>
          </w:p>
        </w:tc>
        <w:tc>
          <w:tcPr>
            <w:tcW w:w="2340" w:type="dxa"/>
          </w:tcPr>
          <w:p w:rsidR="00620051" w:rsidRPr="00D82B1B" w:rsidRDefault="00620051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B01" w:rsidRPr="00D82B1B" w:rsidTr="00C73809">
        <w:trPr>
          <w:trHeight w:val="2510"/>
        </w:trPr>
        <w:tc>
          <w:tcPr>
            <w:tcW w:w="720" w:type="dxa"/>
          </w:tcPr>
          <w:p w:rsidR="00B51B01" w:rsidRPr="00D82B1B" w:rsidRDefault="00BE544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20" w:type="dxa"/>
          </w:tcPr>
          <w:p w:rsidR="00FC693E" w:rsidRPr="00D82B1B" w:rsidRDefault="006D6D22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Patients </w:t>
            </w:r>
            <w:r w:rsidRPr="00D82B1B">
              <w:rPr>
                <w:rFonts w:ascii="Arial" w:hAnsi="Arial" w:cs="Arial"/>
                <w:sz w:val="22"/>
                <w:szCs w:val="22"/>
                <w:u w:val="single"/>
              </w:rPr>
              <w:t>without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an ABO</w:t>
            </w:r>
            <w:r w:rsidR="001B319D" w:rsidRPr="00D82B1B">
              <w:rPr>
                <w:rFonts w:ascii="Arial" w:hAnsi="Arial" w:cs="Arial"/>
                <w:sz w:val="22"/>
                <w:szCs w:val="22"/>
              </w:rPr>
              <w:t>/Rh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type from their current HMC encounter</w:t>
            </w:r>
            <w:r w:rsidR="0033613E" w:rsidRPr="00D82B1B">
              <w:rPr>
                <w:rFonts w:ascii="Arial" w:hAnsi="Arial" w:cs="Arial"/>
                <w:sz w:val="22"/>
                <w:szCs w:val="22"/>
              </w:rPr>
              <w:t>,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1B319D" w:rsidRPr="00D82B1B">
              <w:rPr>
                <w:rFonts w:ascii="Arial" w:hAnsi="Arial" w:cs="Arial"/>
                <w:sz w:val="22"/>
                <w:szCs w:val="22"/>
              </w:rPr>
              <w:t xml:space="preserve">patients </w:t>
            </w:r>
            <w:r w:rsidRPr="00D82B1B">
              <w:rPr>
                <w:rFonts w:ascii="Arial" w:hAnsi="Arial" w:cs="Arial"/>
                <w:sz w:val="22"/>
                <w:szCs w:val="22"/>
              </w:rPr>
              <w:t>who do not have a total of 2 serologic ABO</w:t>
            </w:r>
            <w:r w:rsidR="00807B26" w:rsidRPr="00D82B1B">
              <w:rPr>
                <w:rFonts w:ascii="Arial" w:hAnsi="Arial" w:cs="Arial"/>
                <w:sz w:val="22"/>
                <w:szCs w:val="22"/>
              </w:rPr>
              <w:t>/Rh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7B26" w:rsidRPr="00D82B1B">
              <w:rPr>
                <w:rFonts w:ascii="Arial" w:hAnsi="Arial" w:cs="Arial"/>
                <w:sz w:val="22"/>
                <w:szCs w:val="22"/>
              </w:rPr>
              <w:t xml:space="preserve">type 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results over </w:t>
            </w:r>
            <w:r w:rsidR="00F5630E" w:rsidRPr="00D82B1B">
              <w:rPr>
                <w:rFonts w:ascii="Arial" w:hAnsi="Arial" w:cs="Arial"/>
                <w:sz w:val="22"/>
                <w:szCs w:val="22"/>
              </w:rPr>
              <w:t>all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HMC encounter</w:t>
            </w:r>
            <w:r w:rsidR="001B319D" w:rsidRPr="00D82B1B">
              <w:rPr>
                <w:rFonts w:ascii="Arial" w:hAnsi="Arial" w:cs="Arial"/>
                <w:sz w:val="22"/>
                <w:szCs w:val="22"/>
              </w:rPr>
              <w:t>s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shall receive</w:t>
            </w:r>
            <w:r w:rsidR="00FC693E" w:rsidRPr="00D82B1B">
              <w:rPr>
                <w:rFonts w:ascii="Arial" w:hAnsi="Arial" w:cs="Arial"/>
                <w:sz w:val="22"/>
                <w:szCs w:val="22"/>
              </w:rPr>
              <w:t xml:space="preserve"> univ</w:t>
            </w:r>
            <w:r w:rsidR="00C73809">
              <w:rPr>
                <w:rFonts w:ascii="Arial" w:hAnsi="Arial" w:cs="Arial"/>
                <w:sz w:val="22"/>
                <w:szCs w:val="22"/>
              </w:rPr>
              <w:t>ersal donor platelets</w:t>
            </w:r>
            <w:r w:rsidR="00FC693E" w:rsidRPr="00D82B1B">
              <w:rPr>
                <w:rFonts w:ascii="Arial" w:hAnsi="Arial" w:cs="Arial"/>
                <w:sz w:val="22"/>
                <w:szCs w:val="22"/>
              </w:rPr>
              <w:t>: i.e.</w:t>
            </w:r>
          </w:p>
          <w:p w:rsidR="0033613E" w:rsidRPr="00D82B1B" w:rsidRDefault="00FC693E" w:rsidP="003C779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G</w:t>
            </w:r>
            <w:r w:rsidR="006D6D22" w:rsidRPr="00D82B1B">
              <w:rPr>
                <w:rFonts w:ascii="Arial" w:hAnsi="Arial" w:cs="Arial"/>
                <w:sz w:val="22"/>
                <w:szCs w:val="22"/>
              </w:rPr>
              <w:t xml:space="preserve">roup </w:t>
            </w:r>
            <w:r w:rsidR="00EB7688" w:rsidRPr="00D82B1B">
              <w:rPr>
                <w:rFonts w:ascii="Arial" w:hAnsi="Arial" w:cs="Arial"/>
                <w:sz w:val="22"/>
                <w:szCs w:val="22"/>
              </w:rPr>
              <w:t xml:space="preserve">B, </w:t>
            </w:r>
            <w:r w:rsidR="006D6D22" w:rsidRPr="00D82B1B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or AB </w:t>
            </w:r>
            <w:r w:rsidR="006D6D22" w:rsidRPr="00D82B1B">
              <w:rPr>
                <w:rFonts w:ascii="Arial" w:hAnsi="Arial" w:cs="Arial"/>
                <w:sz w:val="22"/>
                <w:szCs w:val="22"/>
              </w:rPr>
              <w:t>platelets</w:t>
            </w:r>
            <w:r w:rsidR="0033613E" w:rsidRPr="00D82B1B">
              <w:rPr>
                <w:rFonts w:ascii="Arial" w:hAnsi="Arial" w:cs="Arial"/>
                <w:sz w:val="22"/>
                <w:szCs w:val="22"/>
              </w:rPr>
              <w:t xml:space="preserve"> if ≥ 4 months of age</w:t>
            </w:r>
          </w:p>
          <w:p w:rsidR="00807B26" w:rsidRPr="00C73809" w:rsidRDefault="0033613E" w:rsidP="00C7380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Group AB platelets if &lt; 4 months of age</w:t>
            </w:r>
          </w:p>
          <w:p w:rsidR="00C73809" w:rsidRPr="00C73809" w:rsidRDefault="00807B26" w:rsidP="00C7380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If these ABO types are not available, please notify </w:t>
            </w:r>
            <w:r w:rsidR="00DE6012" w:rsidRPr="00D82B1B">
              <w:rPr>
                <w:rFonts w:ascii="Arial" w:hAnsi="Arial" w:cs="Arial"/>
                <w:sz w:val="22"/>
                <w:szCs w:val="22"/>
              </w:rPr>
              <w:t xml:space="preserve">Transfusion Services </w:t>
            </w:r>
            <w:r w:rsidR="0026248F" w:rsidRPr="00D82B1B">
              <w:rPr>
                <w:rFonts w:ascii="Arial" w:hAnsi="Arial" w:cs="Arial"/>
                <w:sz w:val="22"/>
                <w:szCs w:val="22"/>
              </w:rPr>
              <w:t xml:space="preserve">(TS) </w:t>
            </w:r>
            <w:r w:rsidR="00DE6012" w:rsidRPr="00D82B1B">
              <w:rPr>
                <w:rFonts w:ascii="Arial" w:hAnsi="Arial" w:cs="Arial"/>
                <w:sz w:val="22"/>
                <w:szCs w:val="22"/>
              </w:rPr>
              <w:t>Medical Director or Resident/Covering Physician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for direction and approval of another ABO type</w:t>
            </w:r>
            <w:r w:rsidR="003C7798" w:rsidRPr="00D82B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B51B01" w:rsidRPr="00D82B1B" w:rsidRDefault="00B51B01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460" w:rsidRPr="00D82B1B" w:rsidTr="003C7798">
        <w:trPr>
          <w:trHeight w:val="1907"/>
        </w:trPr>
        <w:tc>
          <w:tcPr>
            <w:tcW w:w="720" w:type="dxa"/>
          </w:tcPr>
          <w:p w:rsidR="00194460" w:rsidRPr="00D82B1B" w:rsidRDefault="00BE544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020" w:type="dxa"/>
          </w:tcPr>
          <w:p w:rsidR="0033613E" w:rsidRPr="00D82B1B" w:rsidRDefault="00DE6012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Group A, B and AB</w:t>
            </w:r>
            <w:r w:rsidR="0033613E" w:rsidRPr="00D82B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2B1B">
              <w:rPr>
                <w:rFonts w:ascii="Arial" w:hAnsi="Arial" w:cs="Arial"/>
                <w:sz w:val="22"/>
                <w:szCs w:val="22"/>
              </w:rPr>
              <w:t>n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 xml:space="preserve">eonates and </w:t>
            </w:r>
            <w:r w:rsidRPr="00D82B1B">
              <w:rPr>
                <w:rFonts w:ascii="Arial" w:hAnsi="Arial" w:cs="Arial"/>
                <w:sz w:val="22"/>
                <w:szCs w:val="22"/>
              </w:rPr>
              <w:t>i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 xml:space="preserve">nfants &lt; 4 months of age shall </w:t>
            </w:r>
            <w:r w:rsidR="00156E15" w:rsidRPr="00D82B1B">
              <w:rPr>
                <w:rFonts w:ascii="Arial" w:hAnsi="Arial" w:cs="Arial"/>
                <w:sz w:val="22"/>
                <w:szCs w:val="22"/>
              </w:rPr>
              <w:t>receive</w:t>
            </w:r>
            <w:r w:rsidR="00CD1DDB" w:rsidRPr="00D82B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>ABO identical or group AB</w:t>
            </w:r>
            <w:r w:rsidR="00CD1DDB" w:rsidRPr="00D82B1B">
              <w:rPr>
                <w:rFonts w:ascii="Arial" w:hAnsi="Arial" w:cs="Arial"/>
                <w:sz w:val="22"/>
                <w:szCs w:val="22"/>
              </w:rPr>
              <w:t xml:space="preserve"> platelets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 xml:space="preserve">. If these are not available, Transfusion Services </w:t>
            </w:r>
            <w:r w:rsidR="00B41143" w:rsidRPr="00D82B1B">
              <w:rPr>
                <w:rFonts w:ascii="Arial" w:hAnsi="Arial" w:cs="Arial"/>
                <w:sz w:val="22"/>
                <w:szCs w:val="22"/>
              </w:rPr>
              <w:t xml:space="preserve">Medical Director or </w:t>
            </w:r>
            <w:r w:rsidR="00CD1DDB" w:rsidRPr="00D82B1B">
              <w:rPr>
                <w:rFonts w:ascii="Arial" w:hAnsi="Arial" w:cs="Arial"/>
                <w:sz w:val="22"/>
                <w:szCs w:val="22"/>
              </w:rPr>
              <w:t>Resident/Covering P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 xml:space="preserve">hysician approval </w:t>
            </w:r>
            <w:r w:rsidR="00CD1DDB" w:rsidRPr="00D82B1B">
              <w:rPr>
                <w:rFonts w:ascii="Arial" w:hAnsi="Arial" w:cs="Arial"/>
                <w:sz w:val="22"/>
                <w:szCs w:val="22"/>
              </w:rPr>
              <w:t xml:space="preserve">is required </w:t>
            </w:r>
            <w:r w:rsidR="00B41143" w:rsidRPr="00D82B1B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>release other ABO groups</w:t>
            </w:r>
          </w:p>
          <w:p w:rsidR="00194460" w:rsidRPr="00D82B1B" w:rsidRDefault="0033613E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Group O </w:t>
            </w:r>
            <w:r w:rsidR="00B41143" w:rsidRPr="00D82B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Neonates and Infants &lt; 4 months of age </w:t>
            </w:r>
            <w:r w:rsidR="002C592D" w:rsidRPr="00D82B1B">
              <w:rPr>
                <w:rFonts w:ascii="Arial" w:hAnsi="Arial" w:cs="Arial"/>
                <w:sz w:val="22"/>
                <w:szCs w:val="22"/>
              </w:rPr>
              <w:t>may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receive platelets of any ABO type</w:t>
            </w:r>
          </w:p>
        </w:tc>
        <w:tc>
          <w:tcPr>
            <w:tcW w:w="2340" w:type="dxa"/>
          </w:tcPr>
          <w:p w:rsidR="00194460" w:rsidRPr="00D82B1B" w:rsidRDefault="0019446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B01" w:rsidRPr="00D82B1B" w:rsidTr="003C7798">
        <w:trPr>
          <w:trHeight w:val="890"/>
        </w:trPr>
        <w:tc>
          <w:tcPr>
            <w:tcW w:w="720" w:type="dxa"/>
          </w:tcPr>
          <w:p w:rsidR="00B51B01" w:rsidRPr="00D82B1B" w:rsidRDefault="00BE544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020" w:type="dxa"/>
          </w:tcPr>
          <w:p w:rsidR="00B51B01" w:rsidRPr="00D82B1B" w:rsidRDefault="00F44C01" w:rsidP="003C7798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Whenever ABO identical platelets are not available, alternative selections will be made in the order stated on the Alternative ABO Selection</w:t>
            </w:r>
            <w:r w:rsidR="002C592D" w:rsidRPr="00D82B1B">
              <w:rPr>
                <w:rFonts w:ascii="Arial" w:hAnsi="Arial" w:cs="Arial"/>
                <w:sz w:val="22"/>
                <w:szCs w:val="22"/>
              </w:rPr>
              <w:t>s for Platelets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Table (table 1)</w:t>
            </w:r>
          </w:p>
          <w:p w:rsidR="003C7798" w:rsidRDefault="003C7798" w:rsidP="003C7798">
            <w:pPr>
              <w:rPr>
                <w:rFonts w:ascii="Arial" w:hAnsi="Arial" w:cs="Arial"/>
                <w:sz w:val="22"/>
                <w:szCs w:val="22"/>
              </w:rPr>
            </w:pPr>
          </w:p>
          <w:p w:rsidR="00C73809" w:rsidRDefault="00C73809" w:rsidP="003C7798">
            <w:pPr>
              <w:rPr>
                <w:rFonts w:ascii="Arial" w:hAnsi="Arial" w:cs="Arial"/>
                <w:sz w:val="22"/>
                <w:szCs w:val="22"/>
              </w:rPr>
            </w:pPr>
          </w:p>
          <w:p w:rsidR="00C73809" w:rsidRDefault="00C73809" w:rsidP="003C7798">
            <w:pPr>
              <w:rPr>
                <w:rFonts w:ascii="Arial" w:hAnsi="Arial" w:cs="Arial"/>
                <w:sz w:val="22"/>
                <w:szCs w:val="22"/>
              </w:rPr>
            </w:pPr>
          </w:p>
          <w:p w:rsidR="00C73809" w:rsidRDefault="00C73809" w:rsidP="003C7798">
            <w:pPr>
              <w:rPr>
                <w:rFonts w:ascii="Arial" w:hAnsi="Arial" w:cs="Arial"/>
                <w:sz w:val="22"/>
                <w:szCs w:val="22"/>
              </w:rPr>
            </w:pPr>
          </w:p>
          <w:p w:rsidR="00C73809" w:rsidRPr="00D82B1B" w:rsidRDefault="00C73809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B51B01" w:rsidRPr="00D82B1B" w:rsidRDefault="00B51B01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55D" w:rsidRPr="00D82B1B" w:rsidTr="00831352">
        <w:trPr>
          <w:trHeight w:val="350"/>
        </w:trPr>
        <w:tc>
          <w:tcPr>
            <w:tcW w:w="720" w:type="dxa"/>
          </w:tcPr>
          <w:p w:rsidR="0061555D" w:rsidRPr="00D82B1B" w:rsidRDefault="0061555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0" w:type="dxa"/>
          </w:tcPr>
          <w:p w:rsidR="0061555D" w:rsidRPr="00D82B1B" w:rsidRDefault="0061555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</w:tc>
        <w:tc>
          <w:tcPr>
            <w:tcW w:w="2340" w:type="dxa"/>
          </w:tcPr>
          <w:p w:rsidR="0061555D" w:rsidRPr="00D82B1B" w:rsidRDefault="0061555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B1D47" w:rsidRPr="00D82B1B" w:rsidTr="003C7798">
        <w:trPr>
          <w:trHeight w:val="5030"/>
        </w:trPr>
        <w:tc>
          <w:tcPr>
            <w:tcW w:w="720" w:type="dxa"/>
          </w:tcPr>
          <w:p w:rsidR="001B1D47" w:rsidRPr="00D82B1B" w:rsidRDefault="003C7798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7020" w:type="dxa"/>
          </w:tcPr>
          <w:p w:rsidR="001B1D47" w:rsidRPr="00D82B1B" w:rsidRDefault="001B1D47" w:rsidP="003C779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Leukoreduced Platelets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will be routinely provided for: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Neonates &amp; Infants &lt; 4 months age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Pregnant females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HIV positive patients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Chronically transfused patients </w:t>
            </w:r>
          </w:p>
          <w:p w:rsidR="001B1D47" w:rsidRPr="00D82B1B" w:rsidRDefault="001B1D47" w:rsidP="003C7798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sickle cell disease, thalassemia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Patient’s with hematologic malignancies </w:t>
            </w:r>
          </w:p>
          <w:p w:rsidR="001B1D47" w:rsidRPr="00D82B1B" w:rsidRDefault="001B1D47" w:rsidP="003C779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leukemia, lymphoma, Hodgkin’s disease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Hematopoietic progenitor cell (HPC)/”bone marrow”  transplant candidates &amp; recipients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Solid organ transplant candidates &amp; recipients </w:t>
            </w:r>
          </w:p>
          <w:p w:rsidR="001B1D47" w:rsidRPr="00D82B1B" w:rsidRDefault="001B1D47" w:rsidP="003C7798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kidney, liver, heart, lung transplants</w:t>
            </w:r>
          </w:p>
          <w:p w:rsidR="001B1D47" w:rsidRPr="00D82B1B" w:rsidRDefault="001B1D47" w:rsidP="003C7798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Patients with bone marrow failure </w:t>
            </w:r>
          </w:p>
          <w:p w:rsidR="001B1D47" w:rsidRPr="00D82B1B" w:rsidRDefault="001B1D47" w:rsidP="003C7798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severe aplastic anemia</w:t>
            </w:r>
          </w:p>
          <w:p w:rsidR="001B1D47" w:rsidRPr="00D82B1B" w:rsidRDefault="001B1D47" w:rsidP="003C7798">
            <w:pPr>
              <w:numPr>
                <w:ilvl w:val="2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Patient’s with congenital </w:t>
            </w:r>
            <w:proofErr w:type="spellStart"/>
            <w:r w:rsidRPr="00D82B1B">
              <w:rPr>
                <w:rFonts w:ascii="Arial" w:hAnsi="Arial" w:cs="Arial"/>
                <w:sz w:val="22"/>
                <w:szCs w:val="22"/>
              </w:rPr>
              <w:t>immunodeficiencies</w:t>
            </w:r>
            <w:proofErr w:type="spellEnd"/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Patients on cardiac bypass (until 24 hours post op) 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Patients on intra-aortic balloon pumps, LVAD, artificial hearts, awaiting cardiac transplant.</w:t>
            </w:r>
          </w:p>
          <w:p w:rsidR="002211FE" w:rsidRPr="00D82B1B" w:rsidRDefault="001B1D47" w:rsidP="003C7798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Intrauterine transfusio</w:t>
            </w:r>
            <w:r w:rsidR="00837B55" w:rsidRPr="00D82B1B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2340" w:type="dxa"/>
          </w:tcPr>
          <w:p w:rsidR="001B1D47" w:rsidRPr="00D82B1B" w:rsidRDefault="001B1D47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D47" w:rsidRPr="00D82B1B" w:rsidTr="003C7798">
        <w:trPr>
          <w:trHeight w:val="3590"/>
        </w:trPr>
        <w:tc>
          <w:tcPr>
            <w:tcW w:w="720" w:type="dxa"/>
          </w:tcPr>
          <w:p w:rsidR="001B1D47" w:rsidRPr="00D82B1B" w:rsidRDefault="003C7798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7020" w:type="dxa"/>
          </w:tcPr>
          <w:p w:rsidR="002211FE" w:rsidRPr="00D82B1B" w:rsidRDefault="002211FE" w:rsidP="003C7798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Irradiated Platelets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will be routinely provided for:</w:t>
            </w:r>
          </w:p>
          <w:p w:rsidR="002211FE" w:rsidRPr="00D82B1B" w:rsidRDefault="002211FE" w:rsidP="003C7798">
            <w:pPr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Neonates &amp; Infants &lt; 4 months age</w:t>
            </w:r>
          </w:p>
          <w:p w:rsidR="002211FE" w:rsidRPr="00D82B1B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Patient’s with hematologic malignancies </w:t>
            </w:r>
          </w:p>
          <w:p w:rsidR="002211FE" w:rsidRPr="00D82B1B" w:rsidRDefault="002211FE" w:rsidP="003C779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leukemia, lymphoma, Hodgkin’s disease</w:t>
            </w:r>
          </w:p>
          <w:p w:rsidR="002211FE" w:rsidRPr="00D82B1B" w:rsidRDefault="002211FE" w:rsidP="003C7798">
            <w:pPr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Patients receiving </w:t>
            </w:r>
            <w:proofErr w:type="spellStart"/>
            <w:r w:rsidRPr="00D82B1B">
              <w:rPr>
                <w:rFonts w:ascii="Arial" w:hAnsi="Arial" w:cs="Arial"/>
                <w:sz w:val="22"/>
                <w:szCs w:val="22"/>
              </w:rPr>
              <w:t>fludarabine</w:t>
            </w:r>
            <w:proofErr w:type="spellEnd"/>
            <w:r w:rsidRPr="00D82B1B">
              <w:rPr>
                <w:rFonts w:ascii="Arial" w:hAnsi="Arial" w:cs="Arial"/>
                <w:sz w:val="22"/>
                <w:szCs w:val="22"/>
              </w:rPr>
              <w:t xml:space="preserve"> or other high dose chemotherapy</w:t>
            </w:r>
          </w:p>
          <w:p w:rsidR="002211FE" w:rsidRPr="00D82B1B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Hematopoietic progenitor cell (HPC)/”bone marrow”/”stem cell”  transplant candidates &amp; recipients</w:t>
            </w:r>
          </w:p>
          <w:p w:rsidR="002211FE" w:rsidRPr="00D82B1B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Patient’s with cellular </w:t>
            </w:r>
            <w:proofErr w:type="spellStart"/>
            <w:r w:rsidRPr="00D82B1B">
              <w:rPr>
                <w:rFonts w:ascii="Arial" w:hAnsi="Arial" w:cs="Arial"/>
                <w:sz w:val="22"/>
                <w:szCs w:val="22"/>
              </w:rPr>
              <w:t>immunodeficiencies</w:t>
            </w:r>
            <w:proofErr w:type="spellEnd"/>
            <w:r w:rsidRPr="00D82B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211FE" w:rsidRPr="00D82B1B" w:rsidRDefault="002211FE" w:rsidP="003C779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SCID, Di George syndrome</w:t>
            </w:r>
          </w:p>
          <w:p w:rsidR="002211FE" w:rsidRPr="00D82B1B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Recipients of HLA matched platelets &amp; blood products  </w:t>
            </w:r>
          </w:p>
          <w:p w:rsidR="002211FE" w:rsidRPr="00D82B1B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Directed donor RBCs </w:t>
            </w:r>
            <w:r w:rsidR="003C7798" w:rsidRPr="00D82B1B">
              <w:rPr>
                <w:rFonts w:ascii="Arial" w:hAnsi="Arial" w:cs="Arial"/>
                <w:sz w:val="22"/>
                <w:szCs w:val="22"/>
              </w:rPr>
              <w:t>and Platelets</w:t>
            </w:r>
          </w:p>
          <w:p w:rsidR="001B1D47" w:rsidRPr="00D82B1B" w:rsidRDefault="002211FE" w:rsidP="003C779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parent, sibling, child, family friend donated unit</w:t>
            </w:r>
          </w:p>
        </w:tc>
        <w:tc>
          <w:tcPr>
            <w:tcW w:w="2340" w:type="dxa"/>
          </w:tcPr>
          <w:p w:rsidR="001B1D47" w:rsidRPr="00D82B1B" w:rsidRDefault="001B1D47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B62" w:rsidRPr="00D82B1B" w:rsidTr="00831352">
        <w:trPr>
          <w:trHeight w:val="350"/>
        </w:trPr>
        <w:tc>
          <w:tcPr>
            <w:tcW w:w="7740" w:type="dxa"/>
            <w:gridSpan w:val="2"/>
          </w:tcPr>
          <w:p w:rsidR="001D3B62" w:rsidRPr="00D82B1B" w:rsidRDefault="001D3B62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Thawed Plasma</w:t>
            </w:r>
          </w:p>
        </w:tc>
        <w:tc>
          <w:tcPr>
            <w:tcW w:w="2340" w:type="dxa"/>
          </w:tcPr>
          <w:p w:rsidR="001D3B62" w:rsidRPr="00D82B1B" w:rsidRDefault="001D3B62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50E" w:rsidRPr="00D82B1B" w:rsidTr="003C7798">
        <w:trPr>
          <w:trHeight w:val="710"/>
        </w:trPr>
        <w:tc>
          <w:tcPr>
            <w:tcW w:w="720" w:type="dxa"/>
          </w:tcPr>
          <w:p w:rsidR="0019150E" w:rsidRPr="00D82B1B" w:rsidRDefault="003C7798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7020" w:type="dxa"/>
          </w:tcPr>
          <w:p w:rsidR="0019150E" w:rsidRPr="00D82B1B" w:rsidRDefault="0019150E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Rh type is not a consideration in </w:t>
            </w:r>
            <w:r w:rsidR="00CD1DDB" w:rsidRPr="00D82B1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D82B1B">
              <w:rPr>
                <w:rFonts w:ascii="Arial" w:hAnsi="Arial" w:cs="Arial"/>
                <w:sz w:val="22"/>
                <w:szCs w:val="22"/>
              </w:rPr>
              <w:t>selection of plasma units</w:t>
            </w:r>
            <w:r w:rsidR="00BE544D" w:rsidRPr="00D82B1B">
              <w:rPr>
                <w:rFonts w:ascii="Arial" w:hAnsi="Arial" w:cs="Arial"/>
                <w:sz w:val="22"/>
                <w:szCs w:val="22"/>
              </w:rPr>
              <w:t>, therefore a</w:t>
            </w:r>
            <w:r w:rsidRPr="00D82B1B">
              <w:rPr>
                <w:rFonts w:ascii="Arial" w:hAnsi="Arial" w:cs="Arial"/>
                <w:sz w:val="22"/>
                <w:szCs w:val="22"/>
              </w:rPr>
              <w:t>ll patients may receive plasma of any Rh type</w:t>
            </w:r>
          </w:p>
        </w:tc>
        <w:tc>
          <w:tcPr>
            <w:tcW w:w="2340" w:type="dxa"/>
          </w:tcPr>
          <w:p w:rsidR="0019150E" w:rsidRPr="00D82B1B" w:rsidRDefault="0019150E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50E" w:rsidRPr="00D82B1B" w:rsidTr="003C7798">
        <w:trPr>
          <w:trHeight w:val="1430"/>
        </w:trPr>
        <w:tc>
          <w:tcPr>
            <w:tcW w:w="720" w:type="dxa"/>
          </w:tcPr>
          <w:p w:rsidR="0019150E" w:rsidRPr="00D82B1B" w:rsidRDefault="00BE544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020" w:type="dxa"/>
          </w:tcPr>
          <w:p w:rsidR="00CD1DDB" w:rsidRPr="00D82B1B" w:rsidRDefault="0019150E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Neonates/Infants &lt; 4 months/age shall </w:t>
            </w:r>
            <w:r w:rsidR="001B1D47" w:rsidRPr="00D82B1B">
              <w:rPr>
                <w:rFonts w:ascii="Arial" w:hAnsi="Arial" w:cs="Arial"/>
                <w:sz w:val="22"/>
                <w:szCs w:val="22"/>
              </w:rPr>
              <w:t>ONLY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receive ABO identical or group AB plasma</w:t>
            </w:r>
          </w:p>
          <w:p w:rsidR="0019150E" w:rsidRPr="00D82B1B" w:rsidRDefault="00CD1DDB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If this is not available, </w:t>
            </w:r>
            <w:r w:rsidR="0019150E" w:rsidRPr="00D82B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2B1B">
              <w:rPr>
                <w:rFonts w:ascii="Arial" w:hAnsi="Arial" w:cs="Arial"/>
                <w:sz w:val="22"/>
                <w:szCs w:val="22"/>
              </w:rPr>
              <w:t>Transfusion Services Medical Director or Covering Attending physician approval is required to release other ABO groups</w:t>
            </w:r>
          </w:p>
        </w:tc>
        <w:tc>
          <w:tcPr>
            <w:tcW w:w="2340" w:type="dxa"/>
          </w:tcPr>
          <w:p w:rsidR="0019150E" w:rsidRPr="00D82B1B" w:rsidRDefault="0019150E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240" w:rsidRPr="00D82B1B" w:rsidTr="003C7798">
        <w:trPr>
          <w:trHeight w:val="890"/>
        </w:trPr>
        <w:tc>
          <w:tcPr>
            <w:tcW w:w="720" w:type="dxa"/>
          </w:tcPr>
          <w:p w:rsidR="00420240" w:rsidRPr="00D82B1B" w:rsidRDefault="00BE544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020" w:type="dxa"/>
          </w:tcPr>
          <w:p w:rsidR="00420240" w:rsidRPr="00D82B1B" w:rsidRDefault="001B1D47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For other patients, w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>henever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group AB/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 xml:space="preserve">ABO  identical 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or ABO compatible 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 xml:space="preserve">plasma is not available, alternative selections </w:t>
            </w:r>
            <w:r w:rsidRPr="00D82B1B">
              <w:rPr>
                <w:rFonts w:ascii="Arial" w:hAnsi="Arial" w:cs="Arial"/>
                <w:sz w:val="22"/>
                <w:szCs w:val="22"/>
              </w:rPr>
              <w:t>may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 xml:space="preserve"> be made in the order stated on the Alternative </w:t>
            </w:r>
            <w:r w:rsidR="002C592D" w:rsidRPr="00D82B1B">
              <w:rPr>
                <w:rFonts w:ascii="Arial" w:hAnsi="Arial" w:cs="Arial"/>
                <w:sz w:val="22"/>
                <w:szCs w:val="22"/>
              </w:rPr>
              <w:t xml:space="preserve">ABO Selections for Plasma 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 xml:space="preserve">Table (table </w:t>
            </w:r>
            <w:r w:rsidR="002C592D" w:rsidRPr="00D82B1B">
              <w:rPr>
                <w:rFonts w:ascii="Arial" w:hAnsi="Arial" w:cs="Arial"/>
                <w:sz w:val="22"/>
                <w:szCs w:val="22"/>
              </w:rPr>
              <w:t>2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>)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ONLY with Medical Director or Covering Attending Physician Approval</w:t>
            </w:r>
          </w:p>
        </w:tc>
        <w:tc>
          <w:tcPr>
            <w:tcW w:w="2340" w:type="dxa"/>
          </w:tcPr>
          <w:p w:rsidR="00420240" w:rsidRPr="00D82B1B" w:rsidRDefault="0042024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240" w:rsidRPr="00D82B1B" w:rsidTr="003C7798">
        <w:trPr>
          <w:trHeight w:val="485"/>
        </w:trPr>
        <w:tc>
          <w:tcPr>
            <w:tcW w:w="720" w:type="dxa"/>
          </w:tcPr>
          <w:p w:rsidR="00420240" w:rsidRPr="00D82B1B" w:rsidRDefault="00BE544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7020" w:type="dxa"/>
          </w:tcPr>
          <w:p w:rsidR="00420240" w:rsidRPr="00D82B1B" w:rsidRDefault="00BE544D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G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>roup A, B and AB patients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shall not receive group O plasma</w:t>
            </w:r>
          </w:p>
        </w:tc>
        <w:tc>
          <w:tcPr>
            <w:tcW w:w="2340" w:type="dxa"/>
          </w:tcPr>
          <w:p w:rsidR="00420240" w:rsidRPr="00D82B1B" w:rsidRDefault="0042024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B62" w:rsidRPr="00D82B1B" w:rsidTr="003C7798">
        <w:trPr>
          <w:trHeight w:val="485"/>
        </w:trPr>
        <w:tc>
          <w:tcPr>
            <w:tcW w:w="7740" w:type="dxa"/>
            <w:gridSpan w:val="2"/>
          </w:tcPr>
          <w:p w:rsidR="001D3B62" w:rsidRPr="00D82B1B" w:rsidRDefault="001D3B62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lastRenderedPageBreak/>
              <w:t>Cryoprecipitate</w:t>
            </w:r>
          </w:p>
        </w:tc>
        <w:tc>
          <w:tcPr>
            <w:tcW w:w="2340" w:type="dxa"/>
          </w:tcPr>
          <w:p w:rsidR="001D3B62" w:rsidRPr="00D82B1B" w:rsidRDefault="001D3B62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240" w:rsidRPr="0004426A" w:rsidTr="003C7798">
        <w:trPr>
          <w:trHeight w:val="2195"/>
        </w:trPr>
        <w:tc>
          <w:tcPr>
            <w:tcW w:w="720" w:type="dxa"/>
          </w:tcPr>
          <w:p w:rsidR="00420240" w:rsidRPr="00D82B1B" w:rsidRDefault="00BE544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7020" w:type="dxa"/>
          </w:tcPr>
          <w:p w:rsidR="0019150E" w:rsidRPr="00D82B1B" w:rsidRDefault="0019150E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ABO/Rh type is not a consideration in selection of cryoprecipitate (</w:t>
            </w:r>
            <w:proofErr w:type="spellStart"/>
            <w:r w:rsidRPr="00D82B1B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Pr="00D82B1B">
              <w:rPr>
                <w:rFonts w:ascii="Arial" w:hAnsi="Arial" w:cs="Arial"/>
                <w:sz w:val="22"/>
                <w:szCs w:val="22"/>
              </w:rPr>
              <w:t xml:space="preserve">) in patients ≥ 4 months of age and any ABO/Rh type </w:t>
            </w:r>
            <w:r w:rsidR="001D3B62" w:rsidRPr="00D82B1B">
              <w:rPr>
                <w:rFonts w:ascii="Arial" w:hAnsi="Arial" w:cs="Arial"/>
                <w:sz w:val="22"/>
                <w:szCs w:val="22"/>
              </w:rPr>
              <w:t>may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be </w:t>
            </w:r>
            <w:r w:rsidR="001D3B62" w:rsidRPr="00D82B1B">
              <w:rPr>
                <w:rFonts w:ascii="Arial" w:hAnsi="Arial" w:cs="Arial"/>
                <w:sz w:val="22"/>
                <w:szCs w:val="22"/>
              </w:rPr>
              <w:t>provided</w:t>
            </w:r>
          </w:p>
          <w:p w:rsidR="00420240" w:rsidRPr="00D82B1B" w:rsidRDefault="0019150E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In patients &lt; 4 months age, group AB or ABO identical </w:t>
            </w:r>
            <w:proofErr w:type="spellStart"/>
            <w:r w:rsidRPr="00D82B1B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Pr="00D82B1B">
              <w:rPr>
                <w:rFonts w:ascii="Arial" w:hAnsi="Arial" w:cs="Arial"/>
                <w:sz w:val="22"/>
                <w:szCs w:val="22"/>
              </w:rPr>
              <w:t xml:space="preserve"> should be provided</w:t>
            </w:r>
            <w:r w:rsidR="001D3B62" w:rsidRPr="00D82B1B">
              <w:rPr>
                <w:rFonts w:ascii="Arial" w:hAnsi="Arial" w:cs="Arial"/>
                <w:sz w:val="22"/>
                <w:szCs w:val="22"/>
              </w:rPr>
              <w:t>. If not available and emergency transfusion required before this can be delivered by the blood supplier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 xml:space="preserve">, contact TS physician for approval of </w:t>
            </w:r>
            <w:r w:rsidR="001D3B62" w:rsidRPr="00D82B1B">
              <w:rPr>
                <w:rFonts w:ascii="Arial" w:hAnsi="Arial" w:cs="Arial"/>
                <w:sz w:val="22"/>
                <w:szCs w:val="22"/>
              </w:rPr>
              <w:t xml:space="preserve">a different 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>ABO type</w:t>
            </w:r>
            <w:r w:rsidR="001D3B62" w:rsidRPr="00D82B1B">
              <w:rPr>
                <w:rFonts w:ascii="Arial" w:hAnsi="Arial" w:cs="Arial"/>
                <w:sz w:val="22"/>
                <w:szCs w:val="22"/>
              </w:rPr>
              <w:t>.</w:t>
            </w:r>
            <w:r w:rsidR="00593A71" w:rsidRPr="00D82B1B">
              <w:rPr>
                <w:rFonts w:ascii="Arial" w:hAnsi="Arial" w:cs="Arial"/>
                <w:sz w:val="22"/>
                <w:szCs w:val="22"/>
              </w:rPr>
              <w:t xml:space="preserve"> The Rh type is not a consideration</w:t>
            </w:r>
          </w:p>
        </w:tc>
        <w:tc>
          <w:tcPr>
            <w:tcW w:w="2340" w:type="dxa"/>
          </w:tcPr>
          <w:p w:rsidR="00420240" w:rsidRPr="0004426A" w:rsidRDefault="0042024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1B01" w:rsidRDefault="00B51B01" w:rsidP="00B51B01">
      <w:pPr>
        <w:rPr>
          <w:rFonts w:ascii="Arial" w:hAnsi="Arial" w:cs="Arial"/>
          <w:sz w:val="22"/>
          <w:szCs w:val="22"/>
        </w:rPr>
      </w:pPr>
    </w:p>
    <w:p w:rsidR="0061555D" w:rsidRDefault="0061555D" w:rsidP="00B51B01">
      <w:pPr>
        <w:rPr>
          <w:rFonts w:ascii="Arial" w:hAnsi="Arial" w:cs="Arial"/>
          <w:sz w:val="22"/>
          <w:szCs w:val="22"/>
        </w:rPr>
      </w:pPr>
    </w:p>
    <w:p w:rsidR="001D3B62" w:rsidRDefault="001D3B62" w:rsidP="00B51B01">
      <w:pPr>
        <w:rPr>
          <w:rFonts w:ascii="Arial" w:hAnsi="Arial" w:cs="Arial"/>
          <w:sz w:val="22"/>
          <w:szCs w:val="22"/>
        </w:rPr>
      </w:pPr>
    </w:p>
    <w:p w:rsidR="00B51B01" w:rsidRPr="00A95624" w:rsidRDefault="00A95624" w:rsidP="00B51B01">
      <w:pPr>
        <w:rPr>
          <w:rFonts w:ascii="Arial" w:hAnsi="Arial" w:cs="Arial"/>
          <w:b/>
          <w:sz w:val="22"/>
          <w:szCs w:val="22"/>
        </w:rPr>
      </w:pPr>
      <w:r w:rsidRPr="00A95624">
        <w:rPr>
          <w:rFonts w:ascii="Arial" w:hAnsi="Arial" w:cs="Arial"/>
          <w:b/>
          <w:sz w:val="22"/>
          <w:szCs w:val="22"/>
        </w:rPr>
        <w:t>Table 1: Alternative ABO Selections</w:t>
      </w:r>
      <w:r>
        <w:rPr>
          <w:rFonts w:ascii="Arial" w:hAnsi="Arial" w:cs="Arial"/>
          <w:b/>
          <w:sz w:val="22"/>
          <w:szCs w:val="22"/>
        </w:rPr>
        <w:t xml:space="preserve"> for Platelets</w:t>
      </w:r>
      <w:r w:rsidR="00620051">
        <w:rPr>
          <w:rFonts w:ascii="Arial" w:hAnsi="Arial" w:cs="Arial"/>
          <w:b/>
          <w:sz w:val="22"/>
          <w:szCs w:val="22"/>
        </w:rPr>
        <w:t>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1916"/>
      </w:tblGrid>
      <w:tr w:rsidR="00F5630E" w:rsidRPr="0004426A" w:rsidTr="0004426A">
        <w:trPr>
          <w:trHeight w:val="422"/>
        </w:trPr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Recipient ABO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0442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Pr="0004426A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0442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04426A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0442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 w:rsidRPr="0004426A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1916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4th Choice</w:t>
            </w:r>
          </w:p>
        </w:tc>
      </w:tr>
      <w:tr w:rsidR="00037F73" w:rsidRPr="0004426A" w:rsidTr="0004426A">
        <w:trPr>
          <w:trHeight w:val="530"/>
        </w:trPr>
        <w:tc>
          <w:tcPr>
            <w:tcW w:w="2023" w:type="dxa"/>
            <w:vAlign w:val="center"/>
          </w:tcPr>
          <w:p w:rsidR="00037F73" w:rsidRPr="00037F73" w:rsidRDefault="00037F73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37F7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Unknown</w:t>
            </w:r>
          </w:p>
        </w:tc>
        <w:tc>
          <w:tcPr>
            <w:tcW w:w="2023" w:type="dxa"/>
            <w:vAlign w:val="center"/>
          </w:tcPr>
          <w:p w:rsidR="00037F73" w:rsidRPr="00037F73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37F73">
              <w:rPr>
                <w:rFonts w:ascii="Arial" w:hAnsi="Arial" w:cs="Arial"/>
                <w:sz w:val="22"/>
                <w:szCs w:val="22"/>
                <w:highlight w:val="yellow"/>
              </w:rPr>
              <w:t>AB</w:t>
            </w:r>
          </w:p>
        </w:tc>
        <w:tc>
          <w:tcPr>
            <w:tcW w:w="2023" w:type="dxa"/>
            <w:vAlign w:val="center"/>
          </w:tcPr>
          <w:p w:rsidR="00037F73" w:rsidRPr="00037F73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37F73">
              <w:rPr>
                <w:rFonts w:ascii="Arial" w:hAnsi="Arial" w:cs="Arial"/>
                <w:sz w:val="22"/>
                <w:szCs w:val="22"/>
                <w:highlight w:val="yellow"/>
              </w:rPr>
              <w:t>A</w:t>
            </w:r>
          </w:p>
        </w:tc>
        <w:tc>
          <w:tcPr>
            <w:tcW w:w="2023" w:type="dxa"/>
            <w:vAlign w:val="center"/>
          </w:tcPr>
          <w:p w:rsidR="00037F73" w:rsidRPr="00037F73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37F73">
              <w:rPr>
                <w:rFonts w:ascii="Arial" w:hAnsi="Arial" w:cs="Arial"/>
                <w:sz w:val="22"/>
                <w:szCs w:val="22"/>
                <w:highlight w:val="yellow"/>
              </w:rPr>
              <w:t>B</w:t>
            </w:r>
          </w:p>
        </w:tc>
        <w:tc>
          <w:tcPr>
            <w:tcW w:w="1916" w:type="dxa"/>
            <w:vAlign w:val="center"/>
          </w:tcPr>
          <w:p w:rsidR="00037F73" w:rsidRPr="004F6DF4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73">
              <w:rPr>
                <w:rFonts w:ascii="Arial" w:hAnsi="Arial" w:cs="Arial"/>
                <w:sz w:val="22"/>
                <w:szCs w:val="22"/>
                <w:highlight w:val="yellow"/>
              </w:rPr>
              <w:t>O</w:t>
            </w:r>
            <w:r w:rsidRPr="00037F73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t>++</w:t>
            </w:r>
          </w:p>
        </w:tc>
      </w:tr>
      <w:tr w:rsidR="00F5630E" w:rsidRPr="0004426A" w:rsidTr="0004426A">
        <w:trPr>
          <w:trHeight w:val="530"/>
        </w:trPr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023" w:type="dxa"/>
            <w:vAlign w:val="center"/>
          </w:tcPr>
          <w:p w:rsidR="00F5630E" w:rsidRPr="004F6DF4" w:rsidRDefault="00EB7688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DF4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23" w:type="dxa"/>
            <w:vAlign w:val="center"/>
          </w:tcPr>
          <w:p w:rsidR="00F5630E" w:rsidRPr="004F6DF4" w:rsidRDefault="00EB7688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DF4">
              <w:rPr>
                <w:rFonts w:ascii="Arial" w:hAnsi="Arial" w:cs="Arial"/>
                <w:sz w:val="22"/>
                <w:szCs w:val="22"/>
              </w:rPr>
              <w:t>A</w:t>
            </w:r>
            <w:r w:rsidR="00A95624" w:rsidRPr="004F6DF4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916" w:type="dxa"/>
            <w:vAlign w:val="center"/>
          </w:tcPr>
          <w:p w:rsidR="00F5630E" w:rsidRPr="004F6DF4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DF4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5630E" w:rsidRPr="0004426A" w:rsidTr="0004426A">
        <w:trPr>
          <w:trHeight w:val="503"/>
        </w:trPr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916" w:type="dxa"/>
            <w:vAlign w:val="center"/>
          </w:tcPr>
          <w:p w:rsidR="00F5630E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F5630E" w:rsidRPr="0004426A" w:rsidTr="0004426A">
        <w:trPr>
          <w:trHeight w:val="530"/>
        </w:trPr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916" w:type="dxa"/>
            <w:vAlign w:val="center"/>
          </w:tcPr>
          <w:p w:rsidR="00F5630E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F5630E" w:rsidRPr="0004426A" w:rsidTr="0004426A">
        <w:trPr>
          <w:trHeight w:val="530"/>
        </w:trPr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AB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916" w:type="dxa"/>
            <w:vAlign w:val="center"/>
          </w:tcPr>
          <w:p w:rsidR="00BE544D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</w:tbl>
    <w:p w:rsidR="00B51B01" w:rsidRPr="00A76B37" w:rsidRDefault="00620051" w:rsidP="00B51B01">
      <w:pPr>
        <w:rPr>
          <w:rFonts w:ascii="Arial" w:hAnsi="Arial" w:cs="Arial"/>
          <w:sz w:val="20"/>
          <w:szCs w:val="20"/>
        </w:rPr>
      </w:pPr>
      <w:r w:rsidRPr="00A76B37">
        <w:rPr>
          <w:rFonts w:ascii="Arial" w:hAnsi="Arial" w:cs="Arial"/>
          <w:sz w:val="20"/>
          <w:szCs w:val="20"/>
        </w:rPr>
        <w:t xml:space="preserve"> * </w:t>
      </w:r>
      <w:r w:rsidR="002C592D" w:rsidRPr="00A76B37">
        <w:rPr>
          <w:rFonts w:ascii="Arial" w:hAnsi="Arial" w:cs="Arial"/>
          <w:sz w:val="20"/>
          <w:szCs w:val="20"/>
        </w:rPr>
        <w:t>N</w:t>
      </w:r>
      <w:r w:rsidR="00BE544D" w:rsidRPr="00A76B37">
        <w:rPr>
          <w:rFonts w:ascii="Arial" w:hAnsi="Arial" w:cs="Arial"/>
          <w:sz w:val="20"/>
          <w:szCs w:val="20"/>
        </w:rPr>
        <w:t xml:space="preserve">eonates and infants &lt; 4 months of age shall receive </w:t>
      </w:r>
      <w:r w:rsidR="00BE544D" w:rsidRPr="00C73809">
        <w:rPr>
          <w:rFonts w:ascii="Arial" w:hAnsi="Arial" w:cs="Arial"/>
          <w:sz w:val="20"/>
          <w:szCs w:val="20"/>
          <w:highlight w:val="yellow"/>
        </w:rPr>
        <w:t>only Rh compatible</w:t>
      </w:r>
      <w:bookmarkStart w:id="0" w:name="_GoBack"/>
      <w:bookmarkEnd w:id="0"/>
      <w:r w:rsidR="00BE544D" w:rsidRPr="00A76B37">
        <w:rPr>
          <w:rFonts w:ascii="Arial" w:hAnsi="Arial" w:cs="Arial"/>
          <w:sz w:val="20"/>
          <w:szCs w:val="20"/>
        </w:rPr>
        <w:t>, ABO identical or group AB platelets unless TS Physician approval obtained</w:t>
      </w:r>
    </w:p>
    <w:p w:rsidR="002C592D" w:rsidRDefault="00037F73" w:rsidP="00B51B01">
      <w:pPr>
        <w:rPr>
          <w:rFonts w:ascii="Arial" w:hAnsi="Arial" w:cs="Arial"/>
          <w:sz w:val="22"/>
          <w:szCs w:val="22"/>
        </w:rPr>
      </w:pPr>
      <w:r w:rsidRPr="00037F73">
        <w:rPr>
          <w:rFonts w:ascii="Arial" w:hAnsi="Arial" w:cs="Arial"/>
          <w:sz w:val="22"/>
          <w:szCs w:val="22"/>
          <w:vertAlign w:val="superscript"/>
        </w:rPr>
        <w:t xml:space="preserve">++ </w:t>
      </w:r>
      <w:r w:rsidRPr="00037F73">
        <w:rPr>
          <w:rFonts w:ascii="Arial" w:hAnsi="Arial" w:cs="Arial"/>
          <w:sz w:val="20"/>
          <w:szCs w:val="20"/>
        </w:rPr>
        <w:t xml:space="preserve">Requires Medical Director </w:t>
      </w:r>
      <w:proofErr w:type="gramStart"/>
      <w:r w:rsidRPr="00037F73">
        <w:rPr>
          <w:rFonts w:ascii="Arial" w:hAnsi="Arial" w:cs="Arial"/>
          <w:sz w:val="20"/>
          <w:szCs w:val="20"/>
        </w:rPr>
        <w:t>approval</w:t>
      </w:r>
      <w:proofErr w:type="gramEnd"/>
    </w:p>
    <w:p w:rsidR="0061555D" w:rsidRDefault="0061555D" w:rsidP="00B51B01">
      <w:pPr>
        <w:rPr>
          <w:rFonts w:ascii="Arial" w:hAnsi="Arial" w:cs="Arial"/>
          <w:sz w:val="22"/>
          <w:szCs w:val="22"/>
        </w:rPr>
      </w:pPr>
    </w:p>
    <w:p w:rsidR="00A95624" w:rsidRPr="00A76B37" w:rsidRDefault="00A95624" w:rsidP="00B51B01">
      <w:pPr>
        <w:rPr>
          <w:rFonts w:ascii="Arial" w:hAnsi="Arial" w:cs="Arial"/>
          <w:sz w:val="22"/>
          <w:szCs w:val="22"/>
        </w:rPr>
      </w:pPr>
      <w:r w:rsidRPr="00A76B37">
        <w:rPr>
          <w:rFonts w:ascii="Arial" w:hAnsi="Arial" w:cs="Arial"/>
          <w:b/>
          <w:sz w:val="22"/>
          <w:szCs w:val="22"/>
        </w:rPr>
        <w:t>Table 2:</w:t>
      </w:r>
      <w:r w:rsidRPr="00A76B37">
        <w:rPr>
          <w:rFonts w:ascii="Arial" w:hAnsi="Arial" w:cs="Arial"/>
          <w:sz w:val="22"/>
          <w:szCs w:val="22"/>
        </w:rPr>
        <w:t xml:space="preserve"> </w:t>
      </w:r>
      <w:r w:rsidRPr="00A76B37">
        <w:rPr>
          <w:rFonts w:ascii="Arial" w:hAnsi="Arial" w:cs="Arial"/>
          <w:b/>
          <w:sz w:val="22"/>
          <w:szCs w:val="22"/>
        </w:rPr>
        <w:t>Alternative ABO/Rh Selections for Plasma</w:t>
      </w:r>
      <w:r w:rsidR="00BE544D" w:rsidRPr="00A76B37">
        <w:rPr>
          <w:rFonts w:ascii="Arial" w:hAnsi="Arial" w:cs="Arial"/>
          <w:b/>
          <w:sz w:val="22"/>
          <w:szCs w:val="22"/>
        </w:rPr>
        <w:t>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2024"/>
      </w:tblGrid>
      <w:tr w:rsidR="00A95624" w:rsidRPr="0004426A" w:rsidTr="00831352">
        <w:trPr>
          <w:trHeight w:val="422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Recipient ABO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0442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Pr="0004426A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0442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04426A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0442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 w:rsidRPr="0004426A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4th Choice</w:t>
            </w:r>
          </w:p>
        </w:tc>
      </w:tr>
      <w:tr w:rsidR="00037F73" w:rsidRPr="0004426A" w:rsidTr="00610210">
        <w:trPr>
          <w:trHeight w:val="530"/>
        </w:trPr>
        <w:tc>
          <w:tcPr>
            <w:tcW w:w="2023" w:type="dxa"/>
            <w:vAlign w:val="center"/>
          </w:tcPr>
          <w:p w:rsidR="00037F73" w:rsidRPr="00037F73" w:rsidRDefault="00037F73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37F7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Unknown</w:t>
            </w:r>
          </w:p>
        </w:tc>
        <w:tc>
          <w:tcPr>
            <w:tcW w:w="2023" w:type="dxa"/>
            <w:vAlign w:val="center"/>
          </w:tcPr>
          <w:p w:rsidR="00037F73" w:rsidRPr="00037F73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37F73">
              <w:rPr>
                <w:rFonts w:ascii="Arial" w:hAnsi="Arial" w:cs="Arial"/>
                <w:sz w:val="22"/>
                <w:szCs w:val="22"/>
                <w:highlight w:val="yellow"/>
              </w:rPr>
              <w:t>AB</w:t>
            </w:r>
          </w:p>
        </w:tc>
        <w:tc>
          <w:tcPr>
            <w:tcW w:w="6070" w:type="dxa"/>
            <w:gridSpan w:val="3"/>
            <w:vAlign w:val="center"/>
          </w:tcPr>
          <w:p w:rsidR="00037F73" w:rsidRPr="0004426A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73">
              <w:rPr>
                <w:rFonts w:ascii="Arial" w:hAnsi="Arial" w:cs="Arial"/>
                <w:sz w:val="22"/>
                <w:szCs w:val="22"/>
                <w:highlight w:val="yellow"/>
              </w:rPr>
              <w:t>Medical Director approval required to issue group A, B or O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tcBorders>
              <w:bottom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24" w:type="dxa"/>
            <w:tcBorders>
              <w:bottom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  <w:r w:rsidR="0019150E" w:rsidRPr="0004426A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tcBorders>
              <w:righ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4" w:type="dxa"/>
            <w:tcBorders>
              <w:top w:val="single" w:sz="18" w:space="0" w:color="auto"/>
            </w:tcBorders>
            <w:vAlign w:val="center"/>
          </w:tcPr>
          <w:p w:rsidR="00A95624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  <w:r w:rsidR="0019150E" w:rsidRPr="0004426A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2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tcBorders>
              <w:lef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4" w:type="dxa"/>
            <w:vAlign w:val="center"/>
          </w:tcPr>
          <w:p w:rsidR="00A95624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  <w:r w:rsidR="0019150E" w:rsidRPr="0004426A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tcBorders>
              <w:righ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4" w:type="dxa"/>
            <w:vAlign w:val="center"/>
          </w:tcPr>
          <w:p w:rsidR="00A95624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BE544D" w:rsidRPr="00D82B1B" w:rsidRDefault="002C592D" w:rsidP="00B51B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Neonates and </w:t>
      </w:r>
      <w:r w:rsidR="0019150E">
        <w:rPr>
          <w:rFonts w:ascii="Arial" w:hAnsi="Arial" w:cs="Arial"/>
          <w:sz w:val="20"/>
          <w:szCs w:val="20"/>
        </w:rPr>
        <w:t>Infants &lt; 4 months</w:t>
      </w:r>
      <w:r w:rsidR="00194460">
        <w:rPr>
          <w:rFonts w:ascii="Arial" w:hAnsi="Arial" w:cs="Arial"/>
          <w:sz w:val="20"/>
          <w:szCs w:val="20"/>
        </w:rPr>
        <w:t xml:space="preserve"> of </w:t>
      </w:r>
      <w:r w:rsidR="0019150E">
        <w:rPr>
          <w:rFonts w:ascii="Arial" w:hAnsi="Arial" w:cs="Arial"/>
          <w:sz w:val="20"/>
          <w:szCs w:val="20"/>
        </w:rPr>
        <w:t>age shall only receive ABO identical or group AB plasma</w:t>
      </w:r>
      <w:r w:rsidR="00BE544D">
        <w:rPr>
          <w:rFonts w:ascii="Arial" w:hAnsi="Arial" w:cs="Arial"/>
          <w:sz w:val="20"/>
          <w:szCs w:val="20"/>
        </w:rPr>
        <w:t xml:space="preserve"> unless TS </w:t>
      </w:r>
      <w:r w:rsidR="001B1D47" w:rsidRPr="00D82B1B">
        <w:rPr>
          <w:rFonts w:ascii="Arial" w:hAnsi="Arial" w:cs="Arial"/>
          <w:sz w:val="20"/>
          <w:szCs w:val="20"/>
        </w:rPr>
        <w:t xml:space="preserve">Medical Director or Covering Attending </w:t>
      </w:r>
      <w:r w:rsidR="00BE544D" w:rsidRPr="00D82B1B">
        <w:rPr>
          <w:rFonts w:ascii="Arial" w:hAnsi="Arial" w:cs="Arial"/>
          <w:sz w:val="20"/>
          <w:szCs w:val="20"/>
        </w:rPr>
        <w:t>Physician approval obtained</w:t>
      </w:r>
      <w:r w:rsidR="00CC19E3" w:rsidRPr="00D82B1B">
        <w:rPr>
          <w:rFonts w:ascii="Arial" w:hAnsi="Arial" w:cs="Arial"/>
          <w:sz w:val="20"/>
          <w:szCs w:val="20"/>
        </w:rPr>
        <w:t xml:space="preserve">.  </w:t>
      </w:r>
    </w:p>
    <w:p w:rsidR="00CC19E3" w:rsidRDefault="00CC19E3" w:rsidP="00B51B01">
      <w:pPr>
        <w:rPr>
          <w:rFonts w:ascii="Arial" w:hAnsi="Arial" w:cs="Arial"/>
          <w:sz w:val="20"/>
          <w:szCs w:val="20"/>
        </w:rPr>
      </w:pPr>
      <w:r w:rsidRPr="00D82B1B">
        <w:rPr>
          <w:rFonts w:ascii="Arial" w:hAnsi="Arial" w:cs="Arial"/>
          <w:sz w:val="20"/>
          <w:szCs w:val="20"/>
        </w:rPr>
        <w:t>* Medical Director or approval required to issue ABO incompatible plasma to patients &gt; 4 months of age.</w:t>
      </w:r>
    </w:p>
    <w:p w:rsidR="001D3B62" w:rsidRDefault="001D3B62" w:rsidP="00B51B01">
      <w:pPr>
        <w:rPr>
          <w:rFonts w:ascii="Arial" w:hAnsi="Arial" w:cs="Arial"/>
          <w:sz w:val="22"/>
          <w:szCs w:val="22"/>
        </w:rPr>
      </w:pPr>
    </w:p>
    <w:p w:rsidR="00A95624" w:rsidRPr="00A95624" w:rsidRDefault="00A95624" w:rsidP="00B51B01">
      <w:pPr>
        <w:rPr>
          <w:rFonts w:ascii="Arial" w:hAnsi="Arial" w:cs="Arial"/>
          <w:b/>
          <w:sz w:val="22"/>
          <w:szCs w:val="22"/>
        </w:rPr>
      </w:pPr>
      <w:r w:rsidRPr="00A95624">
        <w:rPr>
          <w:rFonts w:ascii="Arial" w:hAnsi="Arial" w:cs="Arial"/>
          <w:b/>
          <w:sz w:val="22"/>
          <w:szCs w:val="22"/>
        </w:rPr>
        <w:t>References:</w:t>
      </w:r>
    </w:p>
    <w:p w:rsidR="00A1728A" w:rsidRPr="00A1728A" w:rsidRDefault="00A1728A" w:rsidP="00A1728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1728A">
        <w:rPr>
          <w:rFonts w:ascii="Arial" w:hAnsi="Arial" w:cs="Arial"/>
          <w:sz w:val="22"/>
          <w:szCs w:val="22"/>
        </w:rPr>
        <w:t xml:space="preserve">Standards for Blood Banks and Transfusion Services, Current Edition, </w:t>
      </w:r>
      <w:smartTag w:uri="urn:schemas-microsoft-com:office:smarttags" w:element="place">
        <w:smartTag w:uri="urn:schemas-microsoft-com:office:smarttags" w:element="City">
          <w:r w:rsidRPr="00A1728A">
            <w:rPr>
              <w:rFonts w:ascii="Arial" w:hAnsi="Arial" w:cs="Arial"/>
              <w:sz w:val="22"/>
              <w:szCs w:val="22"/>
            </w:rPr>
            <w:t>Bethesda</w:t>
          </w:r>
        </w:smartTag>
        <w:r w:rsidRPr="00A1728A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A1728A">
            <w:rPr>
              <w:rFonts w:ascii="Arial" w:hAnsi="Arial" w:cs="Arial"/>
              <w:sz w:val="22"/>
              <w:szCs w:val="22"/>
            </w:rPr>
            <w:t>MD</w:t>
          </w:r>
        </w:smartTag>
      </w:smartTag>
      <w:r w:rsidRPr="00A1728A">
        <w:rPr>
          <w:rFonts w:ascii="Arial" w:hAnsi="Arial" w:cs="Arial"/>
          <w:sz w:val="22"/>
          <w:szCs w:val="22"/>
        </w:rPr>
        <w:t>: American Association of Blood Banks.</w:t>
      </w:r>
    </w:p>
    <w:p w:rsidR="00A1728A" w:rsidRPr="00A1728A" w:rsidRDefault="00A1728A" w:rsidP="00B51B01">
      <w:pPr>
        <w:rPr>
          <w:rFonts w:ascii="Arial" w:hAnsi="Arial" w:cs="Arial"/>
          <w:sz w:val="22"/>
          <w:szCs w:val="22"/>
        </w:rPr>
      </w:pPr>
    </w:p>
    <w:p w:rsidR="00A95624" w:rsidRPr="00A95624" w:rsidRDefault="00A1728A" w:rsidP="00B51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Technical Manual, 16</w:t>
      </w:r>
      <w:r w:rsidRPr="00A1728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Edition, J Roback (</w:t>
      </w:r>
      <w:proofErr w:type="gramStart"/>
      <w:r>
        <w:rPr>
          <w:rFonts w:ascii="Arial" w:hAnsi="Arial" w:cs="Arial"/>
          <w:sz w:val="22"/>
          <w:szCs w:val="22"/>
        </w:rPr>
        <w:t>ed</w:t>
      </w:r>
      <w:proofErr w:type="gramEnd"/>
      <w:r>
        <w:rPr>
          <w:rFonts w:ascii="Arial" w:hAnsi="Arial" w:cs="Arial"/>
          <w:sz w:val="22"/>
          <w:szCs w:val="22"/>
        </w:rPr>
        <w:t xml:space="preserve">). 2008. AABB Press,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Bethesda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MD.</w:t>
          </w:r>
        </w:smartTag>
      </w:smartTag>
    </w:p>
    <w:sectPr w:rsidR="00A95624" w:rsidRPr="00A95624" w:rsidSect="006155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60" w:right="1080" w:bottom="1080" w:left="126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CC" w:rsidRDefault="001557CC">
      <w:r>
        <w:separator/>
      </w:r>
    </w:p>
  </w:endnote>
  <w:endnote w:type="continuationSeparator" w:id="0">
    <w:p w:rsidR="001557CC" w:rsidRDefault="0015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BC6" w:rsidRDefault="00F12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E3" w:rsidRDefault="00CC19E3" w:rsidP="00A95624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C73809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C73809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</w:p>
  <w:p w:rsidR="00CC19E3" w:rsidRDefault="00CC19E3">
    <w:pPr>
      <w:pStyle w:val="Footer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BC6" w:rsidRDefault="00F12B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CC" w:rsidRDefault="001557CC">
      <w:r>
        <w:separator/>
      </w:r>
    </w:p>
  </w:footnote>
  <w:footnote w:type="continuationSeparator" w:id="0">
    <w:p w:rsidR="001557CC" w:rsidRDefault="0015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BC6" w:rsidRDefault="00F12B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E3" w:rsidRPr="00B51B01" w:rsidRDefault="00CC19E3">
    <w:pPr>
      <w:pStyle w:val="Header"/>
      <w:rPr>
        <w:sz w:val="20"/>
        <w:szCs w:val="20"/>
      </w:rPr>
    </w:pPr>
    <w:r w:rsidRPr="00B51B01">
      <w:rPr>
        <w:rFonts w:ascii="Arial" w:hAnsi="Arial" w:cs="Arial"/>
        <w:sz w:val="20"/>
        <w:szCs w:val="20"/>
      </w:rPr>
      <w:t xml:space="preserve">Selection Policy for </w:t>
    </w:r>
    <w:r>
      <w:rPr>
        <w:rFonts w:ascii="Arial" w:hAnsi="Arial" w:cs="Arial"/>
        <w:sz w:val="20"/>
        <w:szCs w:val="20"/>
      </w:rPr>
      <w:t>Platelets, Plasma and Cryoprecipitate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E3" w:rsidRDefault="001E34E3" w:rsidP="00B51B01">
    <w:pPr>
      <w:pStyle w:val="Header"/>
      <w:ind w:hanging="180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19E3" w:rsidRDefault="00CC19E3" w:rsidP="00B51B01">
    <w:pPr>
      <w:pStyle w:val="Header"/>
      <w:ind w:hanging="180"/>
      <w:rPr>
        <w:rFonts w:ascii="Verdana" w:hAnsi="Verdana"/>
        <w:color w:val="333333"/>
        <w:sz w:val="17"/>
        <w:szCs w:val="17"/>
      </w:rPr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C19E3" w:rsidTr="001617FA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B51B01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B51B01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 xml:space="preserve"> St.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CC19E3" w:rsidRPr="00B51B01" w:rsidRDefault="00CC19E3" w:rsidP="001617FA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B51B01">
            <w:rPr>
              <w:rFonts w:ascii="Arial" w:hAnsi="Arial" w:cs="Arial"/>
              <w:sz w:val="22"/>
              <w:szCs w:val="22"/>
            </w:rPr>
            <w:t>April 1</w:t>
          </w:r>
          <w:r w:rsidRPr="00B51B01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B51B01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C19E3" w:rsidRPr="00B51B01" w:rsidRDefault="00CC19E3" w:rsidP="001617F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CC19E3" w:rsidRPr="00B51B01" w:rsidRDefault="00037F73" w:rsidP="001617F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5319-</w:t>
          </w:r>
          <w:r w:rsidRPr="00037F73">
            <w:rPr>
              <w:rFonts w:ascii="Arial" w:hAnsi="Arial" w:cs="Arial"/>
              <w:b/>
              <w:sz w:val="22"/>
              <w:szCs w:val="22"/>
              <w:highlight w:val="yellow"/>
            </w:rPr>
            <w:t>4</w:t>
          </w:r>
        </w:p>
      </w:tc>
    </w:tr>
    <w:tr w:rsidR="00CC19E3" w:rsidTr="001617FA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C19E3" w:rsidRPr="00F12BC6" w:rsidRDefault="00CC19E3" w:rsidP="001617F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 xml:space="preserve">Revision Effective </w:t>
          </w:r>
          <w:r w:rsidRPr="00F12BC6">
            <w:rPr>
              <w:rFonts w:ascii="Arial" w:hAnsi="Arial" w:cs="Arial"/>
              <w:sz w:val="22"/>
              <w:szCs w:val="22"/>
            </w:rPr>
            <w:t>Date:</w:t>
          </w:r>
          <w:r w:rsidR="00F12BC6" w:rsidRPr="00F12BC6">
            <w:rPr>
              <w:rFonts w:ascii="Arial" w:hAnsi="Arial" w:cs="Arial"/>
              <w:sz w:val="22"/>
              <w:szCs w:val="22"/>
            </w:rPr>
            <w:t>12/15/13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C19E3" w:rsidRPr="00BE544D" w:rsidRDefault="00CC19E3" w:rsidP="001617FA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CC19E3" w:rsidTr="001617FA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CC19E3" w:rsidRPr="00B51B01" w:rsidRDefault="00CC19E3" w:rsidP="005F11DB">
          <w:pPr>
            <w:rPr>
              <w:rFonts w:ascii="Arial" w:hAnsi="Arial" w:cs="Arial"/>
              <w:sz w:val="28"/>
            </w:rPr>
          </w:pPr>
          <w:r w:rsidRPr="00B51B01">
            <w:rPr>
              <w:rFonts w:ascii="Arial" w:hAnsi="Arial" w:cs="Arial"/>
              <w:sz w:val="28"/>
            </w:rPr>
            <w:t xml:space="preserve">TITLE:  Selection </w:t>
          </w:r>
          <w:r>
            <w:rPr>
              <w:rFonts w:ascii="Arial" w:hAnsi="Arial" w:cs="Arial"/>
              <w:sz w:val="28"/>
            </w:rPr>
            <w:t>of</w:t>
          </w:r>
          <w:r w:rsidRPr="00B51B01">
            <w:rPr>
              <w:rFonts w:ascii="Arial" w:hAnsi="Arial" w:cs="Arial"/>
              <w:sz w:val="28"/>
            </w:rPr>
            <w:t xml:space="preserve"> </w:t>
          </w:r>
          <w:r>
            <w:rPr>
              <w:rFonts w:ascii="Arial" w:hAnsi="Arial" w:cs="Arial"/>
              <w:sz w:val="28"/>
            </w:rPr>
            <w:t>Platelets, Plasma and Cryoprecipitate</w:t>
          </w:r>
          <w:r w:rsidRPr="00B51B01">
            <w:rPr>
              <w:rFonts w:ascii="Arial" w:hAnsi="Arial" w:cs="Arial"/>
              <w:sz w:val="28"/>
            </w:rPr>
            <w:t xml:space="preserve"> </w:t>
          </w:r>
        </w:p>
      </w:tc>
    </w:tr>
  </w:tbl>
  <w:p w:rsidR="00CC19E3" w:rsidRDefault="00CC19E3" w:rsidP="00B51B01">
    <w:pPr>
      <w:pStyle w:val="Header"/>
      <w:ind w:hanging="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CF8"/>
    <w:multiLevelType w:val="hybridMultilevel"/>
    <w:tmpl w:val="4914127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440E3"/>
    <w:multiLevelType w:val="hybridMultilevel"/>
    <w:tmpl w:val="95C8B0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C3FDF"/>
    <w:multiLevelType w:val="hybridMultilevel"/>
    <w:tmpl w:val="D4EAB58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212212"/>
    <w:multiLevelType w:val="hybridMultilevel"/>
    <w:tmpl w:val="8BC46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395F3A"/>
    <w:multiLevelType w:val="multilevel"/>
    <w:tmpl w:val="95C8B0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D051B"/>
    <w:multiLevelType w:val="multilevel"/>
    <w:tmpl w:val="9E5818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CD3565"/>
    <w:multiLevelType w:val="hybridMultilevel"/>
    <w:tmpl w:val="285CB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E3664DD"/>
    <w:multiLevelType w:val="hybridMultilevel"/>
    <w:tmpl w:val="49AA7A1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78A3AD7"/>
    <w:multiLevelType w:val="hybridMultilevel"/>
    <w:tmpl w:val="9BC20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B331D23"/>
    <w:multiLevelType w:val="hybridMultilevel"/>
    <w:tmpl w:val="A43282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2E27F6"/>
    <w:multiLevelType w:val="hybridMultilevel"/>
    <w:tmpl w:val="C206DC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7F02D3"/>
    <w:multiLevelType w:val="hybridMultilevel"/>
    <w:tmpl w:val="B024E1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1F93025"/>
    <w:multiLevelType w:val="hybridMultilevel"/>
    <w:tmpl w:val="14A8CA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896E17"/>
    <w:multiLevelType w:val="hybridMultilevel"/>
    <w:tmpl w:val="C5D4F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01"/>
    <w:rsid w:val="000045CC"/>
    <w:rsid w:val="00037F73"/>
    <w:rsid w:val="0004426A"/>
    <w:rsid w:val="00067120"/>
    <w:rsid w:val="000D01EA"/>
    <w:rsid w:val="0013264C"/>
    <w:rsid w:val="001557CC"/>
    <w:rsid w:val="00156E15"/>
    <w:rsid w:val="001617FA"/>
    <w:rsid w:val="0019150E"/>
    <w:rsid w:val="00194460"/>
    <w:rsid w:val="0019729C"/>
    <w:rsid w:val="001B1D47"/>
    <w:rsid w:val="001B22CA"/>
    <w:rsid w:val="001B319D"/>
    <w:rsid w:val="001D3B62"/>
    <w:rsid w:val="001E34E3"/>
    <w:rsid w:val="001E5DDE"/>
    <w:rsid w:val="002211FE"/>
    <w:rsid w:val="0026248F"/>
    <w:rsid w:val="002A556A"/>
    <w:rsid w:val="002C592D"/>
    <w:rsid w:val="0033613E"/>
    <w:rsid w:val="003A6BBB"/>
    <w:rsid w:val="003C7798"/>
    <w:rsid w:val="003E4407"/>
    <w:rsid w:val="00400539"/>
    <w:rsid w:val="00420240"/>
    <w:rsid w:val="00493DFB"/>
    <w:rsid w:val="004F6DF4"/>
    <w:rsid w:val="00500589"/>
    <w:rsid w:val="0052205C"/>
    <w:rsid w:val="00545F6B"/>
    <w:rsid w:val="00593A71"/>
    <w:rsid w:val="005F11DB"/>
    <w:rsid w:val="0061555D"/>
    <w:rsid w:val="00620051"/>
    <w:rsid w:val="00675B50"/>
    <w:rsid w:val="006D4BE3"/>
    <w:rsid w:val="006D5F56"/>
    <w:rsid w:val="006D6D22"/>
    <w:rsid w:val="00797C5B"/>
    <w:rsid w:val="00807B26"/>
    <w:rsid w:val="008235F8"/>
    <w:rsid w:val="00831352"/>
    <w:rsid w:val="00837B55"/>
    <w:rsid w:val="00883753"/>
    <w:rsid w:val="00A1728A"/>
    <w:rsid w:val="00A76B37"/>
    <w:rsid w:val="00A831C4"/>
    <w:rsid w:val="00A95624"/>
    <w:rsid w:val="00AB7B6D"/>
    <w:rsid w:val="00AD69E8"/>
    <w:rsid w:val="00B41143"/>
    <w:rsid w:val="00B51B01"/>
    <w:rsid w:val="00BE544D"/>
    <w:rsid w:val="00C551E4"/>
    <w:rsid w:val="00C73809"/>
    <w:rsid w:val="00CC19E3"/>
    <w:rsid w:val="00CD1DDB"/>
    <w:rsid w:val="00CF5361"/>
    <w:rsid w:val="00D56E0B"/>
    <w:rsid w:val="00D82B1B"/>
    <w:rsid w:val="00DD5611"/>
    <w:rsid w:val="00DE6012"/>
    <w:rsid w:val="00E82B71"/>
    <w:rsid w:val="00EB7688"/>
    <w:rsid w:val="00F1209E"/>
    <w:rsid w:val="00F12BC6"/>
    <w:rsid w:val="00F44C01"/>
    <w:rsid w:val="00F5630E"/>
    <w:rsid w:val="00FC693E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1B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51B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51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locked/>
    <w:rsid w:val="00A95624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D56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6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1B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51B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51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locked/>
    <w:rsid w:val="00A95624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D56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6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To describe the selection ABO/Rh blood group selection of blood products when ABO/Rh identical are not able to be transfused either due to massive transfusion, or inventory management issues</vt:lpstr>
    </vt:vector>
  </TitlesOfParts>
  <Company/>
  <LinksUpToDate>false</LinksUpToDate>
  <CharactersWithSpaces>5151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To describe the selection ABO/Rh blood group selection of blood products when ABO/Rh identical are not able to be transfused either due to massive transfusion, or inventory management issues</dc:title>
  <dc:subject/>
  <dc:creator>jad2210</dc:creator>
  <cp:keywords/>
  <dc:description/>
  <cp:lastModifiedBy>Brenda Hayden</cp:lastModifiedBy>
  <cp:revision>3</cp:revision>
  <cp:lastPrinted>2013-08-04T21:58:00Z</cp:lastPrinted>
  <dcterms:created xsi:type="dcterms:W3CDTF">2013-11-21T22:17:00Z</dcterms:created>
  <dcterms:modified xsi:type="dcterms:W3CDTF">2013-11-26T00:11:00Z</dcterms:modified>
</cp:coreProperties>
</file>