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9A3" w:rsidRPr="00330398" w:rsidRDefault="005059A3" w:rsidP="00330398">
      <w:pPr>
        <w:ind w:left="-540"/>
        <w:jc w:val="center"/>
        <w:rPr>
          <w:b/>
          <w:sz w:val="44"/>
          <w:szCs w:val="44"/>
          <w:u w:val="single"/>
        </w:rPr>
      </w:pPr>
      <w:r w:rsidRPr="00330398">
        <w:rPr>
          <w:b/>
          <w:sz w:val="44"/>
          <w:szCs w:val="44"/>
          <w:u w:val="single"/>
        </w:rPr>
        <w:t>UW Medicine - Pathology</w:t>
      </w:r>
    </w:p>
    <w:p w:rsidR="005059A3" w:rsidRDefault="005059A3" w:rsidP="00DE1C1C">
      <w:pPr>
        <w:ind w:left="-540"/>
        <w:rPr>
          <w:b/>
          <w:u w:val="single"/>
        </w:rPr>
      </w:pPr>
    </w:p>
    <w:p w:rsidR="005059A3" w:rsidRDefault="005059A3" w:rsidP="00DE1C1C">
      <w:pPr>
        <w:ind w:left="-540"/>
        <w:rPr>
          <w:b/>
          <w:u w:val="single"/>
        </w:rPr>
      </w:pPr>
    </w:p>
    <w:p w:rsidR="005059A3" w:rsidRDefault="005059A3" w:rsidP="00DE1C1C">
      <w:pPr>
        <w:ind w:left="-540"/>
        <w:rPr>
          <w:b/>
          <w:u w:val="single"/>
        </w:rPr>
      </w:pPr>
    </w:p>
    <w:p w:rsidR="005059A3" w:rsidRDefault="005059A3" w:rsidP="00387A2B">
      <w:pPr>
        <w:ind w:left="5760" w:firstLine="720"/>
      </w:pPr>
      <w:r>
        <w:t>400-11-01-02</w:t>
      </w:r>
    </w:p>
    <w:p w:rsidR="005059A3" w:rsidRPr="00DE1C1C" w:rsidRDefault="005059A3" w:rsidP="00330398">
      <w:pPr>
        <w:ind w:left="-540"/>
        <w:jc w:val="center"/>
        <w:rPr>
          <w:sz w:val="28"/>
          <w:szCs w:val="28"/>
        </w:rPr>
      </w:pPr>
      <w:r>
        <w:rPr>
          <w:sz w:val="28"/>
          <w:szCs w:val="28"/>
        </w:rPr>
        <w:t>Array Data Analysis Procedure</w:t>
      </w:r>
    </w:p>
    <w:p w:rsidR="005059A3" w:rsidRDefault="005059A3"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5059A3" w:rsidTr="00DE403F">
        <w:tc>
          <w:tcPr>
            <w:tcW w:w="3348" w:type="dxa"/>
          </w:tcPr>
          <w:p w:rsidR="005059A3" w:rsidRDefault="005059A3" w:rsidP="00DE1C1C">
            <w:r>
              <w:t>Adopted Date: 10/12/09</w:t>
            </w:r>
          </w:p>
          <w:p w:rsidR="005059A3" w:rsidRDefault="005059A3" w:rsidP="00DE1C1C">
            <w:r>
              <w:t>Review Date: 07/2010</w:t>
            </w:r>
          </w:p>
          <w:p w:rsidR="005059A3" w:rsidRDefault="005059A3" w:rsidP="00DE1C1C">
            <w:r>
              <w:t>Revision Date: 07/2010</w:t>
            </w:r>
          </w:p>
        </w:tc>
      </w:tr>
    </w:tbl>
    <w:p w:rsidR="005059A3" w:rsidRDefault="005059A3" w:rsidP="00DE1C1C"/>
    <w:p w:rsidR="005059A3" w:rsidRDefault="005059A3" w:rsidP="00DE1C1C"/>
    <w:p w:rsidR="005059A3" w:rsidRPr="00263643" w:rsidRDefault="005059A3"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5059A3" w:rsidRDefault="005059A3" w:rsidP="00AD7E81">
      <w:pPr>
        <w:ind w:left="-540"/>
      </w:pPr>
      <w:r>
        <w:t xml:space="preserve">After scanned microarray data is processed and loaded in </w:t>
      </w:r>
      <w:proofErr w:type="spellStart"/>
      <w:r>
        <w:t>Genoglyphix</w:t>
      </w:r>
      <w:proofErr w:type="spellEnd"/>
      <w:r>
        <w:t xml:space="preserve">, data analysis using </w:t>
      </w:r>
      <w:proofErr w:type="spellStart"/>
      <w:r>
        <w:t>Genoglyphix</w:t>
      </w:r>
      <w:proofErr w:type="spellEnd"/>
      <w:r>
        <w:t xml:space="preserve"> software allows for evaluating the information of regions of copy number gain or loss in the genome and determining the significance of the changes.</w:t>
      </w:r>
    </w:p>
    <w:p w:rsidR="005059A3" w:rsidRDefault="005059A3" w:rsidP="00AD7E81">
      <w:pPr>
        <w:rPr>
          <w:sz w:val="28"/>
          <w:szCs w:val="28"/>
        </w:rPr>
      </w:pPr>
    </w:p>
    <w:p w:rsidR="005059A3" w:rsidRPr="00263643" w:rsidRDefault="005059A3" w:rsidP="00263643">
      <w:pPr>
        <w:pBdr>
          <w:bottom w:val="single" w:sz="4" w:space="1" w:color="auto"/>
        </w:pBdr>
        <w:ind w:left="-540"/>
        <w:rPr>
          <w:rFonts w:ascii="Arial" w:hAnsi="Arial" w:cs="Arial"/>
          <w:sz w:val="28"/>
          <w:szCs w:val="28"/>
        </w:rPr>
      </w:pPr>
      <w:r w:rsidRPr="00263643">
        <w:rPr>
          <w:rFonts w:ascii="Arial" w:hAnsi="Arial" w:cs="Arial"/>
          <w:sz w:val="28"/>
          <w:szCs w:val="28"/>
        </w:rPr>
        <w:t>P</w:t>
      </w:r>
      <w:r>
        <w:rPr>
          <w:rFonts w:ascii="Arial" w:hAnsi="Arial" w:cs="Arial"/>
          <w:sz w:val="28"/>
          <w:szCs w:val="28"/>
        </w:rPr>
        <w:t>ROCEDURE</w:t>
      </w:r>
    </w:p>
    <w:p w:rsidR="005059A3" w:rsidRPr="00AD7E81" w:rsidRDefault="005059A3" w:rsidP="00AD7E81">
      <w:pPr>
        <w:pStyle w:val="Heading3"/>
        <w:numPr>
          <w:ilvl w:val="2"/>
          <w:numId w:val="8"/>
        </w:numPr>
        <w:tabs>
          <w:tab w:val="clear" w:pos="2340"/>
          <w:tab w:val="num" w:pos="0"/>
        </w:tabs>
        <w:ind w:left="0" w:hanging="540"/>
        <w:rPr>
          <w:sz w:val="24"/>
          <w:szCs w:val="24"/>
        </w:rPr>
      </w:pPr>
      <w:r w:rsidRPr="00AD7E81">
        <w:rPr>
          <w:sz w:val="24"/>
          <w:szCs w:val="24"/>
        </w:rPr>
        <w:t>Equipment</w:t>
      </w:r>
    </w:p>
    <w:p w:rsidR="005059A3" w:rsidRDefault="005059A3" w:rsidP="00AD7E81">
      <w:pPr>
        <w:numPr>
          <w:ilvl w:val="3"/>
          <w:numId w:val="8"/>
        </w:numPr>
        <w:tabs>
          <w:tab w:val="clear" w:pos="2880"/>
          <w:tab w:val="num" w:pos="360"/>
        </w:tabs>
        <w:ind w:left="360"/>
      </w:pPr>
      <w:proofErr w:type="spellStart"/>
      <w:r>
        <w:t>Genoglyphix</w:t>
      </w:r>
      <w:proofErr w:type="spellEnd"/>
      <w:r>
        <w:t xml:space="preserve"> software from Signature Genomic Laboratories</w:t>
      </w:r>
    </w:p>
    <w:p w:rsidR="005059A3" w:rsidRDefault="005059A3" w:rsidP="00AD7E81"/>
    <w:p w:rsidR="005059A3" w:rsidRPr="00AD7E81" w:rsidRDefault="005059A3" w:rsidP="00AD7E81">
      <w:pPr>
        <w:pStyle w:val="Heading3"/>
        <w:numPr>
          <w:ilvl w:val="2"/>
          <w:numId w:val="8"/>
        </w:numPr>
        <w:tabs>
          <w:tab w:val="clear" w:pos="2340"/>
          <w:tab w:val="num" w:pos="0"/>
        </w:tabs>
        <w:ind w:left="0" w:hanging="540"/>
        <w:rPr>
          <w:sz w:val="24"/>
          <w:szCs w:val="24"/>
        </w:rPr>
      </w:pPr>
      <w:r w:rsidRPr="00AD7E81">
        <w:rPr>
          <w:sz w:val="24"/>
          <w:szCs w:val="24"/>
        </w:rPr>
        <w:t>Procedure</w:t>
      </w:r>
    </w:p>
    <w:p w:rsidR="005059A3" w:rsidRDefault="005059A3" w:rsidP="00AD7E81">
      <w:pPr>
        <w:numPr>
          <w:ilvl w:val="0"/>
          <w:numId w:val="7"/>
        </w:numPr>
        <w:tabs>
          <w:tab w:val="clear" w:pos="720"/>
          <w:tab w:val="num" w:pos="540"/>
        </w:tabs>
        <w:ind w:left="540" w:hanging="540"/>
      </w:pPr>
      <w:r>
        <w:t>Choose a patient folder from the "to be analyzed" rack in the main office.</w:t>
      </w:r>
    </w:p>
    <w:p w:rsidR="005059A3" w:rsidRDefault="005059A3" w:rsidP="00AD7E81">
      <w:pPr>
        <w:numPr>
          <w:ilvl w:val="0"/>
          <w:numId w:val="7"/>
        </w:numPr>
        <w:tabs>
          <w:tab w:val="clear" w:pos="720"/>
          <w:tab w:val="num" w:pos="540"/>
        </w:tabs>
        <w:ind w:left="540" w:hanging="540"/>
      </w:pPr>
      <w:r>
        <w:t xml:space="preserve">Log onto </w:t>
      </w:r>
      <w:proofErr w:type="spellStart"/>
      <w:r>
        <w:t>Genoglyphix</w:t>
      </w:r>
      <w:proofErr w:type="spellEnd"/>
      <w:r>
        <w:t xml:space="preserve"> (</w:t>
      </w:r>
      <w:hyperlink r:id="rId8" w:history="1">
        <w:r w:rsidRPr="00CF1280">
          <w:rPr>
            <w:rStyle w:val="Hyperlink"/>
          </w:rPr>
          <w:t>www.genoglyphix.com</w:t>
        </w:r>
      </w:hyperlink>
      <w:r>
        <w:t>) using the login and password provided by Signature Genomic Laboratories.</w:t>
      </w:r>
    </w:p>
    <w:p w:rsidR="005059A3" w:rsidRDefault="005059A3" w:rsidP="00AD7E81">
      <w:pPr>
        <w:numPr>
          <w:ilvl w:val="0"/>
          <w:numId w:val="7"/>
        </w:numPr>
        <w:tabs>
          <w:tab w:val="clear" w:pos="720"/>
          <w:tab w:val="num" w:pos="540"/>
        </w:tabs>
        <w:ind w:left="540" w:hanging="540"/>
      </w:pPr>
      <w:r>
        <w:t xml:space="preserve">Click on </w:t>
      </w:r>
      <w:r w:rsidRPr="00DD4135">
        <w:rPr>
          <w:b/>
        </w:rPr>
        <w:t>Subject List</w:t>
      </w:r>
      <w:r>
        <w:t xml:space="preserve"> to view a list of cases created. Alternatively, click on </w:t>
      </w:r>
      <w:r w:rsidRPr="00DD4135">
        <w:rPr>
          <w:b/>
        </w:rPr>
        <w:t>Search for Cases</w:t>
      </w:r>
      <w:r>
        <w:t xml:space="preserve"> using subject ID (case number) or physician.</w:t>
      </w:r>
    </w:p>
    <w:p w:rsidR="005059A3" w:rsidRDefault="005059A3" w:rsidP="00AD7E81">
      <w:pPr>
        <w:numPr>
          <w:ilvl w:val="0"/>
          <w:numId w:val="7"/>
        </w:numPr>
        <w:tabs>
          <w:tab w:val="clear" w:pos="720"/>
          <w:tab w:val="num" w:pos="540"/>
        </w:tabs>
        <w:ind w:left="540" w:hanging="540"/>
      </w:pPr>
      <w:r>
        <w:t>Click on the subject ID (case number) that you are going to analyze.  Subject Summary will open. Check all the patient identifiers and slide lot number (Slide info in yellow) matching with the fax notice from Signature Genomic Laboratories.</w:t>
      </w:r>
    </w:p>
    <w:p w:rsidR="005059A3" w:rsidRDefault="005059A3" w:rsidP="00AD7E81">
      <w:pPr>
        <w:numPr>
          <w:ilvl w:val="0"/>
          <w:numId w:val="7"/>
        </w:numPr>
        <w:tabs>
          <w:tab w:val="clear" w:pos="720"/>
          <w:tab w:val="num" w:pos="540"/>
        </w:tabs>
        <w:ind w:left="540" w:hanging="540"/>
      </w:pPr>
      <w:r>
        <w:t xml:space="preserve">Click on </w:t>
      </w:r>
      <w:r w:rsidRPr="00B67287">
        <w:rPr>
          <w:b/>
        </w:rPr>
        <w:t>Analysis Status</w:t>
      </w:r>
      <w:r>
        <w:rPr>
          <w:b/>
        </w:rPr>
        <w:t xml:space="preserve"> </w:t>
      </w:r>
      <w:r w:rsidRPr="00211727">
        <w:t>on the left side menu,</w:t>
      </w:r>
      <w:r>
        <w:t xml:space="preserve"> the whole genome plot and each individual chromosome plot will show up from the </w:t>
      </w:r>
      <w:proofErr w:type="spellStart"/>
      <w:r>
        <w:t>oligo</w:t>
      </w:r>
      <w:proofErr w:type="spellEnd"/>
      <w:r>
        <w:t xml:space="preserve"> array uploaded previously. Check the standard deviation (SD), the value should be &lt;0.2. Then check through the whole genome plot.</w:t>
      </w:r>
    </w:p>
    <w:p w:rsidR="005059A3" w:rsidRDefault="005059A3" w:rsidP="00AD7E81">
      <w:pPr>
        <w:numPr>
          <w:ilvl w:val="0"/>
          <w:numId w:val="7"/>
        </w:numPr>
        <w:tabs>
          <w:tab w:val="clear" w:pos="720"/>
          <w:tab w:val="num" w:pos="540"/>
        </w:tabs>
        <w:ind w:left="540" w:hanging="540"/>
      </w:pPr>
      <w:r>
        <w:t xml:space="preserve">On the whole genome plot, take note of the end of the plot where the sex chromosomes are located. For male patients, there should be no significant symmetrical gain (pink dotes) and loss (blue dots). For female patient there should be a minor symmetrical gain and loss in the Y region. If sex does not seem to match or there is another pattern present, either a sample handling error or a sex </w:t>
      </w:r>
      <w:proofErr w:type="gramStart"/>
      <w:r>
        <w:t>chromosome</w:t>
      </w:r>
      <w:proofErr w:type="gramEnd"/>
      <w:r>
        <w:t xml:space="preserve"> abnormality should be considered.</w:t>
      </w:r>
    </w:p>
    <w:p w:rsidR="005059A3" w:rsidRDefault="005059A3" w:rsidP="00AD7E81">
      <w:pPr>
        <w:numPr>
          <w:ilvl w:val="0"/>
          <w:numId w:val="7"/>
        </w:numPr>
        <w:tabs>
          <w:tab w:val="clear" w:pos="720"/>
          <w:tab w:val="num" w:pos="540"/>
        </w:tabs>
        <w:ind w:left="540" w:hanging="540"/>
      </w:pPr>
      <w:r>
        <w:t xml:space="preserve">Scroll down through the rest of the chromosome plots and take note of any telomeres that appear "chatter". If several chromosomes display telomere chatter, check if the </w:t>
      </w:r>
      <w:proofErr w:type="spellStart"/>
      <w:r>
        <w:t>oligo</w:t>
      </w:r>
      <w:proofErr w:type="spellEnd"/>
      <w:r>
        <w:t xml:space="preserve"> array needs to be repeated or if the DNA needs to be extracted again.</w:t>
      </w:r>
    </w:p>
    <w:p w:rsidR="005059A3" w:rsidRDefault="005059A3" w:rsidP="00AD7E81">
      <w:pPr>
        <w:numPr>
          <w:ilvl w:val="0"/>
          <w:numId w:val="7"/>
        </w:numPr>
        <w:tabs>
          <w:tab w:val="clear" w:pos="720"/>
          <w:tab w:val="num" w:pos="540"/>
        </w:tabs>
        <w:ind w:left="540" w:hanging="540"/>
      </w:pPr>
      <w:r>
        <w:t>Check each individual chromosome plot to see if any region that should be flagged is missed.</w:t>
      </w:r>
    </w:p>
    <w:p w:rsidR="005059A3" w:rsidRDefault="005059A3" w:rsidP="00AD7E81">
      <w:pPr>
        <w:numPr>
          <w:ilvl w:val="0"/>
          <w:numId w:val="7"/>
        </w:numPr>
        <w:tabs>
          <w:tab w:val="clear" w:pos="720"/>
          <w:tab w:val="num" w:pos="540"/>
        </w:tabs>
        <w:ind w:left="540" w:hanging="540"/>
      </w:pPr>
      <w:r>
        <w:lastRenderedPageBreak/>
        <w:t xml:space="preserve">Click on </w:t>
      </w:r>
      <w:proofErr w:type="spellStart"/>
      <w:r w:rsidRPr="00B67287">
        <w:rPr>
          <w:b/>
        </w:rPr>
        <w:t>Karyogram</w:t>
      </w:r>
      <w:proofErr w:type="spellEnd"/>
      <w:r w:rsidRPr="00B67287">
        <w:rPr>
          <w:b/>
        </w:rPr>
        <w:t xml:space="preserve"> Review</w:t>
      </w:r>
      <w:r>
        <w:t xml:space="preserve"> from the tool bar to see if there is any detectable </w:t>
      </w:r>
      <w:proofErr w:type="spellStart"/>
      <w:r>
        <w:t>mosaicism</w:t>
      </w:r>
      <w:proofErr w:type="spellEnd"/>
      <w:r>
        <w:t xml:space="preserve"> apparent. Print the </w:t>
      </w:r>
      <w:proofErr w:type="spellStart"/>
      <w:r>
        <w:t>Karyogram</w:t>
      </w:r>
      <w:proofErr w:type="spellEnd"/>
      <w:r>
        <w:t xml:space="preserve"> from the browser.</w:t>
      </w:r>
    </w:p>
    <w:p w:rsidR="005059A3" w:rsidRDefault="005059A3" w:rsidP="00AD7E81">
      <w:pPr>
        <w:numPr>
          <w:ilvl w:val="0"/>
          <w:numId w:val="7"/>
        </w:numPr>
        <w:tabs>
          <w:tab w:val="clear" w:pos="720"/>
          <w:tab w:val="num" w:pos="540"/>
        </w:tabs>
        <w:ind w:left="540" w:hanging="540"/>
      </w:pPr>
      <w:r>
        <w:t xml:space="preserve">Click on </w:t>
      </w:r>
      <w:r w:rsidRPr="000558B2">
        <w:rPr>
          <w:b/>
        </w:rPr>
        <w:t xml:space="preserve">Create </w:t>
      </w:r>
      <w:proofErr w:type="gramStart"/>
      <w:r w:rsidRPr="000558B2">
        <w:rPr>
          <w:b/>
        </w:rPr>
        <w:t>Plots</w:t>
      </w:r>
      <w:r>
        <w:t>,</w:t>
      </w:r>
      <w:proofErr w:type="gramEnd"/>
      <w:r>
        <w:t xml:space="preserve"> download "Include All Chart". A PDF file of the whole genome plots will be open, save it in the patient case folder located in the "Cytogenetics" folder under "Shared Files - </w:t>
      </w:r>
      <w:proofErr w:type="spellStart"/>
      <w:r>
        <w:t>CGH_cases</w:t>
      </w:r>
      <w:proofErr w:type="spellEnd"/>
      <w:r>
        <w:t>". Print the PDF file on color printer and staple printout and put patient label on it.</w:t>
      </w:r>
    </w:p>
    <w:p w:rsidR="005059A3" w:rsidRDefault="005059A3" w:rsidP="00AD7E81">
      <w:pPr>
        <w:numPr>
          <w:ilvl w:val="0"/>
          <w:numId w:val="7"/>
        </w:numPr>
        <w:tabs>
          <w:tab w:val="clear" w:pos="720"/>
          <w:tab w:val="num" w:pos="540"/>
        </w:tabs>
        <w:ind w:left="540" w:hanging="540"/>
      </w:pPr>
      <w:r>
        <w:t xml:space="preserve">Click on the </w:t>
      </w:r>
      <w:r w:rsidRPr="00C06BF5">
        <w:rPr>
          <w:b/>
        </w:rPr>
        <w:t>Notation Review</w:t>
      </w:r>
      <w:r>
        <w:t xml:space="preserve">. This page will show each flagged region of the gains and losses of 5 or more adjacent oligonucleotide probes of significant value determined by </w:t>
      </w:r>
      <w:proofErr w:type="spellStart"/>
      <w:r>
        <w:t>NimbleScan</w:t>
      </w:r>
      <w:proofErr w:type="spellEnd"/>
      <w:r>
        <w:t xml:space="preserve">, DNA Analytics and </w:t>
      </w:r>
      <w:proofErr w:type="spellStart"/>
      <w:r>
        <w:t>Genoglyphix</w:t>
      </w:r>
      <w:proofErr w:type="spellEnd"/>
      <w:r>
        <w:t>.</w:t>
      </w:r>
    </w:p>
    <w:p w:rsidR="005059A3" w:rsidRDefault="005059A3" w:rsidP="00AD7E81">
      <w:pPr>
        <w:numPr>
          <w:ilvl w:val="0"/>
          <w:numId w:val="7"/>
        </w:numPr>
        <w:tabs>
          <w:tab w:val="clear" w:pos="720"/>
          <w:tab w:val="num" w:pos="540"/>
        </w:tabs>
        <w:ind w:left="540" w:hanging="540"/>
      </w:pPr>
      <w:r>
        <w:t>Go through each flagged region and determine the significance of the copy number changes by investigation these features and make notes for:</w:t>
      </w:r>
    </w:p>
    <w:p w:rsidR="005059A3" w:rsidRDefault="005059A3" w:rsidP="00AD7E81">
      <w:pPr>
        <w:numPr>
          <w:ilvl w:val="1"/>
          <w:numId w:val="7"/>
        </w:numPr>
        <w:tabs>
          <w:tab w:val="clear" w:pos="1440"/>
          <w:tab w:val="num" w:pos="1260"/>
        </w:tabs>
        <w:ind w:left="1260" w:hanging="540"/>
      </w:pPr>
      <w:r>
        <w:t>Size of the gain and loss</w:t>
      </w:r>
    </w:p>
    <w:p w:rsidR="005059A3" w:rsidRDefault="005059A3" w:rsidP="00AD7E81">
      <w:pPr>
        <w:numPr>
          <w:ilvl w:val="1"/>
          <w:numId w:val="7"/>
        </w:numPr>
        <w:tabs>
          <w:tab w:val="clear" w:pos="1440"/>
          <w:tab w:val="num" w:pos="1260"/>
        </w:tabs>
        <w:ind w:left="1260" w:hanging="540"/>
      </w:pPr>
      <w:r>
        <w:t>Location of segmental duplications and gaps in coverage</w:t>
      </w:r>
    </w:p>
    <w:p w:rsidR="005059A3" w:rsidRDefault="005059A3" w:rsidP="00AD7E81">
      <w:pPr>
        <w:numPr>
          <w:ilvl w:val="1"/>
          <w:numId w:val="7"/>
        </w:numPr>
        <w:tabs>
          <w:tab w:val="clear" w:pos="1440"/>
          <w:tab w:val="num" w:pos="1260"/>
        </w:tabs>
        <w:ind w:left="1260" w:hanging="540"/>
      </w:pPr>
      <w:r>
        <w:t>Genes involved, number of OMIM genes, and number of other genes in the region</w:t>
      </w:r>
    </w:p>
    <w:p w:rsidR="005059A3" w:rsidRDefault="005059A3" w:rsidP="00AD7E81">
      <w:pPr>
        <w:numPr>
          <w:ilvl w:val="1"/>
          <w:numId w:val="7"/>
        </w:numPr>
        <w:tabs>
          <w:tab w:val="clear" w:pos="1440"/>
          <w:tab w:val="num" w:pos="1260"/>
        </w:tabs>
        <w:ind w:left="1260" w:hanging="540"/>
      </w:pPr>
      <w:r>
        <w:t>Known benign copy number variants (CNVs)</w:t>
      </w:r>
    </w:p>
    <w:p w:rsidR="005059A3" w:rsidRDefault="005059A3" w:rsidP="00AD7E81">
      <w:pPr>
        <w:numPr>
          <w:ilvl w:val="1"/>
          <w:numId w:val="7"/>
        </w:numPr>
        <w:tabs>
          <w:tab w:val="clear" w:pos="1440"/>
          <w:tab w:val="num" w:pos="1260"/>
        </w:tabs>
        <w:ind w:left="1260" w:hanging="540"/>
      </w:pPr>
      <w:r>
        <w:t>Previous UWMC cases (</w:t>
      </w:r>
      <w:proofErr w:type="spellStart"/>
      <w:r>
        <w:t>MyGCAD</w:t>
      </w:r>
      <w:proofErr w:type="spellEnd"/>
      <w:r>
        <w:t>) and Signature Genomics (GCAD) case of similar size and location</w:t>
      </w:r>
    </w:p>
    <w:p w:rsidR="005059A3" w:rsidRDefault="005059A3" w:rsidP="00AD7E81">
      <w:pPr>
        <w:numPr>
          <w:ilvl w:val="1"/>
          <w:numId w:val="7"/>
        </w:numPr>
        <w:tabs>
          <w:tab w:val="clear" w:pos="1440"/>
          <w:tab w:val="num" w:pos="1260"/>
        </w:tabs>
        <w:ind w:left="1260" w:hanging="540"/>
      </w:pPr>
      <w:r>
        <w:t>Known syndromes in the region (SGL GPS)</w:t>
      </w:r>
    </w:p>
    <w:p w:rsidR="005059A3" w:rsidRDefault="005059A3" w:rsidP="00AD7E81">
      <w:pPr>
        <w:numPr>
          <w:ilvl w:val="1"/>
          <w:numId w:val="7"/>
        </w:numPr>
        <w:tabs>
          <w:tab w:val="clear" w:pos="1440"/>
          <w:tab w:val="num" w:pos="1260"/>
        </w:tabs>
        <w:ind w:left="1260" w:hanging="540"/>
      </w:pPr>
      <w:r>
        <w:t>Database of genomic variants listings (DGVs)</w:t>
      </w:r>
    </w:p>
    <w:p w:rsidR="005059A3" w:rsidRDefault="005059A3" w:rsidP="00AD7E81">
      <w:pPr>
        <w:numPr>
          <w:ilvl w:val="1"/>
          <w:numId w:val="7"/>
        </w:numPr>
        <w:tabs>
          <w:tab w:val="clear" w:pos="1440"/>
          <w:tab w:val="num" w:pos="1260"/>
        </w:tabs>
        <w:ind w:left="1260" w:hanging="540"/>
      </w:pPr>
      <w:r>
        <w:t>FISH probes available in the region</w:t>
      </w:r>
    </w:p>
    <w:p w:rsidR="005059A3" w:rsidRDefault="005059A3" w:rsidP="00AD7E81">
      <w:pPr>
        <w:numPr>
          <w:ilvl w:val="0"/>
          <w:numId w:val="7"/>
        </w:numPr>
        <w:tabs>
          <w:tab w:val="clear" w:pos="720"/>
          <w:tab w:val="num" w:pos="540"/>
        </w:tabs>
        <w:ind w:left="540" w:hanging="540"/>
      </w:pPr>
      <w:r>
        <w:t xml:space="preserve">When the analysis is complete, click on </w:t>
      </w:r>
      <w:r w:rsidRPr="0033335D">
        <w:rPr>
          <w:b/>
        </w:rPr>
        <w:t>Analysis Status</w:t>
      </w:r>
      <w:r>
        <w:t>, fill in your initials, then click on the "case reviewed" box.</w:t>
      </w:r>
    </w:p>
    <w:p w:rsidR="005059A3" w:rsidRPr="00BC35F4" w:rsidRDefault="005059A3" w:rsidP="00AD7E81">
      <w:pPr>
        <w:numPr>
          <w:ilvl w:val="0"/>
          <w:numId w:val="7"/>
        </w:numPr>
        <w:tabs>
          <w:tab w:val="clear" w:pos="720"/>
          <w:tab w:val="num" w:pos="540"/>
        </w:tabs>
        <w:ind w:left="540" w:hanging="540"/>
      </w:pPr>
      <w:r w:rsidRPr="00307129">
        <w:t xml:space="preserve">Go through the </w:t>
      </w:r>
      <w:r w:rsidRPr="00307129">
        <w:rPr>
          <w:rFonts w:ascii="Times" w:hAnsi="Times" w:cs="Arial"/>
        </w:rPr>
        <w:t>Array CGH Quality Assurance Checklist in the patient folder, initial and date all check marks under Primary Tech and make sure it's complete and accurate</w:t>
      </w:r>
      <w:r>
        <w:rPr>
          <w:rFonts w:ascii="Times" w:hAnsi="Times" w:cs="Arial"/>
        </w:rPr>
        <w:t>.</w:t>
      </w:r>
    </w:p>
    <w:p w:rsidR="005059A3" w:rsidRPr="00145EFE" w:rsidRDefault="005059A3" w:rsidP="00AD7E81">
      <w:pPr>
        <w:numPr>
          <w:ilvl w:val="0"/>
          <w:numId w:val="7"/>
        </w:numPr>
        <w:tabs>
          <w:tab w:val="clear" w:pos="720"/>
          <w:tab w:val="num" w:pos="540"/>
        </w:tabs>
        <w:ind w:left="540" w:hanging="540"/>
      </w:pPr>
      <w:r>
        <w:rPr>
          <w:rFonts w:ascii="Times" w:hAnsi="Times" w:cs="Arial"/>
        </w:rPr>
        <w:t xml:space="preserve">After related studies are done, click on the </w:t>
      </w:r>
      <w:r w:rsidRPr="00145EFE">
        <w:rPr>
          <w:rFonts w:ascii="Times" w:hAnsi="Times" w:cs="Arial"/>
          <w:b/>
        </w:rPr>
        <w:t>Final Review &amp; Report</w:t>
      </w:r>
      <w:r>
        <w:rPr>
          <w:rFonts w:ascii="Times" w:hAnsi="Times" w:cs="Arial"/>
        </w:rPr>
        <w:t>, enter ISCN diagnosis for array result and FISH result, make sure all annotation for the gains and losses are complete and accurate, and click on save report.</w:t>
      </w:r>
    </w:p>
    <w:p w:rsidR="005059A3" w:rsidRDefault="005059A3" w:rsidP="00AD7E81">
      <w:pPr>
        <w:rPr>
          <w:sz w:val="28"/>
          <w:szCs w:val="28"/>
        </w:rPr>
      </w:pPr>
    </w:p>
    <w:p w:rsidR="005059A3" w:rsidRPr="00AD7E81" w:rsidRDefault="005059A3" w:rsidP="00AD7E81">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5059A3" w:rsidRDefault="005059A3" w:rsidP="00AD7E81">
      <w:pPr>
        <w:numPr>
          <w:ilvl w:val="0"/>
          <w:numId w:val="10"/>
        </w:numPr>
        <w:tabs>
          <w:tab w:val="clear" w:pos="2880"/>
          <w:tab w:val="num" w:pos="0"/>
          <w:tab w:val="left" w:pos="360"/>
        </w:tabs>
        <w:ind w:left="0" w:hanging="540"/>
      </w:pPr>
      <w:r>
        <w:t xml:space="preserve">Shaffer LG, </w:t>
      </w:r>
      <w:proofErr w:type="spellStart"/>
      <w:r>
        <w:t>Beaudet</w:t>
      </w:r>
      <w:proofErr w:type="spellEnd"/>
      <w:r>
        <w:t xml:space="preserve"> AL, </w:t>
      </w:r>
      <w:proofErr w:type="spellStart"/>
      <w:r>
        <w:t>Brothman</w:t>
      </w:r>
      <w:proofErr w:type="spellEnd"/>
      <w:r>
        <w:t xml:space="preserve"> AR, Hirsch B, Levy B, Martin CL, </w:t>
      </w:r>
      <w:proofErr w:type="spellStart"/>
      <w:r>
        <w:t>Mascarello</w:t>
      </w:r>
      <w:proofErr w:type="spellEnd"/>
      <w:r>
        <w:t xml:space="preserve"> JT, </w:t>
      </w:r>
      <w:proofErr w:type="spellStart"/>
      <w:r>
        <w:t>Rao</w:t>
      </w:r>
      <w:proofErr w:type="spellEnd"/>
      <w:r>
        <w:t xml:space="preserve"> KW; Working Group of the Laboratory Quality Assurance Committee of the American College of Medical Genetics. 2007. Microarray analysis for constitutional cytogenetic abnormalities. Genet Med. 9(9):654-62. </w:t>
      </w:r>
    </w:p>
    <w:p w:rsidR="005059A3" w:rsidRDefault="00280344" w:rsidP="00AD7E81">
      <w:pPr>
        <w:numPr>
          <w:ilvl w:val="0"/>
          <w:numId w:val="10"/>
        </w:numPr>
        <w:tabs>
          <w:tab w:val="clear" w:pos="2880"/>
          <w:tab w:val="num" w:pos="0"/>
          <w:tab w:val="left" w:pos="360"/>
        </w:tabs>
        <w:ind w:left="0" w:hanging="540"/>
      </w:pPr>
      <w:hyperlink r:id="rId9" w:history="1">
        <w:r w:rsidR="005059A3">
          <w:rPr>
            <w:rStyle w:val="Hyperlink"/>
          </w:rPr>
          <w:t>https://www.genoglyphix.com</w:t>
        </w:r>
      </w:hyperlink>
      <w:r w:rsidR="005059A3">
        <w:t xml:space="preserve"> </w:t>
      </w:r>
    </w:p>
    <w:p w:rsidR="005059A3" w:rsidRDefault="00280344" w:rsidP="00AD7E81">
      <w:pPr>
        <w:numPr>
          <w:ilvl w:val="0"/>
          <w:numId w:val="10"/>
        </w:numPr>
        <w:tabs>
          <w:tab w:val="clear" w:pos="2880"/>
          <w:tab w:val="num" w:pos="0"/>
          <w:tab w:val="left" w:pos="360"/>
        </w:tabs>
        <w:ind w:left="0" w:hanging="540"/>
      </w:pPr>
      <w:hyperlink r:id="rId10" w:history="1">
        <w:r w:rsidR="005059A3">
          <w:rPr>
            <w:rStyle w:val="Hyperlink"/>
          </w:rPr>
          <w:t>http://www.signaturegenomics.com</w:t>
        </w:r>
      </w:hyperlink>
    </w:p>
    <w:p w:rsidR="005059A3" w:rsidRDefault="005059A3" w:rsidP="00263643">
      <w:pPr>
        <w:ind w:left="-540"/>
        <w:rPr>
          <w:sz w:val="28"/>
          <w:szCs w:val="28"/>
        </w:rPr>
      </w:pPr>
    </w:p>
    <w:p w:rsidR="005059A3" w:rsidRDefault="005059A3" w:rsidP="00263643">
      <w:pPr>
        <w:ind w:left="-540"/>
        <w:rPr>
          <w:sz w:val="28"/>
          <w:szCs w:val="28"/>
        </w:rPr>
      </w:pPr>
    </w:p>
    <w:p w:rsidR="005059A3" w:rsidRDefault="005059A3" w:rsidP="000621D1">
      <w:pPr>
        <w:ind w:left="-540"/>
      </w:pPr>
      <w:r w:rsidRPr="007A464A">
        <w:t>Written By:</w:t>
      </w:r>
      <w:r w:rsidRPr="007A464A">
        <w:tab/>
      </w:r>
      <w:r w:rsidRPr="007A464A">
        <w:tab/>
      </w:r>
      <w:r w:rsidRPr="007A464A">
        <w:tab/>
      </w:r>
      <w:r w:rsidRPr="007A464A">
        <w:tab/>
      </w:r>
      <w:r w:rsidRPr="007A464A">
        <w:tab/>
        <w:t>Director Approval:</w:t>
      </w:r>
    </w:p>
    <w:p w:rsidR="005059A3" w:rsidRPr="008A212E" w:rsidRDefault="005059A3" w:rsidP="000621D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5059A3" w:rsidRPr="007A464A" w:rsidRDefault="005059A3" w:rsidP="000621D1">
      <w:pPr>
        <w:ind w:left="-540"/>
      </w:pPr>
    </w:p>
    <w:p w:rsidR="005059A3" w:rsidRDefault="005059A3" w:rsidP="000621D1">
      <w:pPr>
        <w:ind w:left="-540"/>
      </w:pPr>
    </w:p>
    <w:p w:rsidR="005059A3" w:rsidRDefault="005059A3" w:rsidP="000621D1">
      <w:pPr>
        <w:ind w:left="-540"/>
      </w:pPr>
    </w:p>
    <w:p w:rsidR="005059A3" w:rsidRDefault="005059A3" w:rsidP="000621D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5059A3" w:rsidRDefault="005059A3" w:rsidP="000621D1">
      <w:pPr>
        <w:ind w:left="-540"/>
      </w:pPr>
      <w:r>
        <w:t xml:space="preserve"> </w:t>
      </w:r>
      <w:r>
        <w:tab/>
      </w:r>
    </w:p>
    <w:p w:rsidR="005059A3" w:rsidRDefault="005059A3" w:rsidP="00263643">
      <w:pPr>
        <w:ind w:left="-540"/>
        <w:rPr>
          <w:sz w:val="28"/>
          <w:szCs w:val="28"/>
        </w:rPr>
      </w:pPr>
    </w:p>
    <w:p w:rsidR="005059A3" w:rsidRDefault="005059A3" w:rsidP="00263643">
      <w:pPr>
        <w:ind w:left="-540"/>
        <w:rPr>
          <w:sz w:val="28"/>
          <w:szCs w:val="28"/>
        </w:rPr>
      </w:pPr>
    </w:p>
    <w:p w:rsidR="005059A3" w:rsidRPr="00330398" w:rsidRDefault="005059A3" w:rsidP="00AD7E81">
      <w:pPr>
        <w:jc w:val="center"/>
        <w:rPr>
          <w:b/>
          <w:sz w:val="44"/>
          <w:szCs w:val="44"/>
          <w:u w:val="single"/>
        </w:rPr>
      </w:pPr>
      <w:r>
        <w:rPr>
          <w:b/>
          <w:sz w:val="44"/>
          <w:szCs w:val="44"/>
          <w:u w:val="single"/>
        </w:rPr>
        <w:br w:type="page"/>
      </w:r>
      <w:r w:rsidRPr="00330398">
        <w:rPr>
          <w:b/>
          <w:sz w:val="44"/>
          <w:szCs w:val="44"/>
          <w:u w:val="single"/>
        </w:rPr>
        <w:lastRenderedPageBreak/>
        <w:t>UW Medicine - Pathology</w:t>
      </w:r>
    </w:p>
    <w:p w:rsidR="005059A3" w:rsidRDefault="005059A3" w:rsidP="005A3A44">
      <w:pPr>
        <w:ind w:right="-1260"/>
        <w:rPr>
          <w:b/>
          <w:noProof/>
        </w:rPr>
      </w:pPr>
    </w:p>
    <w:p w:rsidR="005059A3" w:rsidRDefault="005059A3" w:rsidP="005A3A44">
      <w:pPr>
        <w:ind w:right="-1260"/>
        <w:rPr>
          <w:b/>
          <w:noProof/>
        </w:rPr>
      </w:pPr>
      <w:r>
        <w:rPr>
          <w:b/>
          <w:noProof/>
        </w:rPr>
        <w:t xml:space="preserve"> Cytogenetics - UWMC</w:t>
      </w:r>
    </w:p>
    <w:p w:rsidR="005059A3" w:rsidRPr="00BF6474" w:rsidRDefault="005059A3" w:rsidP="005A3A44">
      <w:pPr>
        <w:ind w:right="-1260"/>
        <w:rPr>
          <w:b/>
          <w:noProof/>
        </w:rPr>
      </w:pPr>
      <w:r>
        <w:rPr>
          <w:b/>
          <w:noProof/>
        </w:rPr>
        <w:t>SIGNATURE PAGE FOR POLICIES AND PROCEDURES</w:t>
      </w:r>
    </w:p>
    <w:p w:rsidR="005059A3" w:rsidRDefault="005059A3" w:rsidP="005A3A44">
      <w:pPr>
        <w:ind w:right="-1260"/>
        <w:rPr>
          <w:noProof/>
        </w:rPr>
      </w:pPr>
    </w:p>
    <w:p w:rsidR="005059A3" w:rsidRDefault="005059A3" w:rsidP="005A3A44">
      <w:pPr>
        <w:ind w:right="-900"/>
        <w:rPr>
          <w:noProof/>
        </w:rPr>
      </w:pPr>
      <w:r>
        <w:rPr>
          <w:noProof/>
        </w:rPr>
        <w:t xml:space="preserve">Procedure / Policy Title: </w:t>
      </w:r>
      <w:r>
        <w:rPr>
          <w:noProof/>
        </w:rPr>
        <w:tab/>
        <w:t>Array Data Analysis Procedure</w:t>
      </w:r>
    </w:p>
    <w:p w:rsidR="005059A3" w:rsidRDefault="005059A3" w:rsidP="005A3A44">
      <w:pPr>
        <w:ind w:right="-900"/>
        <w:rPr>
          <w:noProof/>
        </w:rPr>
      </w:pPr>
      <w:r>
        <w:rPr>
          <w:noProof/>
        </w:rPr>
        <w:t xml:space="preserve">Procedure / Policy Number: </w:t>
      </w:r>
      <w:r>
        <w:rPr>
          <w:noProof/>
        </w:rPr>
        <w:tab/>
        <w:t>400-11-01-02</w:t>
      </w:r>
    </w:p>
    <w:p w:rsidR="005059A3" w:rsidRDefault="005059A3" w:rsidP="005A3A44">
      <w:pPr>
        <w:ind w:right="-900"/>
        <w:rPr>
          <w:noProof/>
        </w:rPr>
      </w:pPr>
    </w:p>
    <w:p w:rsidR="005059A3" w:rsidRDefault="005059A3" w:rsidP="005A3A44">
      <w:pPr>
        <w:tabs>
          <w:tab w:val="left" w:pos="2340"/>
        </w:tabs>
        <w:ind w:right="-90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36"/>
        <w:gridCol w:w="2304"/>
      </w:tblGrid>
      <w:tr w:rsidR="00280344" w:rsidRPr="00710A40" w:rsidTr="0066146E">
        <w:tc>
          <w:tcPr>
            <w:tcW w:w="2700" w:type="dxa"/>
            <w:shd w:val="clear" w:color="auto" w:fill="auto"/>
          </w:tcPr>
          <w:p w:rsidR="00280344" w:rsidRPr="00C25B42" w:rsidRDefault="00280344" w:rsidP="0066146E">
            <w:pPr>
              <w:ind w:right="-900"/>
            </w:pPr>
            <w:r w:rsidRPr="00710A40">
              <w:rPr>
                <w:b/>
              </w:rPr>
              <w:t>STAFF NAME</w:t>
            </w:r>
            <w:r>
              <w:t>: (printed)</w:t>
            </w:r>
          </w:p>
        </w:tc>
        <w:tc>
          <w:tcPr>
            <w:tcW w:w="3636" w:type="dxa"/>
            <w:shd w:val="clear" w:color="auto" w:fill="auto"/>
          </w:tcPr>
          <w:p w:rsidR="00280344" w:rsidRPr="00710A40" w:rsidRDefault="00280344" w:rsidP="0066146E">
            <w:pPr>
              <w:ind w:right="-900"/>
              <w:rPr>
                <w:b/>
              </w:rPr>
            </w:pPr>
            <w:r w:rsidRPr="00710A40">
              <w:rPr>
                <w:b/>
              </w:rPr>
              <w:t>STAFF SIGNATURE</w:t>
            </w:r>
          </w:p>
        </w:tc>
        <w:tc>
          <w:tcPr>
            <w:tcW w:w="2304" w:type="dxa"/>
            <w:shd w:val="clear" w:color="auto" w:fill="auto"/>
          </w:tcPr>
          <w:p w:rsidR="00280344" w:rsidRPr="00710A40" w:rsidRDefault="00280344" w:rsidP="0066146E">
            <w:pPr>
              <w:ind w:right="-900"/>
              <w:rPr>
                <w:b/>
              </w:rPr>
            </w:pPr>
            <w:r w:rsidRPr="00710A40">
              <w:rPr>
                <w:b/>
              </w:rPr>
              <w:t>DATE REVIEWED</w:t>
            </w:r>
          </w:p>
        </w:tc>
      </w:tr>
      <w:tr w:rsidR="00280344" w:rsidRPr="00710A40" w:rsidTr="0066146E">
        <w:trPr>
          <w:trHeight w:val="495"/>
        </w:trPr>
        <w:tc>
          <w:tcPr>
            <w:tcW w:w="2700" w:type="dxa"/>
            <w:shd w:val="clear" w:color="auto" w:fill="auto"/>
          </w:tcPr>
          <w:p w:rsidR="00280344" w:rsidRPr="000A33C7" w:rsidRDefault="00280344" w:rsidP="0066146E">
            <w:pPr>
              <w:ind w:right="-900"/>
            </w:pPr>
            <w:r w:rsidRPr="000A33C7">
              <w:rPr>
                <w:sz w:val="22"/>
              </w:rPr>
              <w:t xml:space="preserve">Chen, </w:t>
            </w:r>
            <w:proofErr w:type="spellStart"/>
            <w:r w:rsidRPr="000A33C7">
              <w:rPr>
                <w:sz w:val="22"/>
              </w:rPr>
              <w:t>Xiaoqin</w:t>
            </w:r>
            <w:proofErr w:type="spellEnd"/>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sidRPr="000A33C7">
              <w:rPr>
                <w:sz w:val="22"/>
              </w:rPr>
              <w:t>Darrin, Delores</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proofErr w:type="spellStart"/>
            <w:r w:rsidRPr="000A33C7">
              <w:rPr>
                <w:sz w:val="22"/>
              </w:rPr>
              <w:t>DeHoogh</w:t>
            </w:r>
            <w:proofErr w:type="spellEnd"/>
            <w:r w:rsidRPr="000A33C7">
              <w:rPr>
                <w:sz w:val="22"/>
              </w:rPr>
              <w:t>-Grigsby, Debi</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sidRPr="000A33C7">
              <w:rPr>
                <w:sz w:val="22"/>
              </w:rPr>
              <w:t>Donovan, Chris</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sidRPr="000A33C7">
              <w:rPr>
                <w:sz w:val="22"/>
              </w:rPr>
              <w:t>Kraus, Jean</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Pr>
                <w:sz w:val="22"/>
              </w:rPr>
              <w:t xml:space="preserve">Liu, </w:t>
            </w:r>
            <w:proofErr w:type="spellStart"/>
            <w:r>
              <w:rPr>
                <w:sz w:val="22"/>
              </w:rPr>
              <w:t>Yuhua</w:t>
            </w:r>
            <w:proofErr w:type="spellEnd"/>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Pr>
                <w:sz w:val="22"/>
              </w:rPr>
              <w:t>McInnis, Donna</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proofErr w:type="spellStart"/>
            <w:r>
              <w:rPr>
                <w:sz w:val="22"/>
              </w:rPr>
              <w:t>Mohapatra</w:t>
            </w:r>
            <w:proofErr w:type="spellEnd"/>
            <w:r>
              <w:rPr>
                <w:sz w:val="22"/>
              </w:rPr>
              <w:t xml:space="preserve">, </w:t>
            </w:r>
            <w:proofErr w:type="spellStart"/>
            <w:r>
              <w:rPr>
                <w:sz w:val="22"/>
              </w:rPr>
              <w:t>Itu</w:t>
            </w:r>
            <w:proofErr w:type="spellEnd"/>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Pr>
                <w:sz w:val="22"/>
              </w:rPr>
              <w:t>Morgan, Catherine</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proofErr w:type="spellStart"/>
            <w:r>
              <w:rPr>
                <w:sz w:val="22"/>
              </w:rPr>
              <w:t>Pilger</w:t>
            </w:r>
            <w:proofErr w:type="spellEnd"/>
            <w:r>
              <w:rPr>
                <w:sz w:val="22"/>
              </w:rPr>
              <w:t>, Carrie</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Pr>
                <w:sz w:val="22"/>
              </w:rPr>
              <w:t xml:space="preserve">Staley, </w:t>
            </w:r>
            <w:proofErr w:type="spellStart"/>
            <w:r>
              <w:rPr>
                <w:sz w:val="22"/>
              </w:rPr>
              <w:t>Rong</w:t>
            </w:r>
            <w:proofErr w:type="spellEnd"/>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proofErr w:type="spellStart"/>
            <w:r>
              <w:rPr>
                <w:sz w:val="22"/>
              </w:rPr>
              <w:t>Stampalia</w:t>
            </w:r>
            <w:proofErr w:type="spellEnd"/>
            <w:r>
              <w:rPr>
                <w:sz w:val="22"/>
              </w:rPr>
              <w:t>, Ann</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Default="00280344" w:rsidP="0066146E">
            <w:pPr>
              <w:ind w:right="-900"/>
            </w:pPr>
            <w:r>
              <w:rPr>
                <w:sz w:val="22"/>
              </w:rPr>
              <w:t>Villiers, Catherine</w:t>
            </w:r>
          </w:p>
          <w:p w:rsidR="00280344" w:rsidRPr="000A33C7" w:rsidRDefault="00280344" w:rsidP="0066146E">
            <w:pPr>
              <w:ind w:right="-900"/>
            </w:pP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Pr>
                <w:sz w:val="22"/>
              </w:rPr>
              <w:t>Vogel, Jared</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Pr>
                <w:sz w:val="22"/>
              </w:rPr>
              <w:t>Wang, Sharon</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proofErr w:type="spellStart"/>
            <w:r>
              <w:rPr>
                <w:sz w:val="22"/>
              </w:rPr>
              <w:t>Waychoff</w:t>
            </w:r>
            <w:proofErr w:type="spellEnd"/>
            <w:r>
              <w:rPr>
                <w:sz w:val="22"/>
              </w:rPr>
              <w:t>, Emma</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Pr="000A33C7" w:rsidRDefault="00280344" w:rsidP="0066146E">
            <w:pPr>
              <w:ind w:right="-900"/>
            </w:pPr>
            <w:r>
              <w:rPr>
                <w:sz w:val="22"/>
              </w:rPr>
              <w:t>Whalen, Sara</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r w:rsidR="00280344" w:rsidRPr="00710A40" w:rsidTr="0066146E">
        <w:trPr>
          <w:trHeight w:val="495"/>
        </w:trPr>
        <w:tc>
          <w:tcPr>
            <w:tcW w:w="2700" w:type="dxa"/>
            <w:shd w:val="clear" w:color="auto" w:fill="auto"/>
          </w:tcPr>
          <w:p w:rsidR="00280344" w:rsidRDefault="00280344" w:rsidP="0066146E">
            <w:pPr>
              <w:ind w:right="-900"/>
            </w:pPr>
            <w:r>
              <w:t>Zhou, Yang</w:t>
            </w:r>
          </w:p>
        </w:tc>
        <w:tc>
          <w:tcPr>
            <w:tcW w:w="3636" w:type="dxa"/>
            <w:shd w:val="clear" w:color="auto" w:fill="auto"/>
          </w:tcPr>
          <w:p w:rsidR="00280344" w:rsidRPr="00C25B42" w:rsidRDefault="00280344" w:rsidP="0066146E">
            <w:pPr>
              <w:ind w:right="-900"/>
            </w:pPr>
          </w:p>
        </w:tc>
        <w:tc>
          <w:tcPr>
            <w:tcW w:w="2304" w:type="dxa"/>
            <w:shd w:val="clear" w:color="auto" w:fill="auto"/>
          </w:tcPr>
          <w:p w:rsidR="00280344" w:rsidRPr="00C25B42" w:rsidRDefault="00280344" w:rsidP="0066146E">
            <w:pPr>
              <w:ind w:right="-900"/>
            </w:pPr>
          </w:p>
        </w:tc>
      </w:tr>
    </w:tbl>
    <w:p w:rsidR="005059A3" w:rsidRPr="00263643" w:rsidRDefault="005059A3" w:rsidP="00263643">
      <w:pPr>
        <w:ind w:left="-540"/>
        <w:rPr>
          <w:sz w:val="28"/>
          <w:szCs w:val="28"/>
        </w:rPr>
      </w:pPr>
      <w:bookmarkStart w:id="0" w:name="_GoBack"/>
      <w:bookmarkEnd w:id="0"/>
    </w:p>
    <w:sectPr w:rsidR="005059A3" w:rsidRPr="00263643" w:rsidSect="005A3A44">
      <w:footerReference w:type="default" r:id="rId11"/>
      <w:pgSz w:w="12240" w:h="15840" w:code="1"/>
      <w:pgMar w:top="100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A3" w:rsidRDefault="005059A3">
      <w:r>
        <w:separator/>
      </w:r>
    </w:p>
  </w:endnote>
  <w:endnote w:type="continuationSeparator" w:id="0">
    <w:p w:rsidR="005059A3" w:rsidRDefault="0050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A3" w:rsidRDefault="005059A3" w:rsidP="002D312F">
    <w:pPr>
      <w:pStyle w:val="Footer"/>
      <w:ind w:left="-540"/>
      <w:rPr>
        <w:color w:val="999999"/>
        <w:sz w:val="20"/>
        <w:szCs w:val="20"/>
      </w:rPr>
    </w:pPr>
    <w:r>
      <w:rPr>
        <w:color w:val="999999"/>
        <w:sz w:val="20"/>
        <w:szCs w:val="20"/>
      </w:rPr>
      <w:t>Array Data Analysis Procedure</w:t>
    </w:r>
  </w:p>
  <w:p w:rsidR="005059A3" w:rsidRPr="002D312F" w:rsidRDefault="005059A3" w:rsidP="002D312F">
    <w:pPr>
      <w:pStyle w:val="Footer"/>
      <w:ind w:left="-540"/>
      <w:rPr>
        <w:color w:val="999999"/>
        <w:sz w:val="20"/>
        <w:szCs w:val="20"/>
      </w:rPr>
    </w:pPr>
    <w:r>
      <w:rPr>
        <w:color w:val="999999"/>
        <w:sz w:val="20"/>
        <w:szCs w:val="20"/>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A3" w:rsidRDefault="005059A3">
      <w:r>
        <w:separator/>
      </w:r>
    </w:p>
  </w:footnote>
  <w:footnote w:type="continuationSeparator" w:id="0">
    <w:p w:rsidR="005059A3" w:rsidRDefault="00505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BA1"/>
    <w:multiLevelType w:val="multilevel"/>
    <w:tmpl w:val="EEC23E1A"/>
    <w:lvl w:ilvl="0">
      <w:start w:val="2"/>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4C27841"/>
    <w:multiLevelType w:val="hybridMultilevel"/>
    <w:tmpl w:val="42320616"/>
    <w:lvl w:ilvl="0" w:tplc="45202A0E">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836DAA"/>
    <w:multiLevelType w:val="hybridMultilevel"/>
    <w:tmpl w:val="179AE28E"/>
    <w:lvl w:ilvl="0" w:tplc="0B1A5126">
      <w:start w:val="1"/>
      <w:numFmt w:val="upperRoman"/>
      <w:lvlText w:val="%1."/>
      <w:lvlJc w:val="left"/>
      <w:pPr>
        <w:tabs>
          <w:tab w:val="num" w:pos="1440"/>
        </w:tabs>
        <w:ind w:left="1440" w:hanging="360"/>
      </w:pPr>
      <w:rPr>
        <w:rFonts w:cs="Times New Roman" w:hint="default"/>
        <w:b/>
        <w:i w:val="0"/>
      </w:rPr>
    </w:lvl>
    <w:lvl w:ilvl="1" w:tplc="0CA2DD06">
      <w:start w:val="1"/>
      <w:numFmt w:val="upperLetter"/>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10C0E85"/>
    <w:multiLevelType w:val="multilevel"/>
    <w:tmpl w:val="5F383C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BBF07DD"/>
    <w:multiLevelType w:val="multilevel"/>
    <w:tmpl w:val="5F383C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437A532F"/>
    <w:multiLevelType w:val="multilevel"/>
    <w:tmpl w:val="5F383C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4746853"/>
    <w:multiLevelType w:val="hybridMultilevel"/>
    <w:tmpl w:val="DAEC0B9E"/>
    <w:lvl w:ilvl="0" w:tplc="D3B4527E">
      <w:start w:val="2"/>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3DC8684">
      <w:start w:val="1"/>
      <w:numFmt w:val="upperLetter"/>
      <w:lvlText w:val="%3."/>
      <w:lvlJc w:val="left"/>
      <w:pPr>
        <w:tabs>
          <w:tab w:val="num" w:pos="2340"/>
        </w:tabs>
        <w:ind w:left="2340" w:hanging="360"/>
      </w:pPr>
      <w:rPr>
        <w:rFonts w:cs="Times New Roman" w:hint="default"/>
      </w:rPr>
    </w:lvl>
    <w:lvl w:ilvl="3" w:tplc="45202A0E">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5223C69"/>
    <w:multiLevelType w:val="multilevel"/>
    <w:tmpl w:val="5F383C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5FDD7C2F"/>
    <w:multiLevelType w:val="hybridMultilevel"/>
    <w:tmpl w:val="4B381E88"/>
    <w:lvl w:ilvl="0" w:tplc="0409000F">
      <w:start w:val="1"/>
      <w:numFmt w:val="decimal"/>
      <w:lvlText w:val="%1."/>
      <w:lvlJc w:val="left"/>
      <w:pPr>
        <w:tabs>
          <w:tab w:val="num" w:pos="720"/>
        </w:tabs>
        <w:ind w:left="720" w:hanging="360"/>
      </w:pPr>
      <w:rPr>
        <w:rFonts w:cs="Times New Roman"/>
      </w:rPr>
    </w:lvl>
    <w:lvl w:ilvl="1" w:tplc="D3B4527E">
      <w:start w:val="2"/>
      <w:numFmt w:val="upperLetter"/>
      <w:lvlText w:val="%2."/>
      <w:lvlJc w:val="left"/>
      <w:pPr>
        <w:tabs>
          <w:tab w:val="num" w:pos="1440"/>
        </w:tabs>
        <w:ind w:left="1440" w:hanging="360"/>
      </w:pPr>
      <w:rPr>
        <w:rFonts w:cs="Times New Roman" w:hint="default"/>
      </w:rPr>
    </w:lvl>
    <w:lvl w:ilvl="2" w:tplc="D3865D2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77A4A60"/>
    <w:multiLevelType w:val="multilevel"/>
    <w:tmpl w:val="B0E025C4"/>
    <w:lvl w:ilvl="0">
      <w:start w:val="1"/>
      <w:numFmt w:val="upperRoman"/>
      <w:lvlText w:val="%1."/>
      <w:lvlJc w:val="left"/>
      <w:pPr>
        <w:tabs>
          <w:tab w:val="num" w:pos="1440"/>
        </w:tabs>
        <w:ind w:left="1440" w:hanging="360"/>
      </w:pPr>
      <w:rPr>
        <w:rFonts w:cs="Times New Roman" w:hint="default"/>
        <w:b/>
        <w:i w:val="0"/>
      </w:rPr>
    </w:lvl>
    <w:lvl w:ilvl="1">
      <w:start w:val="9"/>
      <w:numFmt w:val="upperLetter"/>
      <w:lvlText w:val="%2."/>
      <w:lvlJc w:val="left"/>
      <w:pPr>
        <w:tabs>
          <w:tab w:val="num" w:pos="1440"/>
        </w:tabs>
        <w:ind w:left="1440" w:hanging="360"/>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4"/>
  </w:num>
  <w:num w:numId="4">
    <w:abstractNumId w:val="2"/>
  </w:num>
  <w:num w:numId="5">
    <w:abstractNumId w:val="9"/>
  </w:num>
  <w:num w:numId="6">
    <w:abstractNumId w:val="5"/>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53748"/>
    <w:rsid w:val="000558B2"/>
    <w:rsid w:val="000621D1"/>
    <w:rsid w:val="00067F59"/>
    <w:rsid w:val="000841BE"/>
    <w:rsid w:val="000845E7"/>
    <w:rsid w:val="000853FE"/>
    <w:rsid w:val="00085479"/>
    <w:rsid w:val="00090179"/>
    <w:rsid w:val="0009161F"/>
    <w:rsid w:val="00096154"/>
    <w:rsid w:val="000A087A"/>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5EFE"/>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430B"/>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2DBA"/>
    <w:rsid w:val="001F3440"/>
    <w:rsid w:val="001F4B56"/>
    <w:rsid w:val="001F5AC1"/>
    <w:rsid w:val="001F5C07"/>
    <w:rsid w:val="001F70E9"/>
    <w:rsid w:val="001F7310"/>
    <w:rsid w:val="00200BCC"/>
    <w:rsid w:val="002073B3"/>
    <w:rsid w:val="0021098A"/>
    <w:rsid w:val="00211524"/>
    <w:rsid w:val="00211727"/>
    <w:rsid w:val="00216A1A"/>
    <w:rsid w:val="00217437"/>
    <w:rsid w:val="00217634"/>
    <w:rsid w:val="002229DE"/>
    <w:rsid w:val="0022317A"/>
    <w:rsid w:val="00224CA9"/>
    <w:rsid w:val="002262A6"/>
    <w:rsid w:val="00226C9B"/>
    <w:rsid w:val="00234399"/>
    <w:rsid w:val="00251FDC"/>
    <w:rsid w:val="00252405"/>
    <w:rsid w:val="00253B26"/>
    <w:rsid w:val="00257B8D"/>
    <w:rsid w:val="00263643"/>
    <w:rsid w:val="00264FB7"/>
    <w:rsid w:val="00270798"/>
    <w:rsid w:val="002724F8"/>
    <w:rsid w:val="00272871"/>
    <w:rsid w:val="00276143"/>
    <w:rsid w:val="00277421"/>
    <w:rsid w:val="00280074"/>
    <w:rsid w:val="0028034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312F"/>
    <w:rsid w:val="002D668F"/>
    <w:rsid w:val="002D78CB"/>
    <w:rsid w:val="002E57E6"/>
    <w:rsid w:val="002E6EED"/>
    <w:rsid w:val="002E7EFA"/>
    <w:rsid w:val="002F32B2"/>
    <w:rsid w:val="002F3B32"/>
    <w:rsid w:val="002F52B3"/>
    <w:rsid w:val="00302E85"/>
    <w:rsid w:val="00307129"/>
    <w:rsid w:val="0030789F"/>
    <w:rsid w:val="003109AA"/>
    <w:rsid w:val="0031226C"/>
    <w:rsid w:val="0032144C"/>
    <w:rsid w:val="00324653"/>
    <w:rsid w:val="00330398"/>
    <w:rsid w:val="00331382"/>
    <w:rsid w:val="00332391"/>
    <w:rsid w:val="00332FCE"/>
    <w:rsid w:val="00333126"/>
    <w:rsid w:val="0033335D"/>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59A3"/>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A3A44"/>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2AAF"/>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358C"/>
    <w:rsid w:val="007A464A"/>
    <w:rsid w:val="007B0554"/>
    <w:rsid w:val="007B11F6"/>
    <w:rsid w:val="007B284A"/>
    <w:rsid w:val="007B617C"/>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383F"/>
    <w:rsid w:val="00814163"/>
    <w:rsid w:val="008222AE"/>
    <w:rsid w:val="008239BB"/>
    <w:rsid w:val="00825243"/>
    <w:rsid w:val="008327C3"/>
    <w:rsid w:val="00833A42"/>
    <w:rsid w:val="008368EC"/>
    <w:rsid w:val="008445E1"/>
    <w:rsid w:val="00853310"/>
    <w:rsid w:val="0085425D"/>
    <w:rsid w:val="00861269"/>
    <w:rsid w:val="0086774E"/>
    <w:rsid w:val="0086785E"/>
    <w:rsid w:val="00867EA9"/>
    <w:rsid w:val="00871DC2"/>
    <w:rsid w:val="00875482"/>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07B26"/>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59D8"/>
    <w:rsid w:val="00AD5CB8"/>
    <w:rsid w:val="00AD661F"/>
    <w:rsid w:val="00AD7E81"/>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67287"/>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35F4"/>
    <w:rsid w:val="00BC44B3"/>
    <w:rsid w:val="00BC558B"/>
    <w:rsid w:val="00BC6C3B"/>
    <w:rsid w:val="00BD64F1"/>
    <w:rsid w:val="00BD6A89"/>
    <w:rsid w:val="00BE04BC"/>
    <w:rsid w:val="00BE04D7"/>
    <w:rsid w:val="00BE0AFC"/>
    <w:rsid w:val="00BE2A32"/>
    <w:rsid w:val="00BE34F2"/>
    <w:rsid w:val="00BE6E21"/>
    <w:rsid w:val="00BF1906"/>
    <w:rsid w:val="00BF540F"/>
    <w:rsid w:val="00BF6474"/>
    <w:rsid w:val="00C0123A"/>
    <w:rsid w:val="00C0358E"/>
    <w:rsid w:val="00C06A3A"/>
    <w:rsid w:val="00C06BF5"/>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5708"/>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59DD"/>
    <w:rsid w:val="00CE6FE5"/>
    <w:rsid w:val="00CE7E83"/>
    <w:rsid w:val="00CF1280"/>
    <w:rsid w:val="00CF33F7"/>
    <w:rsid w:val="00CF3678"/>
    <w:rsid w:val="00CF6B3C"/>
    <w:rsid w:val="00D11967"/>
    <w:rsid w:val="00D11CCC"/>
    <w:rsid w:val="00D14D26"/>
    <w:rsid w:val="00D2147E"/>
    <w:rsid w:val="00D30E20"/>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15BA"/>
    <w:rsid w:val="00D92172"/>
    <w:rsid w:val="00DA28BA"/>
    <w:rsid w:val="00DA30EF"/>
    <w:rsid w:val="00DA3976"/>
    <w:rsid w:val="00DA5EB2"/>
    <w:rsid w:val="00DA6FDD"/>
    <w:rsid w:val="00DB0117"/>
    <w:rsid w:val="00DC0510"/>
    <w:rsid w:val="00DC2434"/>
    <w:rsid w:val="00DC2A6C"/>
    <w:rsid w:val="00DC3336"/>
    <w:rsid w:val="00DC468B"/>
    <w:rsid w:val="00DD4135"/>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116C1"/>
    <w:rsid w:val="00F14B81"/>
    <w:rsid w:val="00F163F1"/>
    <w:rsid w:val="00F25747"/>
    <w:rsid w:val="00F3035A"/>
    <w:rsid w:val="00F360CE"/>
    <w:rsid w:val="00F37D8A"/>
    <w:rsid w:val="00F50A53"/>
    <w:rsid w:val="00F53397"/>
    <w:rsid w:val="00F54990"/>
    <w:rsid w:val="00F617A1"/>
    <w:rsid w:val="00F63E08"/>
    <w:rsid w:val="00F728DD"/>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2D312F"/>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D312F"/>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Address">
    <w:name w:val="Inside Address"/>
    <w:basedOn w:val="Normal"/>
    <w:uiPriority w:val="99"/>
    <w:rsid w:val="002D312F"/>
    <w:pPr>
      <w:ind w:left="432" w:hanging="432"/>
    </w:pPr>
    <w:rPr>
      <w:sz w:val="20"/>
      <w:szCs w:val="20"/>
    </w:rPr>
  </w:style>
  <w:style w:type="character" w:styleId="Hyperlink">
    <w:name w:val="Hyperlink"/>
    <w:basedOn w:val="DefaultParagraphFont"/>
    <w:uiPriority w:val="99"/>
    <w:rsid w:val="002D312F"/>
    <w:rPr>
      <w:rFonts w:cs="Times New Roman"/>
      <w:color w:val="0000FF"/>
      <w:u w:val="single"/>
    </w:rPr>
  </w:style>
  <w:style w:type="character" w:customStyle="1" w:styleId="A2">
    <w:name w:val="A2"/>
    <w:uiPriority w:val="99"/>
    <w:rsid w:val="002D312F"/>
    <w:rPr>
      <w:b/>
      <w:color w:val="0011E4"/>
      <w:sz w:val="20"/>
    </w:rPr>
  </w:style>
  <w:style w:type="character" w:customStyle="1" w:styleId="A0">
    <w:name w:val="A0"/>
    <w:uiPriority w:val="99"/>
    <w:rsid w:val="002D312F"/>
    <w:rPr>
      <w:color w:val="221E1F"/>
      <w:sz w:val="16"/>
    </w:rPr>
  </w:style>
  <w:style w:type="paragraph" w:customStyle="1" w:styleId="Pa2">
    <w:name w:val="Pa2"/>
    <w:basedOn w:val="Normal"/>
    <w:next w:val="Normal"/>
    <w:uiPriority w:val="99"/>
    <w:rsid w:val="002D312F"/>
    <w:pPr>
      <w:autoSpaceDE w:val="0"/>
      <w:autoSpaceDN w:val="0"/>
      <w:adjustRightInd w:val="0"/>
      <w:spacing w:line="241" w:lineRule="atLeast"/>
    </w:pPr>
    <w:rPr>
      <w:rFonts w:ascii="Arial" w:hAnsi="Arial"/>
    </w:rPr>
  </w:style>
  <w:style w:type="paragraph" w:customStyle="1" w:styleId="Pa3">
    <w:name w:val="Pa3"/>
    <w:basedOn w:val="Normal"/>
    <w:next w:val="Normal"/>
    <w:uiPriority w:val="99"/>
    <w:rsid w:val="002D312F"/>
    <w:pPr>
      <w:autoSpaceDE w:val="0"/>
      <w:autoSpaceDN w:val="0"/>
      <w:adjustRightInd w:val="0"/>
      <w:spacing w:line="241" w:lineRule="atLeast"/>
    </w:pPr>
    <w:rPr>
      <w:rFonts w:ascii="Arial" w:hAnsi="Arial"/>
    </w:rPr>
  </w:style>
  <w:style w:type="character" w:styleId="FollowedHyperlink">
    <w:name w:val="FollowedHyperlink"/>
    <w:basedOn w:val="DefaultParagraphFont"/>
    <w:uiPriority w:val="99"/>
    <w:rsid w:val="002D312F"/>
    <w:rPr>
      <w:rFonts w:cs="Times New Roman"/>
      <w:color w:val="800080"/>
      <w:u w:val="single"/>
    </w:rPr>
  </w:style>
  <w:style w:type="paragraph" w:styleId="Header">
    <w:name w:val="header"/>
    <w:basedOn w:val="Normal"/>
    <w:link w:val="HeaderChar"/>
    <w:uiPriority w:val="99"/>
    <w:rsid w:val="002D312F"/>
    <w:pPr>
      <w:tabs>
        <w:tab w:val="center" w:pos="4320"/>
        <w:tab w:val="right" w:pos="8640"/>
      </w:tabs>
    </w:pPr>
  </w:style>
  <w:style w:type="character" w:customStyle="1" w:styleId="HeaderChar">
    <w:name w:val="Header Char"/>
    <w:basedOn w:val="DefaultParagraphFont"/>
    <w:link w:val="Header"/>
    <w:uiPriority w:val="99"/>
    <w:semiHidden/>
    <w:rsid w:val="00A5145A"/>
    <w:rPr>
      <w:sz w:val="24"/>
      <w:szCs w:val="24"/>
    </w:rPr>
  </w:style>
  <w:style w:type="paragraph" w:styleId="Footer">
    <w:name w:val="footer"/>
    <w:basedOn w:val="Normal"/>
    <w:link w:val="FooterChar"/>
    <w:uiPriority w:val="99"/>
    <w:rsid w:val="002D312F"/>
    <w:pPr>
      <w:tabs>
        <w:tab w:val="center" w:pos="4320"/>
        <w:tab w:val="right" w:pos="8640"/>
      </w:tabs>
    </w:pPr>
  </w:style>
  <w:style w:type="character" w:customStyle="1" w:styleId="FooterChar">
    <w:name w:val="Footer Char"/>
    <w:basedOn w:val="DefaultParagraphFont"/>
    <w:link w:val="Footer"/>
    <w:uiPriority w:val="99"/>
    <w:semiHidden/>
    <w:rsid w:val="00A5145A"/>
    <w:rPr>
      <w:sz w:val="24"/>
      <w:szCs w:val="24"/>
    </w:rPr>
  </w:style>
  <w:style w:type="paragraph" w:styleId="BalloonText">
    <w:name w:val="Balloon Text"/>
    <w:basedOn w:val="Normal"/>
    <w:link w:val="BalloonTextChar"/>
    <w:uiPriority w:val="99"/>
    <w:semiHidden/>
    <w:unhideWhenUsed/>
    <w:rsid w:val="00280344"/>
    <w:rPr>
      <w:rFonts w:ascii="Tahoma" w:hAnsi="Tahoma" w:cs="Tahoma"/>
      <w:sz w:val="16"/>
      <w:szCs w:val="16"/>
    </w:rPr>
  </w:style>
  <w:style w:type="character" w:customStyle="1" w:styleId="BalloonTextChar">
    <w:name w:val="Balloon Text Char"/>
    <w:basedOn w:val="DefaultParagraphFont"/>
    <w:link w:val="BalloonText"/>
    <w:uiPriority w:val="99"/>
    <w:semiHidden/>
    <w:rsid w:val="00280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oglyphix.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gnaturegenomics.com" TargetMode="External"/><Relationship Id="rId4" Type="http://schemas.openxmlformats.org/officeDocument/2006/relationships/settings" Target="settings.xml"/><Relationship Id="rId9" Type="http://schemas.openxmlformats.org/officeDocument/2006/relationships/hyperlink" Target="https://www.genoglyph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F3ADD72D.dotm</Template>
  <TotalTime>9</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3</cp:revision>
  <cp:lastPrinted>2013-04-16T20:19:00Z</cp:lastPrinted>
  <dcterms:created xsi:type="dcterms:W3CDTF">2011-03-11T22:24:00Z</dcterms:created>
  <dcterms:modified xsi:type="dcterms:W3CDTF">2013-04-16T20:26:00Z</dcterms:modified>
</cp:coreProperties>
</file>