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80" w:rsidRPr="00C27950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C27950">
        <w:rPr>
          <w:rFonts w:ascii="Arial" w:hAnsi="Arial" w:cs="Arial"/>
          <w:b/>
          <w:sz w:val="22"/>
          <w:szCs w:val="22"/>
        </w:rPr>
        <w:t>Purpose:</w:t>
      </w:r>
    </w:p>
    <w:p w:rsidR="00C23780" w:rsidRPr="00C27950" w:rsidRDefault="00C23780" w:rsidP="003C0746">
      <w:pPr>
        <w:rPr>
          <w:rFonts w:ascii="Arial" w:hAnsi="Arial" w:cs="Arial"/>
          <w:sz w:val="22"/>
          <w:szCs w:val="22"/>
        </w:rPr>
      </w:pPr>
      <w:r w:rsidRPr="00C27950">
        <w:rPr>
          <w:rFonts w:ascii="Arial" w:hAnsi="Arial" w:cs="Arial"/>
          <w:sz w:val="22"/>
          <w:szCs w:val="22"/>
        </w:rPr>
        <w:t xml:space="preserve">To assure that the TANGO is </w:t>
      </w:r>
      <w:r w:rsidR="00C27950" w:rsidRPr="00C27950">
        <w:rPr>
          <w:rFonts w:ascii="Arial" w:hAnsi="Arial" w:cs="Arial"/>
          <w:sz w:val="22"/>
          <w:szCs w:val="22"/>
        </w:rPr>
        <w:t xml:space="preserve">started up and </w:t>
      </w:r>
      <w:r w:rsidRPr="00C27950">
        <w:rPr>
          <w:rFonts w:ascii="Arial" w:hAnsi="Arial" w:cs="Arial"/>
          <w:sz w:val="22"/>
          <w:szCs w:val="22"/>
        </w:rPr>
        <w:t>shut down according to the procedure outlined in the User’s Guide.</w:t>
      </w:r>
      <w:r w:rsidR="00C27950" w:rsidRPr="00C27950">
        <w:rPr>
          <w:rFonts w:ascii="Arial" w:hAnsi="Arial" w:cs="Arial"/>
          <w:sz w:val="22"/>
          <w:szCs w:val="22"/>
        </w:rPr>
        <w:t xml:space="preserve">  Shut down may be initiated by user for short period or an extended period.</w:t>
      </w:r>
      <w:r w:rsidR="00215271">
        <w:rPr>
          <w:rFonts w:ascii="Arial" w:hAnsi="Arial" w:cs="Arial"/>
          <w:sz w:val="22"/>
          <w:szCs w:val="22"/>
        </w:rPr>
        <w:t xml:space="preserve">  Following extended shut down periods, restart as described below must be performed.</w:t>
      </w:r>
    </w:p>
    <w:p w:rsidR="00C27950" w:rsidRPr="00C27950" w:rsidRDefault="00C27950" w:rsidP="003C0746">
      <w:pPr>
        <w:rPr>
          <w:rFonts w:ascii="Arial" w:hAnsi="Arial" w:cs="Arial"/>
          <w:sz w:val="22"/>
          <w:szCs w:val="22"/>
        </w:rPr>
      </w:pPr>
    </w:p>
    <w:p w:rsidR="00C27950" w:rsidRPr="00C27950" w:rsidRDefault="00C27950" w:rsidP="00C27950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 w:rsidRPr="00C27950">
        <w:rPr>
          <w:rFonts w:ascii="Arial" w:hAnsi="Arial" w:cs="Arial"/>
          <w:b/>
          <w:sz w:val="22"/>
          <w:szCs w:val="22"/>
        </w:rPr>
        <w:t>Limitations and Precautions:</w:t>
      </w:r>
    </w:p>
    <w:p w:rsidR="00C27950" w:rsidRPr="00215271" w:rsidRDefault="00C27950" w:rsidP="00C27950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C27950">
        <w:rPr>
          <w:rFonts w:ascii="Arial" w:hAnsi="Arial" w:cs="Arial"/>
          <w:sz w:val="22"/>
          <w:szCs w:val="22"/>
        </w:rPr>
        <w:t xml:space="preserve">If necessary to </w:t>
      </w:r>
      <w:r>
        <w:rPr>
          <w:rFonts w:ascii="Arial" w:hAnsi="Arial" w:cs="Arial"/>
          <w:sz w:val="22"/>
          <w:szCs w:val="22"/>
        </w:rPr>
        <w:t xml:space="preserve">interrupt </w:t>
      </w:r>
      <w:r w:rsidRPr="00C27950">
        <w:rPr>
          <w:rFonts w:ascii="Arial" w:hAnsi="Arial" w:cs="Arial"/>
          <w:sz w:val="22"/>
          <w:szCs w:val="22"/>
        </w:rPr>
        <w:t xml:space="preserve">a run, it should be for only a short time and for a good reason.  The </w:t>
      </w:r>
      <w:r w:rsidR="000458BB" w:rsidRPr="000458BB">
        <w:rPr>
          <w:rFonts w:ascii="Arial" w:hAnsi="Arial" w:cs="Arial"/>
          <w:sz w:val="22"/>
          <w:szCs w:val="22"/>
          <w:highlight w:val="yellow"/>
        </w:rPr>
        <w:t>PAUSE</w:t>
      </w:r>
      <w:r w:rsidRPr="00C27950">
        <w:rPr>
          <w:rFonts w:ascii="Arial" w:hAnsi="Arial" w:cs="Arial"/>
          <w:sz w:val="22"/>
          <w:szCs w:val="22"/>
        </w:rPr>
        <w:t xml:space="preserve"> disturbs the chronological sequence of sample processing</w:t>
      </w:r>
      <w:r w:rsidR="0085158C">
        <w:rPr>
          <w:rFonts w:ascii="Arial" w:hAnsi="Arial" w:cs="Arial"/>
          <w:sz w:val="22"/>
          <w:szCs w:val="22"/>
        </w:rPr>
        <w:t xml:space="preserve"> and</w:t>
      </w:r>
      <w:r w:rsidRPr="00C27950">
        <w:rPr>
          <w:rFonts w:ascii="Arial" w:hAnsi="Arial" w:cs="Arial"/>
          <w:sz w:val="22"/>
          <w:szCs w:val="22"/>
        </w:rPr>
        <w:t xml:space="preserve"> a long break could yi</w:t>
      </w:r>
      <w:r w:rsidR="0085158C">
        <w:rPr>
          <w:rFonts w:ascii="Arial" w:hAnsi="Arial" w:cs="Arial"/>
          <w:sz w:val="22"/>
          <w:szCs w:val="22"/>
        </w:rPr>
        <w:t xml:space="preserve">eld erroneous results.  Any </w:t>
      </w:r>
      <w:r w:rsidR="0085158C" w:rsidRPr="0085158C">
        <w:rPr>
          <w:rFonts w:ascii="Arial" w:hAnsi="Arial" w:cs="Arial"/>
          <w:sz w:val="22"/>
          <w:szCs w:val="22"/>
          <w:highlight w:val="yellow"/>
        </w:rPr>
        <w:t>pause</w:t>
      </w:r>
      <w:r w:rsidRPr="00C27950">
        <w:rPr>
          <w:rFonts w:ascii="Arial" w:hAnsi="Arial" w:cs="Arial"/>
          <w:sz w:val="22"/>
          <w:szCs w:val="22"/>
        </w:rPr>
        <w:t xml:space="preserve"> longer than one (1) minute may result in flagged results.</w:t>
      </w:r>
    </w:p>
    <w:p w:rsidR="00215271" w:rsidRPr="00C27950" w:rsidRDefault="00215271" w:rsidP="00C27950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215271">
        <w:rPr>
          <w:rFonts w:ascii="Arial" w:hAnsi="Arial" w:cs="Arial"/>
          <w:sz w:val="22"/>
          <w:szCs w:val="22"/>
        </w:rPr>
        <w:t xml:space="preserve">If the controls are not correct, </w:t>
      </w:r>
      <w:r>
        <w:rPr>
          <w:rFonts w:ascii="Arial" w:hAnsi="Arial" w:cs="Arial"/>
          <w:sz w:val="22"/>
          <w:szCs w:val="22"/>
        </w:rPr>
        <w:t xml:space="preserve">additional </w:t>
      </w:r>
      <w:r w:rsidRPr="00215271">
        <w:rPr>
          <w:rFonts w:ascii="Arial" w:hAnsi="Arial" w:cs="Arial"/>
          <w:sz w:val="22"/>
          <w:szCs w:val="22"/>
        </w:rPr>
        <w:t xml:space="preserve">rinsing with System </w:t>
      </w:r>
      <w:r>
        <w:rPr>
          <w:rFonts w:ascii="Arial" w:hAnsi="Arial" w:cs="Arial"/>
          <w:sz w:val="22"/>
          <w:szCs w:val="22"/>
        </w:rPr>
        <w:t>Liquid and Wash Solution may be required</w:t>
      </w:r>
      <w:r w:rsidRPr="00215271">
        <w:rPr>
          <w:rFonts w:ascii="Arial" w:hAnsi="Arial" w:cs="Arial"/>
          <w:sz w:val="22"/>
          <w:szCs w:val="22"/>
        </w:rPr>
        <w:t>.</w:t>
      </w:r>
    </w:p>
    <w:p w:rsidR="00C23780" w:rsidRDefault="00C23780" w:rsidP="003C0746">
      <w:pPr>
        <w:ind w:hanging="360"/>
        <w:rPr>
          <w:rFonts w:ascii="Arial" w:hAnsi="Arial" w:cs="Arial"/>
          <w:sz w:val="22"/>
          <w:szCs w:val="22"/>
        </w:rPr>
      </w:pPr>
    </w:p>
    <w:p w:rsidR="00C23780" w:rsidRPr="00C27950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C27950">
        <w:rPr>
          <w:rFonts w:ascii="Arial" w:hAnsi="Arial" w:cs="Arial"/>
          <w:b/>
          <w:sz w:val="22"/>
          <w:szCs w:val="22"/>
        </w:rPr>
        <w:t>Required Materials:</w:t>
      </w:r>
    </w:p>
    <w:p w:rsidR="00C23780" w:rsidRPr="00C27950" w:rsidRDefault="000458BB" w:rsidP="000458B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b/>
          <w:sz w:val="22"/>
          <w:szCs w:val="22"/>
        </w:rPr>
      </w:pPr>
      <w:r w:rsidRPr="000458BB">
        <w:rPr>
          <w:rFonts w:ascii="Arial" w:hAnsi="Arial" w:cs="Arial"/>
          <w:sz w:val="22"/>
          <w:szCs w:val="22"/>
          <w:highlight w:val="yellow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="00C23780" w:rsidRPr="00C27950">
        <w:rPr>
          <w:rFonts w:ascii="Arial" w:hAnsi="Arial" w:cs="Arial"/>
          <w:sz w:val="22"/>
          <w:szCs w:val="22"/>
        </w:rPr>
        <w:t>Water</w:t>
      </w:r>
    </w:p>
    <w:p w:rsidR="00C23780" w:rsidRPr="00C27950" w:rsidRDefault="006432A3" w:rsidP="000458B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C27950">
        <w:rPr>
          <w:rFonts w:ascii="Arial" w:hAnsi="Arial" w:cs="Arial"/>
          <w:sz w:val="22"/>
          <w:szCs w:val="22"/>
        </w:rPr>
        <w:t>Microcide SQ</w:t>
      </w:r>
    </w:p>
    <w:p w:rsidR="00C23780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</w:p>
    <w:p w:rsidR="00C23780" w:rsidRPr="00C27950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C27950">
        <w:rPr>
          <w:rFonts w:ascii="Arial" w:hAnsi="Arial" w:cs="Arial"/>
          <w:b/>
          <w:sz w:val="22"/>
          <w:szCs w:val="22"/>
        </w:rPr>
        <w:t>Procedure:</w:t>
      </w:r>
    </w:p>
    <w:p w:rsidR="00C23780" w:rsidRPr="00C27950" w:rsidRDefault="00C23780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18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7551"/>
        <w:gridCol w:w="8"/>
        <w:gridCol w:w="1646"/>
      </w:tblGrid>
      <w:tr w:rsidR="00C27950" w:rsidRPr="00C27950" w:rsidTr="003E4C78">
        <w:tc>
          <w:tcPr>
            <w:tcW w:w="363" w:type="pct"/>
            <w:vAlign w:val="center"/>
            <w:hideMark/>
          </w:tcPr>
          <w:p w:rsidR="00C27950" w:rsidRPr="00C27950" w:rsidRDefault="00C27950" w:rsidP="0085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950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 w:rsidP="0085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950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25" w:type="pct"/>
            <w:gridSpan w:val="2"/>
            <w:vAlign w:val="center"/>
            <w:hideMark/>
          </w:tcPr>
          <w:p w:rsidR="00C27950" w:rsidRPr="00C27950" w:rsidRDefault="00C27950" w:rsidP="0085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950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27950" w:rsidRPr="00C27950" w:rsidTr="000458BB">
        <w:trPr>
          <w:trHeight w:val="350"/>
        </w:trPr>
        <w:tc>
          <w:tcPr>
            <w:tcW w:w="4992" w:type="pct"/>
            <w:gridSpan w:val="4"/>
            <w:vAlign w:val="center"/>
          </w:tcPr>
          <w:p w:rsidR="00C27950" w:rsidRPr="00C27950" w:rsidRDefault="000458BB" w:rsidP="00045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Start Up</w:t>
            </w:r>
          </w:p>
        </w:tc>
      </w:tr>
      <w:tr w:rsidR="00C27950" w:rsidRPr="00C27950" w:rsidTr="003E4C78">
        <w:trPr>
          <w:trHeight w:val="350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Turn on the TANGO.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The main switch is found on the left side of the instrument, in front of the power cord.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rPr>
          <w:trHeight w:val="557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Once the instrument is powered on, the pipette arms will move to the front of the analyzer.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rPr>
          <w:trHeight w:val="890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Turn on the touch screen monitor.</w:t>
            </w:r>
          </w:p>
          <w:p w:rsidR="00C27950" w:rsidRPr="00C27950" w:rsidRDefault="00C27950" w:rsidP="00C279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The touch screen monitor must be on prior to turning on the PC so that the touch screen option is functional.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rPr>
          <w:trHeight w:val="710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Turn on the PC.</w:t>
            </w:r>
          </w:p>
          <w:p w:rsidR="00C27950" w:rsidRPr="00C27950" w:rsidRDefault="00C27950" w:rsidP="00C279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The TANGO software will start automatically.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rPr>
          <w:trHeight w:val="890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Login to the software.</w:t>
            </w:r>
          </w:p>
          <w:p w:rsidR="00C27950" w:rsidRPr="00C27950" w:rsidRDefault="00C27950" w:rsidP="00C2795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When the login screen appears, enter operator User ID and password.</w:t>
            </w:r>
          </w:p>
          <w:p w:rsidR="00C27950" w:rsidRPr="00C27950" w:rsidRDefault="00C27950" w:rsidP="00C2795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Select the OK button or press the Enter key.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rPr>
          <w:trHeight w:val="350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The TANGO will automatically go through the initialization process.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rPr>
          <w:trHeight w:val="350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Do not load plates, reagents or samples until initialization is complete.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rPr>
          <w:trHeight w:val="350"/>
        </w:trPr>
        <w:tc>
          <w:tcPr>
            <w:tcW w:w="363" w:type="pct"/>
            <w:vAlign w:val="center"/>
            <w:hideMark/>
          </w:tcPr>
          <w:p w:rsidR="00DC7A68" w:rsidRPr="000458BB" w:rsidRDefault="00DC7A68" w:rsidP="00045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950" w:rsidRPr="000458BB" w:rsidRDefault="00C27950" w:rsidP="00045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58B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04" w:type="pct"/>
            <w:vAlign w:val="center"/>
            <w:hideMark/>
          </w:tcPr>
          <w:p w:rsidR="00DC7A68" w:rsidRPr="000458BB" w:rsidRDefault="00DC7A68" w:rsidP="00045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950" w:rsidRPr="000458BB" w:rsidRDefault="00C27950" w:rsidP="00045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58BB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Action</w:t>
            </w:r>
          </w:p>
        </w:tc>
        <w:tc>
          <w:tcPr>
            <w:tcW w:w="825" w:type="pct"/>
            <w:gridSpan w:val="2"/>
          </w:tcPr>
          <w:p w:rsidR="00DC7A68" w:rsidRPr="000458BB" w:rsidRDefault="00DC7A68" w:rsidP="00045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950" w:rsidRPr="000458BB" w:rsidRDefault="00C27950" w:rsidP="00045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58BB">
              <w:rPr>
                <w:rFonts w:ascii="Arial" w:hAnsi="Arial" w:cs="Arial"/>
                <w:b/>
                <w:sz w:val="22"/>
                <w:szCs w:val="22"/>
              </w:rPr>
              <w:lastRenderedPageBreak/>
              <w:t>Related Documents</w:t>
            </w:r>
          </w:p>
        </w:tc>
      </w:tr>
      <w:tr w:rsidR="00C27950" w:rsidRPr="00C27950" w:rsidTr="000458BB">
        <w:trPr>
          <w:trHeight w:val="278"/>
        </w:trPr>
        <w:tc>
          <w:tcPr>
            <w:tcW w:w="4992" w:type="pct"/>
            <w:gridSpan w:val="4"/>
            <w:vAlign w:val="center"/>
          </w:tcPr>
          <w:p w:rsidR="00C27950" w:rsidRPr="00C27950" w:rsidRDefault="000458BB" w:rsidP="00045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Start Up </w:t>
            </w:r>
            <w:r w:rsidR="00C27950" w:rsidRPr="000458BB">
              <w:rPr>
                <w:rFonts w:ascii="Arial" w:hAnsi="Arial" w:cs="Arial"/>
                <w:b/>
                <w:sz w:val="22"/>
                <w:szCs w:val="20"/>
              </w:rPr>
              <w:t>(continued)</w:t>
            </w:r>
          </w:p>
        </w:tc>
      </w:tr>
      <w:tr w:rsidR="00C27950" w:rsidRPr="00C27950" w:rsidTr="003E4C78">
        <w:trPr>
          <w:trHeight w:val="1079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The warm-up/cool down operations will take several minutes.</w:t>
            </w:r>
          </w:p>
          <w:p w:rsidR="00C27950" w:rsidRPr="006741A7" w:rsidRDefault="00C27950" w:rsidP="006741A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The Status icons will flash red if the area is not within the specified temperature range or if the volume in the containers reaches the lower or upper limit.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If the automatic rinse function is activated, the rinsing will be performed immediately after the TANGO completes initialization.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rPr>
          <w:trHeight w:val="368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The automatic rinse function takes an additional 5 minutes.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rPr>
          <w:trHeight w:val="530"/>
        </w:trPr>
        <w:tc>
          <w:tcPr>
            <w:tcW w:w="363" w:type="pct"/>
            <w:vAlign w:val="center"/>
            <w:hideMark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804" w:type="pct"/>
            <w:vAlign w:val="center"/>
            <w:hideMark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When the TANGO system is ready for operation, ‘Ready’ appears in the analyzer status field and none of the status icons are flashing red.</w:t>
            </w:r>
          </w:p>
        </w:tc>
        <w:tc>
          <w:tcPr>
            <w:tcW w:w="825" w:type="pct"/>
            <w:gridSpan w:val="2"/>
          </w:tcPr>
          <w:p w:rsidR="00C27950" w:rsidRPr="00C27950" w:rsidRDefault="00C27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0458BB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vAlign w:val="center"/>
          </w:tcPr>
          <w:p w:rsidR="00C27950" w:rsidRPr="00600BE5" w:rsidRDefault="000458BB" w:rsidP="00045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>User Initiated</w:t>
            </w:r>
            <w:r w:rsidR="00C27950" w:rsidRPr="00DC7A68">
              <w:rPr>
                <w:rFonts w:ascii="Arial" w:hAnsi="Arial" w:cs="Arial"/>
                <w:b/>
                <w:sz w:val="22"/>
                <w:highlight w:val="yellow"/>
              </w:rPr>
              <w:t xml:space="preserve"> </w:t>
            </w:r>
            <w:r w:rsidR="00600BE5" w:rsidRPr="00600BE5">
              <w:rPr>
                <w:rFonts w:ascii="Arial" w:hAnsi="Arial" w:cs="Arial"/>
                <w:b/>
                <w:sz w:val="22"/>
                <w:highlight w:val="yellow"/>
              </w:rPr>
              <w:t>Pause</w:t>
            </w:r>
          </w:p>
        </w:tc>
      </w:tr>
      <w:tr w:rsidR="00C27950" w:rsidRPr="00C27950" w:rsidTr="003E4C78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363" w:type="pct"/>
            <w:vAlign w:val="center"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08" w:type="pct"/>
            <w:gridSpan w:val="2"/>
            <w:vAlign w:val="center"/>
          </w:tcPr>
          <w:p w:rsidR="00C27950" w:rsidRPr="00C27950" w:rsidRDefault="006741A7" w:rsidP="007F5D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 run can be</w:t>
            </w:r>
            <w:r w:rsidR="00C27950" w:rsidRPr="00600BE5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 xml:space="preserve"> </w:t>
            </w:r>
            <w:r w:rsidR="00600BE5" w:rsidRPr="00600BE5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interrupted</w:t>
            </w:r>
            <w:r w:rsidR="00600BE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C27950"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at any time by selecting the ‘Pause’ button.</w:t>
            </w:r>
          </w:p>
        </w:tc>
        <w:tc>
          <w:tcPr>
            <w:tcW w:w="829" w:type="pct"/>
          </w:tcPr>
          <w:p w:rsidR="00C27950" w:rsidRPr="00C27950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363" w:type="pct"/>
            <w:vAlign w:val="center"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08" w:type="pct"/>
            <w:gridSpan w:val="2"/>
            <w:vAlign w:val="center"/>
          </w:tcPr>
          <w:p w:rsidR="00C27950" w:rsidRPr="00C27950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The ‘Pause’ button appears with a green X across the button.</w:t>
            </w:r>
          </w:p>
        </w:tc>
        <w:tc>
          <w:tcPr>
            <w:tcW w:w="829" w:type="pct"/>
          </w:tcPr>
          <w:p w:rsidR="00C27950" w:rsidRPr="00C27950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blPrEx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363" w:type="pct"/>
            <w:vAlign w:val="center"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08" w:type="pct"/>
            <w:gridSpan w:val="2"/>
            <w:vAlign w:val="center"/>
          </w:tcPr>
          <w:p w:rsidR="00C27950" w:rsidRPr="00C27950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Reasons a run must be stopped are to load additional reagents or to remove an urgently needed sample tube.</w:t>
            </w:r>
          </w:p>
        </w:tc>
        <w:tc>
          <w:tcPr>
            <w:tcW w:w="829" w:type="pct"/>
          </w:tcPr>
          <w:p w:rsidR="00C27950" w:rsidRPr="00C27950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blPrEx>
          <w:tblLook w:val="00A0" w:firstRow="1" w:lastRow="0" w:firstColumn="1" w:lastColumn="0" w:noHBand="0" w:noVBand="0"/>
        </w:tblPrEx>
        <w:tc>
          <w:tcPr>
            <w:tcW w:w="363" w:type="pct"/>
            <w:vAlign w:val="center"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08" w:type="pct"/>
            <w:gridSpan w:val="2"/>
            <w:vAlign w:val="center"/>
          </w:tcPr>
          <w:p w:rsidR="00C27950" w:rsidRPr="00C27950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Functions in progress, such as pipetting and centrifugation, are completed.  Then the system will </w:t>
            </w:r>
            <w:r w:rsidR="00600BE5" w:rsidRPr="00600BE5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pause</w:t>
            </w: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29" w:type="pct"/>
          </w:tcPr>
          <w:p w:rsidR="00C27950" w:rsidRPr="00C27950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blPrEx>
          <w:tblLook w:val="00A0" w:firstRow="1" w:lastRow="0" w:firstColumn="1" w:lastColumn="0" w:noHBand="0" w:noVBand="0"/>
        </w:tblPrEx>
        <w:trPr>
          <w:trHeight w:val="368"/>
        </w:trPr>
        <w:tc>
          <w:tcPr>
            <w:tcW w:w="363" w:type="pct"/>
            <w:vAlign w:val="center"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08" w:type="pct"/>
            <w:gridSpan w:val="2"/>
            <w:vAlign w:val="center"/>
          </w:tcPr>
          <w:p w:rsidR="00C27950" w:rsidRPr="00C27950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The incubation will continue.</w:t>
            </w:r>
          </w:p>
        </w:tc>
        <w:tc>
          <w:tcPr>
            <w:tcW w:w="829" w:type="pct"/>
          </w:tcPr>
          <w:p w:rsidR="00C27950" w:rsidRPr="00C27950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blPrEx>
          <w:tblLook w:val="00A0" w:firstRow="1" w:lastRow="0" w:firstColumn="1" w:lastColumn="0" w:noHBand="0" w:noVBand="0"/>
        </w:tblPrEx>
        <w:tc>
          <w:tcPr>
            <w:tcW w:w="363" w:type="pct"/>
            <w:vAlign w:val="center"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08" w:type="pct"/>
            <w:gridSpan w:val="2"/>
            <w:vAlign w:val="center"/>
          </w:tcPr>
          <w:p w:rsidR="00C27950" w:rsidRPr="00C27950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A run should be interrupted for a short time only since the pause disturbs the chronological sequence of sample processing.  A long break may cause erroneous test results.</w:t>
            </w:r>
          </w:p>
          <w:p w:rsidR="00C27950" w:rsidRPr="00C27950" w:rsidRDefault="00C27950" w:rsidP="00C279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Time in ‘Pause’ should not exceed one minute to ensure that samples do not exceed the maximum incubation time.</w:t>
            </w:r>
          </w:p>
          <w:p w:rsidR="00C27950" w:rsidRPr="00C27950" w:rsidRDefault="00C27950" w:rsidP="00C279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If incubation time is exceeded, the samples affected by the Pause are flagged.</w:t>
            </w:r>
          </w:p>
        </w:tc>
        <w:tc>
          <w:tcPr>
            <w:tcW w:w="829" w:type="pct"/>
          </w:tcPr>
          <w:p w:rsidR="00C27950" w:rsidRPr="00C27950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blPrEx>
          <w:tblLook w:val="00A0" w:firstRow="1" w:lastRow="0" w:firstColumn="1" w:lastColumn="0" w:noHBand="0" w:noVBand="0"/>
        </w:tblPrEx>
        <w:trPr>
          <w:trHeight w:val="350"/>
        </w:trPr>
        <w:tc>
          <w:tcPr>
            <w:tcW w:w="363" w:type="pct"/>
            <w:vAlign w:val="center"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08" w:type="pct"/>
            <w:gridSpan w:val="2"/>
            <w:vAlign w:val="center"/>
          </w:tcPr>
          <w:p w:rsidR="00C27950" w:rsidRPr="00C27950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To restart the system, touch the ‘Pause’ button again.</w:t>
            </w:r>
          </w:p>
        </w:tc>
        <w:tc>
          <w:tcPr>
            <w:tcW w:w="829" w:type="pct"/>
          </w:tcPr>
          <w:p w:rsidR="00C27950" w:rsidRPr="00C27950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50" w:rsidRPr="00C27950" w:rsidTr="003E4C78">
        <w:tblPrEx>
          <w:tblLook w:val="00A0" w:firstRow="1" w:lastRow="0" w:firstColumn="1" w:lastColumn="0" w:noHBand="0" w:noVBand="0"/>
        </w:tblPrEx>
        <w:trPr>
          <w:trHeight w:val="890"/>
        </w:trPr>
        <w:tc>
          <w:tcPr>
            <w:tcW w:w="363" w:type="pct"/>
            <w:vAlign w:val="center"/>
          </w:tcPr>
          <w:p w:rsidR="00C27950" w:rsidRPr="00C27950" w:rsidRDefault="00C27950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08" w:type="pct"/>
            <w:gridSpan w:val="2"/>
            <w:vAlign w:val="center"/>
          </w:tcPr>
          <w:p w:rsidR="00C27950" w:rsidRPr="00C27950" w:rsidRDefault="00C27950" w:rsidP="007F5DD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If the system is not started in 45 seconds, an audible signal (beep) sounds.  If the time in ‘Pause’ exceeds one minute, a warning message is displayed and all affected wells will be flagged</w:t>
            </w:r>
            <w:r w:rsidR="001E692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1E6920" w:rsidRPr="001E6920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 xml:space="preserve">with </w:t>
            </w:r>
            <w:r w:rsidR="001E6920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 xml:space="preserve">flag </w:t>
            </w:r>
            <w:r w:rsidR="001E6920" w:rsidRPr="001E6920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symbol 16</w:t>
            </w:r>
            <w:r w:rsidRPr="00C27950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29" w:type="pct"/>
          </w:tcPr>
          <w:p w:rsidR="00C27950" w:rsidRPr="00C27950" w:rsidRDefault="00C27950" w:rsidP="007F5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720"/>
        <w:gridCol w:w="7560"/>
        <w:gridCol w:w="1620"/>
      </w:tblGrid>
      <w:tr w:rsidR="00DC7A68" w:rsidTr="000458BB"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8" w:rsidRPr="00DC7A68" w:rsidRDefault="00DC7A68" w:rsidP="000458B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C7A6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Short Term </w:t>
            </w:r>
            <w:r w:rsidR="000458B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Shut Down</w:t>
            </w:r>
          </w:p>
        </w:tc>
      </w:tr>
      <w:tr w:rsidR="00DC7A68" w:rsidTr="000458BB">
        <w:tc>
          <w:tcPr>
            <w:tcW w:w="720" w:type="dxa"/>
            <w:tcBorders>
              <w:top w:val="single" w:sz="4" w:space="0" w:color="auto"/>
            </w:tcBorders>
          </w:tcPr>
          <w:p w:rsidR="00DC7A68" w:rsidRPr="00DC7A68" w:rsidRDefault="00DC7A68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DC7A68" w:rsidRPr="00DC7A68" w:rsidRDefault="00DC7A68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Press ‘Shut Down’ in the ‘Shut Down Tango’ window</w:t>
            </w:r>
          </w:p>
          <w:p w:rsidR="00DC7A68" w:rsidRPr="00DC7A68" w:rsidRDefault="00DC7A68" w:rsidP="00DC7A6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The software will automatically shut off the PC, if it does not, wait until the screen instructs you to turn off the PC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C7A68" w:rsidRPr="00DC7A68" w:rsidRDefault="001E6920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Maintenance</w:t>
            </w:r>
          </w:p>
        </w:tc>
      </w:tr>
      <w:tr w:rsidR="00DC7A68" w:rsidTr="00DC7A68">
        <w:tc>
          <w:tcPr>
            <w:tcW w:w="720" w:type="dxa"/>
          </w:tcPr>
          <w:p w:rsidR="00DC7A68" w:rsidRPr="00DC7A68" w:rsidRDefault="00DC7A68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7560" w:type="dxa"/>
          </w:tcPr>
          <w:p w:rsidR="00DC7A68" w:rsidRPr="00DC7A68" w:rsidRDefault="00DC7A68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After the PC is switched off, switch off the analyzer by pressing the main switch on the left side of the TANGO.</w:t>
            </w:r>
          </w:p>
        </w:tc>
        <w:tc>
          <w:tcPr>
            <w:tcW w:w="1620" w:type="dxa"/>
          </w:tcPr>
          <w:p w:rsidR="00DC7A68" w:rsidRPr="00DC7A68" w:rsidRDefault="00DC7A68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DC7A68" w:rsidTr="00DC7A68">
        <w:tc>
          <w:tcPr>
            <w:tcW w:w="720" w:type="dxa"/>
          </w:tcPr>
          <w:p w:rsidR="00DC7A68" w:rsidRPr="00DC7A68" w:rsidRDefault="00DC7A68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3.</w:t>
            </w:r>
          </w:p>
        </w:tc>
        <w:tc>
          <w:tcPr>
            <w:tcW w:w="7560" w:type="dxa"/>
          </w:tcPr>
          <w:p w:rsidR="00DC7A68" w:rsidRDefault="00DC7A68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Once it has been powered off, the operator can remove all the mechanical assemblies.</w:t>
            </w:r>
          </w:p>
          <w:p w:rsidR="00600BE5" w:rsidRPr="00600BE5" w:rsidRDefault="00600BE5" w:rsidP="00600BE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Wait at least 1 minute before restarting analyzer</w:t>
            </w:r>
          </w:p>
        </w:tc>
        <w:tc>
          <w:tcPr>
            <w:tcW w:w="1620" w:type="dxa"/>
          </w:tcPr>
          <w:p w:rsidR="00DC7A68" w:rsidRPr="00DC7A68" w:rsidRDefault="00DC7A68" w:rsidP="00A63E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tbl>
      <w:tblPr>
        <w:tblW w:w="5169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7587"/>
        <w:gridCol w:w="1616"/>
      </w:tblGrid>
      <w:tr w:rsidR="00C27950" w:rsidRPr="00C6060E" w:rsidTr="000458BB">
        <w:tc>
          <w:tcPr>
            <w:tcW w:w="5000" w:type="pct"/>
            <w:gridSpan w:val="3"/>
          </w:tcPr>
          <w:p w:rsidR="00C27950" w:rsidRPr="00C6060E" w:rsidRDefault="00DC7A68" w:rsidP="00045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 xml:space="preserve">Long Term </w:t>
            </w:r>
            <w:r w:rsidR="00C27950" w:rsidRPr="000458BB">
              <w:rPr>
                <w:rFonts w:ascii="Arial" w:hAnsi="Arial" w:cs="Arial"/>
                <w:b/>
                <w:sz w:val="22"/>
                <w:highlight w:val="yellow"/>
              </w:rPr>
              <w:t>S</w:t>
            </w:r>
            <w:r w:rsidR="000458BB" w:rsidRPr="000458BB">
              <w:rPr>
                <w:rFonts w:ascii="Arial" w:hAnsi="Arial" w:cs="Arial"/>
                <w:b/>
                <w:sz w:val="22"/>
                <w:highlight w:val="yellow"/>
              </w:rPr>
              <w:t>hut Down</w:t>
            </w:r>
          </w:p>
        </w:tc>
      </w:tr>
      <w:tr w:rsidR="00C23780" w:rsidRPr="00C27950" w:rsidTr="003E4C78">
        <w:tc>
          <w:tcPr>
            <w:tcW w:w="352" w:type="pct"/>
            <w:vAlign w:val="center"/>
          </w:tcPr>
          <w:p w:rsidR="00C23780" w:rsidRPr="00E67DBB" w:rsidRDefault="00E67DBB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E67DBB">
              <w:rPr>
                <w:rFonts w:ascii="Arial" w:hAnsi="Arial" w:cs="Arial"/>
                <w:sz w:val="22"/>
                <w:szCs w:val="22"/>
              </w:rPr>
              <w:t>1</w:t>
            </w:r>
            <w:r w:rsidR="00C23780" w:rsidRPr="00E67D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32" w:type="pct"/>
            <w:vAlign w:val="center"/>
          </w:tcPr>
          <w:p w:rsidR="00C23780" w:rsidRPr="00C27950" w:rsidRDefault="00C23780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If the instrument will not be used for a week or more, rinse the system with Cleaning Solution first.</w:t>
            </w:r>
          </w:p>
        </w:tc>
        <w:tc>
          <w:tcPr>
            <w:tcW w:w="816" w:type="pct"/>
          </w:tcPr>
          <w:p w:rsidR="00C23780" w:rsidRPr="001E6920" w:rsidRDefault="00C23780" w:rsidP="00A63EF7">
            <w:pPr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</w:p>
        </w:tc>
      </w:tr>
      <w:tr w:rsidR="00C23780" w:rsidRPr="00C27950" w:rsidTr="003E4C78">
        <w:trPr>
          <w:trHeight w:val="422"/>
        </w:trPr>
        <w:tc>
          <w:tcPr>
            <w:tcW w:w="352" w:type="pct"/>
            <w:vAlign w:val="center"/>
          </w:tcPr>
          <w:p w:rsidR="00C23780" w:rsidRPr="00E67DBB" w:rsidRDefault="00E67DBB" w:rsidP="00E67DBB">
            <w:pPr>
              <w:rPr>
                <w:rFonts w:ascii="Arial" w:hAnsi="Arial" w:cs="Arial"/>
                <w:sz w:val="22"/>
                <w:szCs w:val="22"/>
              </w:rPr>
            </w:pPr>
            <w:r w:rsidRPr="00E67DBB">
              <w:rPr>
                <w:rFonts w:ascii="Arial" w:hAnsi="Arial" w:cs="Arial"/>
                <w:sz w:val="22"/>
                <w:szCs w:val="22"/>
              </w:rPr>
              <w:t>2</w:t>
            </w:r>
            <w:r w:rsidR="00C23780" w:rsidRPr="00E67D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32" w:type="pct"/>
            <w:vAlign w:val="center"/>
          </w:tcPr>
          <w:p w:rsidR="00C23780" w:rsidRPr="00C27950" w:rsidRDefault="001E6920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Empty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780" w:rsidRPr="00C27950">
              <w:rPr>
                <w:rFonts w:ascii="Arial" w:hAnsi="Arial" w:cs="Arial"/>
                <w:sz w:val="22"/>
                <w:szCs w:val="22"/>
              </w:rPr>
              <w:t>System Liquid and Wash Solution Containers</w:t>
            </w:r>
          </w:p>
        </w:tc>
        <w:tc>
          <w:tcPr>
            <w:tcW w:w="816" w:type="pct"/>
          </w:tcPr>
          <w:p w:rsidR="00C23780" w:rsidRPr="00C27950" w:rsidRDefault="00C23780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780" w:rsidRPr="00C27950" w:rsidTr="003E4C78">
        <w:trPr>
          <w:trHeight w:val="350"/>
        </w:trPr>
        <w:tc>
          <w:tcPr>
            <w:tcW w:w="352" w:type="pct"/>
            <w:vAlign w:val="center"/>
          </w:tcPr>
          <w:p w:rsidR="00C23780" w:rsidRPr="001E6920" w:rsidRDefault="001E6920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="00C23780"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C23780" w:rsidRPr="00C27950" w:rsidRDefault="00C23780" w:rsidP="000458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 xml:space="preserve">Fill both containers with 2L of </w:t>
            </w:r>
            <w:r w:rsidR="000458BB" w:rsidRPr="000458BB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Pr="00C27950">
              <w:rPr>
                <w:rFonts w:ascii="Arial" w:hAnsi="Arial" w:cs="Arial"/>
                <w:sz w:val="22"/>
                <w:szCs w:val="22"/>
              </w:rPr>
              <w:t xml:space="preserve"> water.</w:t>
            </w:r>
          </w:p>
        </w:tc>
        <w:tc>
          <w:tcPr>
            <w:tcW w:w="816" w:type="pct"/>
          </w:tcPr>
          <w:p w:rsidR="00C23780" w:rsidRPr="00C27950" w:rsidRDefault="00C23780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780" w:rsidRPr="00C27950" w:rsidTr="003E4C78">
        <w:trPr>
          <w:trHeight w:val="350"/>
        </w:trPr>
        <w:tc>
          <w:tcPr>
            <w:tcW w:w="352" w:type="pct"/>
            <w:vAlign w:val="center"/>
          </w:tcPr>
          <w:p w:rsidR="00C23780" w:rsidRPr="001E6920" w:rsidRDefault="001E6920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="00C23780"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C23780" w:rsidRPr="00C27950" w:rsidRDefault="00C23780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Select ‘Definitions’ in the Main Menu, then select ‘Auto Rinsing’.</w:t>
            </w:r>
          </w:p>
        </w:tc>
        <w:tc>
          <w:tcPr>
            <w:tcW w:w="816" w:type="pct"/>
          </w:tcPr>
          <w:p w:rsidR="00C23780" w:rsidRPr="00C27950" w:rsidRDefault="00C23780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530"/>
        </w:trPr>
        <w:tc>
          <w:tcPr>
            <w:tcW w:w="352" w:type="pct"/>
            <w:vAlign w:val="center"/>
          </w:tcPr>
          <w:p w:rsidR="003E4C78" w:rsidRPr="000458BB" w:rsidRDefault="003E4C78" w:rsidP="0085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58B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32" w:type="pct"/>
            <w:vAlign w:val="center"/>
          </w:tcPr>
          <w:p w:rsidR="003E4C78" w:rsidRPr="000458BB" w:rsidRDefault="003E4C78" w:rsidP="0085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58B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16" w:type="pct"/>
          </w:tcPr>
          <w:p w:rsidR="003E4C78" w:rsidRPr="000458BB" w:rsidRDefault="003E4C78" w:rsidP="0085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58B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E4C78" w:rsidRPr="00C27950" w:rsidTr="003E4C78">
        <w:trPr>
          <w:trHeight w:val="341"/>
        </w:trPr>
        <w:tc>
          <w:tcPr>
            <w:tcW w:w="5000" w:type="pct"/>
            <w:gridSpan w:val="3"/>
            <w:vAlign w:val="center"/>
          </w:tcPr>
          <w:p w:rsidR="003E4C78" w:rsidRPr="00C27950" w:rsidRDefault="003E4C78" w:rsidP="003E4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 xml:space="preserve">Long Term </w:t>
            </w:r>
            <w:r w:rsidRPr="000458BB">
              <w:rPr>
                <w:rFonts w:ascii="Arial" w:hAnsi="Arial" w:cs="Arial"/>
                <w:b/>
                <w:sz w:val="22"/>
                <w:highlight w:val="yellow"/>
              </w:rPr>
              <w:t>Shut Down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3E4C78">
              <w:rPr>
                <w:rFonts w:ascii="Arial" w:hAnsi="Arial" w:cs="Arial"/>
                <w:b/>
                <w:sz w:val="22"/>
                <w:highlight w:val="yellow"/>
              </w:rPr>
              <w:t>(continued)</w:t>
            </w:r>
          </w:p>
        </w:tc>
      </w:tr>
      <w:tr w:rsidR="003E4C78" w:rsidRPr="00C27950" w:rsidTr="003E4C78">
        <w:trPr>
          <w:trHeight w:val="899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Enter a start time that is approximately one minute later than the actual system time.</w:t>
            </w:r>
          </w:p>
          <w:p w:rsidR="003E4C78" w:rsidRPr="00C27950" w:rsidRDefault="003E4C78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The system time is displayed in the lower right corner of the monitor.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530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Select the ‘Active’ button so that the check mark appears in the box.</w:t>
            </w:r>
          </w:p>
          <w:p w:rsidR="003E4C78" w:rsidRPr="00C27950" w:rsidRDefault="003E4C78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This activates the rinsing function.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341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Select the ‘OK’ button.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530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The analyzer will be rinsed automatically with the preset rinsing cycles and soak time.</w:t>
            </w:r>
          </w:p>
          <w:p w:rsidR="003E4C78" w:rsidRPr="001E6920" w:rsidRDefault="003E4C78" w:rsidP="001E692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This procedure should take about five (5) minutes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539"/>
        </w:trPr>
        <w:tc>
          <w:tcPr>
            <w:tcW w:w="352" w:type="pct"/>
            <w:vAlign w:val="center"/>
          </w:tcPr>
          <w:p w:rsidR="003E4C78" w:rsidRPr="001E6920" w:rsidRDefault="003E4C78" w:rsidP="001E692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9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After rinsing is complete, empty the Washing Solution, Cleaning Solution and System Liquid containers.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341"/>
        </w:trPr>
        <w:tc>
          <w:tcPr>
            <w:tcW w:w="352" w:type="pct"/>
            <w:vAlign w:val="center"/>
          </w:tcPr>
          <w:p w:rsidR="003E4C78" w:rsidRPr="001E6920" w:rsidRDefault="003E4C78" w:rsidP="001E692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Clean the containers with Microcide SQ.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350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11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0458BB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 xml:space="preserve">Rinse thoroughly with </w:t>
            </w:r>
            <w:r w:rsidRPr="000458BB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Pr="00C27950">
              <w:rPr>
                <w:rFonts w:ascii="Arial" w:hAnsi="Arial" w:cs="Arial"/>
                <w:sz w:val="22"/>
                <w:szCs w:val="22"/>
              </w:rPr>
              <w:t xml:space="preserve"> water.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350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12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Empty and rinse the Waste Container.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13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Select ‘Definitions’ in the Main Menu, then select ‘Auto Rinsing’.  Remove the check mark in the ‘Active’ box.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773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14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Remove all plates from the analyzer.</w:t>
            </w:r>
          </w:p>
          <w:p w:rsidR="003E4C78" w:rsidRPr="00C27950" w:rsidRDefault="003E4C78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Select the ‘Remove Plates’ button in the ‘Plates Loading’ window to unload all plates.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341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15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Remove all reagents from the analyzer.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1430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16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Turn off the computer.</w:t>
            </w:r>
          </w:p>
          <w:p w:rsidR="003E4C78" w:rsidRPr="00C27950" w:rsidRDefault="003E4C78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Select the ‘Shutdown’ button in the Main Menu.</w:t>
            </w:r>
          </w:p>
          <w:p w:rsidR="003E4C78" w:rsidRPr="00C27950" w:rsidRDefault="003E4C78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Select the ‘Logout’ button.</w:t>
            </w:r>
          </w:p>
          <w:p w:rsidR="003E4C78" w:rsidRPr="00C27950" w:rsidRDefault="003E4C78" w:rsidP="00A81D4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If the computer is not turned off automatically, turn it off by pressing the On/Off switch.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RPr="00C27950" w:rsidTr="003E4C78">
        <w:trPr>
          <w:trHeight w:val="530"/>
        </w:trPr>
        <w:tc>
          <w:tcPr>
            <w:tcW w:w="352" w:type="pct"/>
            <w:vAlign w:val="center"/>
          </w:tcPr>
          <w:p w:rsidR="003E4C78" w:rsidRPr="001E6920" w:rsidRDefault="003E4C78" w:rsidP="00E67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17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C27950" w:rsidRDefault="003E4C78" w:rsidP="005C5FB4">
            <w:pPr>
              <w:rPr>
                <w:rFonts w:ascii="Arial" w:hAnsi="Arial" w:cs="Arial"/>
                <w:sz w:val="22"/>
                <w:szCs w:val="22"/>
              </w:rPr>
            </w:pPr>
            <w:r w:rsidRPr="00C27950">
              <w:rPr>
                <w:rFonts w:ascii="Arial" w:hAnsi="Arial" w:cs="Arial"/>
                <w:sz w:val="22"/>
                <w:szCs w:val="22"/>
              </w:rPr>
              <w:t>After the computer is turned off, turn off the analyzer using the main switch on the left side of the instrument.</w:t>
            </w:r>
          </w:p>
        </w:tc>
        <w:tc>
          <w:tcPr>
            <w:tcW w:w="816" w:type="pct"/>
          </w:tcPr>
          <w:p w:rsidR="003E4C78" w:rsidRPr="00C27950" w:rsidRDefault="003E4C78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C78" w:rsidTr="003E4C78">
        <w:trPr>
          <w:trHeight w:val="323"/>
        </w:trPr>
        <w:tc>
          <w:tcPr>
            <w:tcW w:w="5000" w:type="pct"/>
            <w:gridSpan w:val="3"/>
            <w:vAlign w:val="center"/>
          </w:tcPr>
          <w:p w:rsidR="003E4C78" w:rsidRPr="007849BD" w:rsidRDefault="003E4C78" w:rsidP="000458BB">
            <w:pPr>
              <w:jc w:val="center"/>
              <w:rPr>
                <w:rFonts w:ascii="Arial" w:hAnsi="Arial" w:cs="Arial"/>
                <w:b/>
              </w:rPr>
            </w:pPr>
            <w:r w:rsidRPr="00DC7A68">
              <w:rPr>
                <w:rFonts w:ascii="Arial" w:hAnsi="Arial" w:cs="Arial"/>
                <w:b/>
                <w:sz w:val="22"/>
                <w:highlight w:val="yellow"/>
              </w:rPr>
              <w:t>Restart After Extended Shut Down</w:t>
            </w:r>
          </w:p>
        </w:tc>
      </w:tr>
      <w:tr w:rsidR="003E4C78" w:rsidTr="003E4C78">
        <w:trPr>
          <w:trHeight w:val="557"/>
        </w:trPr>
        <w:tc>
          <w:tcPr>
            <w:tcW w:w="352" w:type="pct"/>
          </w:tcPr>
          <w:p w:rsidR="003E4C78" w:rsidRPr="001E6920" w:rsidRDefault="003E4C78" w:rsidP="00F340CF">
            <w:pPr>
              <w:rPr>
                <w:rFonts w:ascii="Arial" w:hAnsi="Arial" w:cs="Arial"/>
                <w:highlight w:val="yellow"/>
              </w:rPr>
            </w:pP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>If the analyzer was not in use for an extended period of time, clean the containers with diluted Decontamination Clean.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404"/>
        </w:trPr>
        <w:tc>
          <w:tcPr>
            <w:tcW w:w="352" w:type="pct"/>
          </w:tcPr>
          <w:p w:rsidR="003E4C78" w:rsidRPr="001E6920" w:rsidRDefault="003E4C78" w:rsidP="00F340CF">
            <w:pPr>
              <w:rPr>
                <w:rFonts w:ascii="Arial" w:hAnsi="Arial" w:cs="Arial"/>
                <w:highlight w:val="yellow"/>
              </w:rPr>
            </w:pP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0458BB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 xml:space="preserve">Rinse containers thoroughly with </w:t>
            </w:r>
            <w:r w:rsidRPr="000458BB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Pr="007849BD">
              <w:rPr>
                <w:rFonts w:ascii="Arial" w:hAnsi="Arial" w:cs="Arial"/>
                <w:sz w:val="22"/>
                <w:szCs w:val="22"/>
              </w:rPr>
              <w:t xml:space="preserve"> water.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359"/>
        </w:trPr>
        <w:tc>
          <w:tcPr>
            <w:tcW w:w="352" w:type="pct"/>
          </w:tcPr>
          <w:p w:rsidR="003E4C78" w:rsidRPr="007849BD" w:rsidRDefault="003E4C78" w:rsidP="00F30014">
            <w:pPr>
              <w:rPr>
                <w:rFonts w:ascii="Arial" w:hAnsi="Arial" w:cs="Arial"/>
              </w:rPr>
            </w:pP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Pr="007849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0458BB" w:rsidRDefault="003E4C78" w:rsidP="00F30014">
            <w:pPr>
              <w:rPr>
                <w:rFonts w:ascii="Arial" w:hAnsi="Arial" w:cs="Arial"/>
                <w:sz w:val="22"/>
                <w:szCs w:val="22"/>
              </w:rPr>
            </w:pPr>
            <w:r w:rsidRPr="000458BB">
              <w:rPr>
                <w:rFonts w:ascii="Arial" w:hAnsi="Arial" w:cs="Arial"/>
                <w:sz w:val="22"/>
                <w:szCs w:val="22"/>
              </w:rPr>
              <w:t>Fill the containers with the appropriate solutions and connect the sensors and tubing.</w:t>
            </w:r>
          </w:p>
          <w:p w:rsidR="003E4C78" w:rsidRPr="000458BB" w:rsidRDefault="003E4C78" w:rsidP="00F300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0458BB">
              <w:rPr>
                <w:rFonts w:ascii="Arial" w:hAnsi="Arial" w:cs="Arial"/>
                <w:sz w:val="22"/>
                <w:szCs w:val="22"/>
              </w:rPr>
              <w:t xml:space="preserve">System Liquid is </w:t>
            </w:r>
            <w:r w:rsidRPr="000458BB">
              <w:rPr>
                <w:rFonts w:ascii="Arial" w:hAnsi="Arial" w:cs="Arial"/>
                <w:sz w:val="22"/>
                <w:szCs w:val="22"/>
                <w:highlight w:val="yellow"/>
              </w:rPr>
              <w:t>DI</w:t>
            </w:r>
            <w:r w:rsidRPr="000458BB">
              <w:rPr>
                <w:rFonts w:ascii="Arial" w:hAnsi="Arial" w:cs="Arial"/>
                <w:sz w:val="22"/>
                <w:szCs w:val="22"/>
              </w:rPr>
              <w:t xml:space="preserve"> water.</w:t>
            </w:r>
          </w:p>
          <w:p w:rsidR="003E4C78" w:rsidRPr="000458BB" w:rsidRDefault="003E4C78" w:rsidP="00F300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0458BB">
              <w:rPr>
                <w:rFonts w:ascii="Arial" w:hAnsi="Arial" w:cs="Arial"/>
                <w:sz w:val="22"/>
                <w:szCs w:val="22"/>
              </w:rPr>
              <w:t>Wash Solution is phosphate buffered saline (PBS).</w:t>
            </w:r>
          </w:p>
          <w:p w:rsidR="003E4C78" w:rsidRPr="000458BB" w:rsidRDefault="003E4C78" w:rsidP="00F300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0458BB">
              <w:rPr>
                <w:rFonts w:ascii="Arial" w:hAnsi="Arial" w:cs="Arial"/>
                <w:sz w:val="22"/>
                <w:szCs w:val="22"/>
              </w:rPr>
              <w:t>Cleaning Solution is Diluted Daily Clean.</w:t>
            </w:r>
          </w:p>
          <w:p w:rsidR="003E4C78" w:rsidRPr="000458BB" w:rsidRDefault="003E4C78" w:rsidP="000458B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0458BB">
              <w:rPr>
                <w:rFonts w:ascii="Arial" w:hAnsi="Arial" w:cs="Arial"/>
                <w:sz w:val="22"/>
                <w:szCs w:val="22"/>
              </w:rPr>
              <w:t>The Waste Container remains empty.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341"/>
        </w:trPr>
        <w:tc>
          <w:tcPr>
            <w:tcW w:w="352" w:type="pct"/>
            <w:vAlign w:val="center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>Use the switch located on the left side of the instrument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>to turn the TANGO on.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350"/>
        </w:trPr>
        <w:tc>
          <w:tcPr>
            <w:tcW w:w="352" w:type="pct"/>
            <w:vAlign w:val="center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>The pipette arms will move to the front of the instrument.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341"/>
        </w:trPr>
        <w:tc>
          <w:tcPr>
            <w:tcW w:w="352" w:type="pct"/>
            <w:vAlign w:val="center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on the monitor screen, enabling the touch screen.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350"/>
        </w:trPr>
        <w:tc>
          <w:tcPr>
            <w:tcW w:w="352" w:type="pct"/>
            <w:vAlign w:val="center"/>
          </w:tcPr>
          <w:p w:rsidR="003E4C78" w:rsidRPr="000458BB" w:rsidRDefault="003E4C78" w:rsidP="0085158C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2"/>
            <w:r w:rsidRPr="000458B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832" w:type="pct"/>
            <w:vAlign w:val="center"/>
          </w:tcPr>
          <w:p w:rsidR="003E4C78" w:rsidRPr="000458BB" w:rsidRDefault="003E4C78" w:rsidP="0085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58B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16" w:type="pct"/>
          </w:tcPr>
          <w:p w:rsidR="003E4C78" w:rsidRPr="000458BB" w:rsidRDefault="003E4C78" w:rsidP="0085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58B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bookmarkEnd w:id="0"/>
      <w:tr w:rsidR="003E4C78" w:rsidTr="003E4C78">
        <w:trPr>
          <w:trHeight w:val="350"/>
        </w:trPr>
        <w:tc>
          <w:tcPr>
            <w:tcW w:w="5000" w:type="pct"/>
            <w:gridSpan w:val="3"/>
            <w:vAlign w:val="center"/>
          </w:tcPr>
          <w:p w:rsidR="003E4C78" w:rsidRPr="007849BD" w:rsidRDefault="003E4C78" w:rsidP="003E4C78">
            <w:pPr>
              <w:jc w:val="center"/>
              <w:rPr>
                <w:rFonts w:ascii="Arial" w:hAnsi="Arial" w:cs="Arial"/>
              </w:rPr>
            </w:pPr>
            <w:r w:rsidRPr="00DC7A68">
              <w:rPr>
                <w:rFonts w:ascii="Arial" w:hAnsi="Arial" w:cs="Arial"/>
                <w:b/>
                <w:sz w:val="22"/>
                <w:highlight w:val="yellow"/>
              </w:rPr>
              <w:t>Restart After Extended Shut Down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3E4C78">
              <w:rPr>
                <w:rFonts w:ascii="Arial" w:hAnsi="Arial" w:cs="Arial"/>
                <w:b/>
                <w:sz w:val="22"/>
                <w:highlight w:val="yellow"/>
              </w:rPr>
              <w:t>(continued)</w:t>
            </w:r>
          </w:p>
        </w:tc>
      </w:tr>
      <w:tr w:rsidR="003E4C78" w:rsidTr="003E4C78">
        <w:trPr>
          <w:trHeight w:val="350"/>
        </w:trPr>
        <w:tc>
          <w:tcPr>
            <w:tcW w:w="352" w:type="pct"/>
            <w:vAlign w:val="center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Default="003E4C78" w:rsidP="00F340CF">
            <w:pPr>
              <w:rPr>
                <w:rFonts w:ascii="Arial" w:hAnsi="Arial" w:cs="Arial"/>
                <w:sz w:val="22"/>
                <w:szCs w:val="22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 xml:space="preserve">Turn on the PC. </w:t>
            </w:r>
          </w:p>
          <w:p w:rsidR="003E4C78" w:rsidRPr="007849BD" w:rsidRDefault="003E4C78" w:rsidP="00F3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 </w:t>
            </w:r>
            <w:r w:rsidRPr="007849BD">
              <w:rPr>
                <w:rFonts w:ascii="Arial" w:hAnsi="Arial" w:cs="Arial"/>
                <w:sz w:val="22"/>
                <w:szCs w:val="22"/>
              </w:rPr>
              <w:t>After Windows start up, the TANGO software will launch automatically.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341"/>
        </w:trPr>
        <w:tc>
          <w:tcPr>
            <w:tcW w:w="352" w:type="pct"/>
            <w:vAlign w:val="center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>In the Login window, enter User ID and Password.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359"/>
        </w:trPr>
        <w:tc>
          <w:tcPr>
            <w:tcW w:w="352" w:type="pct"/>
            <w:vAlign w:val="center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9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 xml:space="preserve">Touch ‘OK’. </w:t>
            </w:r>
            <w:r>
              <w:rPr>
                <w:rFonts w:ascii="Arial" w:hAnsi="Arial" w:cs="Arial"/>
                <w:sz w:val="22"/>
                <w:szCs w:val="22"/>
              </w:rPr>
              <w:t xml:space="preserve">  Note:  </w:t>
            </w:r>
            <w:r w:rsidRPr="007849BD">
              <w:rPr>
                <w:rFonts w:ascii="Arial" w:hAnsi="Arial" w:cs="Arial"/>
                <w:sz w:val="22"/>
                <w:szCs w:val="22"/>
              </w:rPr>
              <w:t>The TANGO will go through initialization.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530"/>
        </w:trPr>
        <w:tc>
          <w:tcPr>
            <w:tcW w:w="352" w:type="pct"/>
          </w:tcPr>
          <w:p w:rsidR="003E4C78" w:rsidRPr="00DC7A68" w:rsidRDefault="003E4C78" w:rsidP="001E6920">
            <w:pPr>
              <w:rPr>
                <w:rFonts w:ascii="Arial" w:hAnsi="Arial" w:cs="Arial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>When the instrument is ready, ‘Ready’ will appear in the lower left corner of the monitor.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899"/>
        </w:trPr>
        <w:tc>
          <w:tcPr>
            <w:tcW w:w="352" w:type="pct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 xml:space="preserve">Select ‘Maintenance’ then ‘Rinsing’ </w:t>
            </w:r>
            <w:r>
              <w:rPr>
                <w:rFonts w:ascii="Arial" w:hAnsi="Arial" w:cs="Arial"/>
                <w:sz w:val="22"/>
                <w:szCs w:val="22"/>
              </w:rPr>
              <w:t>and set the number of cycles to</w:t>
            </w:r>
            <w:r w:rsidRPr="001E692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2-3-1</w:t>
            </w:r>
            <w:r w:rsidRPr="007849BD">
              <w:rPr>
                <w:rFonts w:ascii="Arial" w:hAnsi="Arial" w:cs="Arial"/>
                <w:sz w:val="22"/>
                <w:szCs w:val="22"/>
              </w:rPr>
              <w:t>.  Touch ‘OK’.  The tubing is washed and filled with system liquid and wash buffer.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836"/>
        </w:trPr>
        <w:tc>
          <w:tcPr>
            <w:tcW w:w="352" w:type="pct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>Select ‘Definitions’ then ‘Auto-Rinsing’ and enable the auto rinsing by selecting the ‘Active’ box.</w:t>
            </w:r>
          </w:p>
          <w:p w:rsidR="003E4C78" w:rsidRPr="007849BD" w:rsidRDefault="003E4C78" w:rsidP="0021527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>Set the desired interval time for automatic rinsing.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c>
          <w:tcPr>
            <w:tcW w:w="352" w:type="pct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  <w:r w:rsidRPr="007849BD">
              <w:rPr>
                <w:rFonts w:ascii="Arial" w:hAnsi="Arial" w:cs="Arial"/>
                <w:sz w:val="22"/>
                <w:szCs w:val="22"/>
              </w:rPr>
              <w:t>After the rinse cycles are complete, load plates and reagents.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  <w:tr w:rsidR="003E4C78" w:rsidTr="003E4C78">
        <w:trPr>
          <w:trHeight w:val="278"/>
        </w:trPr>
        <w:tc>
          <w:tcPr>
            <w:tcW w:w="352" w:type="pct"/>
          </w:tcPr>
          <w:p w:rsidR="003E4C78" w:rsidRPr="00DC7A68" w:rsidRDefault="003E4C78" w:rsidP="00F340CF">
            <w:pPr>
              <w:rPr>
                <w:rFonts w:ascii="Arial" w:hAnsi="Arial" w:cs="Arial"/>
                <w:highlight w:val="yellow"/>
              </w:rPr>
            </w:pP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Pr="00DC7A6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832" w:type="pct"/>
            <w:vAlign w:val="center"/>
          </w:tcPr>
          <w:p w:rsidR="003E4C78" w:rsidRDefault="003E4C78" w:rsidP="00F34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Run controls.</w:t>
            </w:r>
          </w:p>
          <w:p w:rsidR="003E4C78" w:rsidRPr="00215271" w:rsidRDefault="003E4C78" w:rsidP="0021527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15271">
              <w:rPr>
                <w:rFonts w:ascii="Arial" w:hAnsi="Arial" w:cs="Arial"/>
                <w:sz w:val="22"/>
                <w:szCs w:val="22"/>
              </w:rPr>
              <w:t xml:space="preserve">If the controls are not correct, repeat rinsing with </w:t>
            </w:r>
            <w:r>
              <w:rPr>
                <w:rFonts w:ascii="Arial" w:hAnsi="Arial" w:cs="Arial"/>
                <w:sz w:val="22"/>
                <w:szCs w:val="22"/>
              </w:rPr>
              <w:t>System Liquid and Wash Solution</w:t>
            </w:r>
            <w:r w:rsidRPr="00BA297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pushing the ‘decontamination’ button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 then rerun controls</w:t>
            </w:r>
            <w:r w:rsidRPr="00BA2978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816" w:type="pct"/>
          </w:tcPr>
          <w:p w:rsidR="003E4C78" w:rsidRPr="007849BD" w:rsidRDefault="003E4C78" w:rsidP="00F340CF">
            <w:pPr>
              <w:rPr>
                <w:rFonts w:ascii="Arial" w:hAnsi="Arial" w:cs="Arial"/>
              </w:rPr>
            </w:pPr>
          </w:p>
        </w:tc>
      </w:tr>
    </w:tbl>
    <w:p w:rsidR="00215271" w:rsidRPr="00C27950" w:rsidRDefault="00215271" w:rsidP="00A63EF7">
      <w:pPr>
        <w:ind w:left="1080"/>
        <w:rPr>
          <w:rFonts w:ascii="Arial" w:hAnsi="Arial" w:cs="Arial"/>
          <w:sz w:val="22"/>
          <w:szCs w:val="22"/>
        </w:rPr>
      </w:pPr>
    </w:p>
    <w:p w:rsidR="00C23780" w:rsidRPr="00C27950" w:rsidRDefault="00C23780" w:rsidP="003C0746">
      <w:pPr>
        <w:ind w:hanging="360"/>
        <w:rPr>
          <w:rFonts w:ascii="Arial" w:hAnsi="Arial" w:cs="Arial"/>
          <w:b/>
          <w:sz w:val="22"/>
          <w:szCs w:val="22"/>
        </w:rPr>
      </w:pPr>
      <w:r w:rsidRPr="00C27950">
        <w:rPr>
          <w:rFonts w:ascii="Arial" w:hAnsi="Arial" w:cs="Arial"/>
          <w:b/>
          <w:sz w:val="22"/>
          <w:szCs w:val="22"/>
        </w:rPr>
        <w:t>Referenced Documents:</w:t>
      </w:r>
    </w:p>
    <w:p w:rsidR="00C23780" w:rsidRPr="00C27950" w:rsidRDefault="00DC7A68" w:rsidP="00FE7F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TANGO User Guide, Version 3.</w:t>
      </w:r>
      <w:r w:rsidRPr="00DC7A68">
        <w:rPr>
          <w:rFonts w:ascii="Arial" w:hAnsi="Arial" w:cs="Arial"/>
          <w:sz w:val="22"/>
          <w:szCs w:val="22"/>
          <w:highlight w:val="yellow"/>
        </w:rPr>
        <w:t>3</w:t>
      </w:r>
    </w:p>
    <w:p w:rsidR="00C23780" w:rsidRPr="00C27950" w:rsidRDefault="00C23780">
      <w:pPr>
        <w:rPr>
          <w:rFonts w:ascii="Arial" w:hAnsi="Arial" w:cs="Arial"/>
          <w:sz w:val="22"/>
          <w:szCs w:val="22"/>
        </w:rPr>
      </w:pPr>
    </w:p>
    <w:sectPr w:rsidR="00C23780" w:rsidRPr="00C27950" w:rsidSect="003C0746">
      <w:headerReference w:type="default" r:id="rId8"/>
      <w:footerReference w:type="default" r:id="rId9"/>
      <w:headerReference w:type="first" r:id="rId10"/>
      <w:pgSz w:w="12240" w:h="15840"/>
      <w:pgMar w:top="1440" w:right="1440" w:bottom="1080" w:left="144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80" w:rsidRDefault="00C23780" w:rsidP="005B4617">
      <w:r>
        <w:separator/>
      </w:r>
    </w:p>
  </w:endnote>
  <w:endnote w:type="continuationSeparator" w:id="0">
    <w:p w:rsidR="00C23780" w:rsidRDefault="00C23780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Pr="000458BB" w:rsidRDefault="00C23780" w:rsidP="003C0746">
    <w:pPr>
      <w:pStyle w:val="Footer"/>
      <w:ind w:hanging="360"/>
      <w:rPr>
        <w:rFonts w:ascii="Arial" w:hAnsi="Arial" w:cs="Arial"/>
        <w:sz w:val="22"/>
        <w:szCs w:val="20"/>
      </w:rPr>
    </w:pPr>
    <w:r w:rsidRPr="000458BB">
      <w:rPr>
        <w:rFonts w:ascii="Arial" w:hAnsi="Arial" w:cs="Arial"/>
        <w:sz w:val="22"/>
        <w:szCs w:val="20"/>
      </w:rPr>
      <w:t xml:space="preserve">Transfusion Services Laboratory </w:t>
    </w:r>
    <w:r w:rsidRPr="000458BB">
      <w:rPr>
        <w:rFonts w:ascii="Arial" w:hAnsi="Arial" w:cs="Arial"/>
        <w:sz w:val="22"/>
        <w:szCs w:val="20"/>
      </w:rPr>
      <w:tab/>
    </w:r>
    <w:r w:rsidRPr="000458BB">
      <w:rPr>
        <w:rFonts w:ascii="Arial" w:hAnsi="Arial" w:cs="Arial"/>
        <w:sz w:val="22"/>
        <w:szCs w:val="20"/>
      </w:rPr>
      <w:tab/>
      <w:t xml:space="preserve"> Page </w:t>
    </w:r>
    <w:r w:rsidR="004D5834" w:rsidRPr="000458BB">
      <w:rPr>
        <w:rFonts w:ascii="Arial" w:hAnsi="Arial" w:cs="Arial"/>
        <w:sz w:val="22"/>
        <w:szCs w:val="20"/>
      </w:rPr>
      <w:fldChar w:fldCharType="begin"/>
    </w:r>
    <w:r w:rsidRPr="000458BB">
      <w:rPr>
        <w:rFonts w:ascii="Arial" w:hAnsi="Arial" w:cs="Arial"/>
        <w:sz w:val="22"/>
        <w:szCs w:val="20"/>
      </w:rPr>
      <w:instrText xml:space="preserve"> PAGE </w:instrText>
    </w:r>
    <w:r w:rsidR="004D5834" w:rsidRPr="000458BB">
      <w:rPr>
        <w:rFonts w:ascii="Arial" w:hAnsi="Arial" w:cs="Arial"/>
        <w:sz w:val="22"/>
        <w:szCs w:val="20"/>
      </w:rPr>
      <w:fldChar w:fldCharType="separate"/>
    </w:r>
    <w:r w:rsidR="008408DA">
      <w:rPr>
        <w:rFonts w:ascii="Arial" w:hAnsi="Arial" w:cs="Arial"/>
        <w:noProof/>
        <w:sz w:val="22"/>
        <w:szCs w:val="20"/>
      </w:rPr>
      <w:t>4</w:t>
    </w:r>
    <w:r w:rsidR="004D5834" w:rsidRPr="000458BB">
      <w:rPr>
        <w:rFonts w:ascii="Arial" w:hAnsi="Arial" w:cs="Arial"/>
        <w:sz w:val="22"/>
        <w:szCs w:val="20"/>
      </w:rPr>
      <w:fldChar w:fldCharType="end"/>
    </w:r>
    <w:r w:rsidRPr="000458BB">
      <w:rPr>
        <w:rFonts w:ascii="Arial" w:hAnsi="Arial" w:cs="Arial"/>
        <w:sz w:val="22"/>
        <w:szCs w:val="20"/>
      </w:rPr>
      <w:t xml:space="preserve"> of </w:t>
    </w:r>
    <w:r w:rsidR="004D5834" w:rsidRPr="000458BB">
      <w:rPr>
        <w:rFonts w:ascii="Arial" w:hAnsi="Arial" w:cs="Arial"/>
        <w:sz w:val="22"/>
        <w:szCs w:val="20"/>
      </w:rPr>
      <w:fldChar w:fldCharType="begin"/>
    </w:r>
    <w:r w:rsidRPr="000458BB">
      <w:rPr>
        <w:rFonts w:ascii="Arial" w:hAnsi="Arial" w:cs="Arial"/>
        <w:sz w:val="22"/>
        <w:szCs w:val="20"/>
      </w:rPr>
      <w:instrText xml:space="preserve"> NUMPAGES </w:instrText>
    </w:r>
    <w:r w:rsidR="004D5834" w:rsidRPr="000458BB">
      <w:rPr>
        <w:rFonts w:ascii="Arial" w:hAnsi="Arial" w:cs="Arial"/>
        <w:sz w:val="22"/>
        <w:szCs w:val="20"/>
      </w:rPr>
      <w:fldChar w:fldCharType="separate"/>
    </w:r>
    <w:r w:rsidR="008408DA">
      <w:rPr>
        <w:rFonts w:ascii="Arial" w:hAnsi="Arial" w:cs="Arial"/>
        <w:noProof/>
        <w:sz w:val="22"/>
        <w:szCs w:val="20"/>
      </w:rPr>
      <w:t>4</w:t>
    </w:r>
    <w:r w:rsidR="004D5834" w:rsidRPr="000458BB">
      <w:rPr>
        <w:rFonts w:ascii="Arial" w:hAnsi="Arial" w:cs="Arial"/>
        <w:sz w:val="22"/>
        <w:szCs w:val="20"/>
      </w:rPr>
      <w:fldChar w:fldCharType="end"/>
    </w:r>
  </w:p>
  <w:p w:rsidR="00C23780" w:rsidRPr="000458BB" w:rsidRDefault="00C23780" w:rsidP="003C0746">
    <w:pPr>
      <w:pStyle w:val="Footer"/>
      <w:ind w:hanging="360"/>
      <w:rPr>
        <w:rFonts w:ascii="Arial" w:hAnsi="Arial" w:cs="Arial"/>
        <w:sz w:val="22"/>
        <w:szCs w:val="20"/>
      </w:rPr>
    </w:pPr>
    <w:smartTag w:uri="urn:schemas-microsoft-com:office:smarttags" w:element="PlaceName">
      <w:smartTag w:uri="urn:schemas-microsoft-com:office:smarttags" w:element="place">
        <w:r w:rsidRPr="000458BB">
          <w:rPr>
            <w:rFonts w:ascii="Arial" w:hAnsi="Arial" w:cs="Arial"/>
            <w:sz w:val="22"/>
            <w:szCs w:val="20"/>
          </w:rPr>
          <w:t>Harborview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0458BB">
          <w:rPr>
            <w:rFonts w:ascii="Arial" w:hAnsi="Arial" w:cs="Arial"/>
            <w:sz w:val="22"/>
            <w:szCs w:val="20"/>
          </w:rPr>
          <w:t>Medical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0458BB">
          <w:rPr>
            <w:rFonts w:ascii="Arial" w:hAnsi="Arial" w:cs="Arial"/>
            <w:sz w:val="22"/>
            <w:szCs w:val="20"/>
          </w:rPr>
          <w:t>Center</w:t>
        </w:r>
      </w:smartTag>
    </w:smartTag>
    <w:r w:rsidRPr="000458BB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0458BB">
          <w:rPr>
            <w:rFonts w:ascii="Arial" w:hAnsi="Arial" w:cs="Arial"/>
            <w:sz w:val="22"/>
            <w:szCs w:val="20"/>
          </w:rPr>
          <w:t>325 Ninth Ave.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City">
        <w:r w:rsidRPr="000458BB">
          <w:rPr>
            <w:rFonts w:ascii="Arial" w:hAnsi="Arial" w:cs="Arial"/>
            <w:sz w:val="22"/>
            <w:szCs w:val="20"/>
          </w:rPr>
          <w:t>Seattle</w:t>
        </w:r>
      </w:smartTag>
      <w:r w:rsidRPr="000458BB">
        <w:rPr>
          <w:rFonts w:ascii="Arial" w:hAnsi="Arial" w:cs="Arial"/>
          <w:sz w:val="22"/>
          <w:szCs w:val="20"/>
        </w:rPr>
        <w:t xml:space="preserve">, </w:t>
      </w:r>
      <w:smartTag w:uri="urn:schemas-microsoft-com:office:smarttags" w:element="State">
        <w:r w:rsidRPr="000458BB">
          <w:rPr>
            <w:rFonts w:ascii="Arial" w:hAnsi="Arial" w:cs="Arial"/>
            <w:sz w:val="22"/>
            <w:szCs w:val="20"/>
          </w:rPr>
          <w:t>WA</w:t>
        </w:r>
      </w:smartTag>
      <w:r w:rsidRPr="000458BB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0458BB">
          <w:rPr>
            <w:rFonts w:ascii="Arial" w:hAnsi="Arial" w:cs="Arial"/>
            <w:sz w:val="22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80" w:rsidRDefault="00C23780" w:rsidP="005B4617">
      <w:r>
        <w:separator/>
      </w:r>
    </w:p>
  </w:footnote>
  <w:footnote w:type="continuationSeparator" w:id="0">
    <w:p w:rsidR="00C23780" w:rsidRDefault="00C23780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Pr="000458BB" w:rsidRDefault="00C23780" w:rsidP="003C0746">
    <w:pPr>
      <w:ind w:hanging="360"/>
      <w:jc w:val="both"/>
      <w:rPr>
        <w:rFonts w:ascii="Arial" w:hAnsi="Arial" w:cs="Arial"/>
        <w:b/>
        <w:sz w:val="22"/>
        <w:szCs w:val="20"/>
      </w:rPr>
    </w:pPr>
    <w:r w:rsidRPr="000458BB">
      <w:rPr>
        <w:rFonts w:ascii="Arial" w:hAnsi="Arial" w:cs="Arial"/>
        <w:b/>
        <w:sz w:val="22"/>
        <w:szCs w:val="20"/>
      </w:rPr>
      <w:t xml:space="preserve">Tango </w:t>
    </w:r>
    <w:r w:rsidR="00E67DBB" w:rsidRPr="000458BB">
      <w:rPr>
        <w:rFonts w:ascii="Arial" w:hAnsi="Arial" w:cs="Arial"/>
        <w:b/>
        <w:sz w:val="22"/>
        <w:szCs w:val="20"/>
      </w:rPr>
      <w:t xml:space="preserve">Start Up and </w:t>
    </w:r>
    <w:r w:rsidRPr="000458BB">
      <w:rPr>
        <w:rFonts w:ascii="Arial" w:hAnsi="Arial" w:cs="Arial"/>
        <w:b/>
        <w:sz w:val="22"/>
        <w:szCs w:val="20"/>
      </w:rPr>
      <w:t>Shut Down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80" w:rsidRDefault="006432A3" w:rsidP="003C0746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59525" cy="667385"/>
          <wp:effectExtent l="0" t="0" r="3175" b="0"/>
          <wp:docPr id="1" name="Picture 6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23780" w:rsidTr="00FE7FB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A854E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A854E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A854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A854E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A854E9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A854E9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A854E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A854E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23780" w:rsidRPr="00A854E9" w:rsidRDefault="00C23780" w:rsidP="00FE7FBB">
          <w:pPr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23780" w:rsidRPr="00A854E9" w:rsidRDefault="00C23780" w:rsidP="00FE7FB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A854E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23780" w:rsidRPr="00A854E9" w:rsidRDefault="00C23780" w:rsidP="00FE7FBB">
          <w:pPr>
            <w:jc w:val="both"/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23780" w:rsidRPr="00FE7FBB" w:rsidRDefault="00C27950" w:rsidP="00FE7FBB">
          <w:pPr>
            <w:jc w:val="both"/>
            <w:rPr>
              <w:rFonts w:ascii="Arial" w:hAnsi="Arial" w:cs="Arial"/>
              <w:b/>
            </w:rPr>
          </w:pPr>
          <w:r w:rsidRPr="00C27950">
            <w:rPr>
              <w:rFonts w:ascii="Arial" w:hAnsi="Arial" w:cs="Arial"/>
              <w:b/>
              <w:sz w:val="22"/>
              <w:szCs w:val="22"/>
              <w:highlight w:val="yellow"/>
            </w:rPr>
            <w:t>5528-4</w:t>
          </w:r>
        </w:p>
      </w:tc>
    </w:tr>
    <w:tr w:rsidR="00C23780" w:rsidTr="00FE7FB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23780" w:rsidRPr="00A854E9" w:rsidRDefault="00C23780" w:rsidP="00FE7FB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23780" w:rsidRPr="00A854E9" w:rsidRDefault="00C23780" w:rsidP="00FE7FBB">
          <w:pPr>
            <w:jc w:val="both"/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23780" w:rsidRPr="00E4471A" w:rsidRDefault="007A04DC" w:rsidP="00FE7FBB">
          <w:pPr>
            <w:jc w:val="both"/>
            <w:rPr>
              <w:rFonts w:ascii="Arial" w:hAnsi="Arial" w:cs="Arial"/>
            </w:rPr>
          </w:pPr>
          <w:r w:rsidRPr="007A04DC">
            <w:rPr>
              <w:rFonts w:ascii="Arial" w:hAnsi="Arial" w:cs="Arial"/>
              <w:sz w:val="22"/>
              <w:szCs w:val="22"/>
              <w:highlight w:val="yellow"/>
            </w:rPr>
            <w:t>February 1</w:t>
          </w:r>
          <w:r w:rsidR="002B6DF9">
            <w:rPr>
              <w:rFonts w:ascii="Arial" w:hAnsi="Arial" w:cs="Arial"/>
              <w:sz w:val="22"/>
              <w:szCs w:val="22"/>
              <w:highlight w:val="yellow"/>
            </w:rPr>
            <w:t>4</w:t>
          </w:r>
          <w:r w:rsidRPr="007A04DC">
            <w:rPr>
              <w:rFonts w:ascii="Arial" w:hAnsi="Arial" w:cs="Arial"/>
              <w:sz w:val="22"/>
              <w:szCs w:val="22"/>
              <w:highlight w:val="yellow"/>
            </w:rPr>
            <w:t>, 2014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23780" w:rsidRPr="00A854E9" w:rsidRDefault="00C23780" w:rsidP="00FE7FBB">
          <w:pPr>
            <w:jc w:val="both"/>
            <w:rPr>
              <w:rFonts w:ascii="Arial" w:hAnsi="Arial" w:cs="Arial"/>
              <w:b/>
            </w:rPr>
          </w:pPr>
          <w:r w:rsidRPr="00A854E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827681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C23780" w:rsidTr="00FE7FB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23780" w:rsidRPr="003C0746" w:rsidRDefault="00C23780" w:rsidP="00C27950">
          <w:pPr>
            <w:rPr>
              <w:rFonts w:ascii="Arial" w:hAnsi="Arial" w:cs="Arial"/>
              <w:sz w:val="28"/>
              <w:szCs w:val="28"/>
            </w:rPr>
          </w:pPr>
          <w:r w:rsidRPr="003C0746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2B6DF9">
            <w:rPr>
              <w:rFonts w:ascii="Arial" w:hAnsi="Arial" w:cs="Arial"/>
              <w:b/>
              <w:sz w:val="28"/>
              <w:szCs w:val="28"/>
            </w:rPr>
            <w:t xml:space="preserve">Tango </w:t>
          </w:r>
          <w:r w:rsidR="00C27950" w:rsidRPr="002B6DF9">
            <w:rPr>
              <w:rFonts w:ascii="Arial" w:hAnsi="Arial" w:cs="Arial"/>
              <w:b/>
              <w:sz w:val="28"/>
              <w:szCs w:val="28"/>
            </w:rPr>
            <w:t>Start Up and Shut Down</w:t>
          </w:r>
        </w:p>
      </w:tc>
    </w:tr>
  </w:tbl>
  <w:p w:rsidR="00C23780" w:rsidRDefault="00C23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AA2"/>
    <w:multiLevelType w:val="hybridMultilevel"/>
    <w:tmpl w:val="C410293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F2A6C"/>
    <w:multiLevelType w:val="hybridMultilevel"/>
    <w:tmpl w:val="96C80538"/>
    <w:lvl w:ilvl="0" w:tplc="B69E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E7DE1"/>
    <w:multiLevelType w:val="hybridMultilevel"/>
    <w:tmpl w:val="107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32F0E"/>
    <w:multiLevelType w:val="hybridMultilevel"/>
    <w:tmpl w:val="CE984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7B62B37"/>
    <w:multiLevelType w:val="hybridMultilevel"/>
    <w:tmpl w:val="4394E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2F6267E"/>
    <w:multiLevelType w:val="hybridMultilevel"/>
    <w:tmpl w:val="48F4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9F69F5"/>
    <w:multiLevelType w:val="hybridMultilevel"/>
    <w:tmpl w:val="6C56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C0705"/>
    <w:multiLevelType w:val="hybridMultilevel"/>
    <w:tmpl w:val="386E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F5F81"/>
    <w:multiLevelType w:val="hybridMultilevel"/>
    <w:tmpl w:val="2A1A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475E3"/>
    <w:multiLevelType w:val="hybridMultilevel"/>
    <w:tmpl w:val="DD06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610302AF"/>
    <w:multiLevelType w:val="hybridMultilevel"/>
    <w:tmpl w:val="68FAA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7563E"/>
    <w:multiLevelType w:val="hybridMultilevel"/>
    <w:tmpl w:val="BE6848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45388"/>
    <w:multiLevelType w:val="hybridMultilevel"/>
    <w:tmpl w:val="75D4CF7E"/>
    <w:lvl w:ilvl="0" w:tplc="B4F24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D3343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2"/>
  </w:num>
  <w:num w:numId="3">
    <w:abstractNumId w:val="11"/>
  </w:num>
  <w:num w:numId="4">
    <w:abstractNumId w:val="33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29"/>
  </w:num>
  <w:num w:numId="11">
    <w:abstractNumId w:val="24"/>
  </w:num>
  <w:num w:numId="12">
    <w:abstractNumId w:val="28"/>
  </w:num>
  <w:num w:numId="13">
    <w:abstractNumId w:val="10"/>
  </w:num>
  <w:num w:numId="14">
    <w:abstractNumId w:val="2"/>
  </w:num>
  <w:num w:numId="15">
    <w:abstractNumId w:val="34"/>
  </w:num>
  <w:num w:numId="16">
    <w:abstractNumId w:val="18"/>
  </w:num>
  <w:num w:numId="17">
    <w:abstractNumId w:val="16"/>
  </w:num>
  <w:num w:numId="18">
    <w:abstractNumId w:val="26"/>
  </w:num>
  <w:num w:numId="19">
    <w:abstractNumId w:val="13"/>
  </w:num>
  <w:num w:numId="20">
    <w:abstractNumId w:val="9"/>
  </w:num>
  <w:num w:numId="21">
    <w:abstractNumId w:val="23"/>
  </w:num>
  <w:num w:numId="22">
    <w:abstractNumId w:val="31"/>
  </w:num>
  <w:num w:numId="23">
    <w:abstractNumId w:val="15"/>
  </w:num>
  <w:num w:numId="24">
    <w:abstractNumId w:val="0"/>
  </w:num>
  <w:num w:numId="25">
    <w:abstractNumId w:val="19"/>
  </w:num>
  <w:num w:numId="26">
    <w:abstractNumId w:val="25"/>
  </w:num>
  <w:num w:numId="27">
    <w:abstractNumId w:val="6"/>
  </w:num>
  <w:num w:numId="28">
    <w:abstractNumId w:val="22"/>
  </w:num>
  <w:num w:numId="29">
    <w:abstractNumId w:val="27"/>
  </w:num>
  <w:num w:numId="30">
    <w:abstractNumId w:val="8"/>
  </w:num>
  <w:num w:numId="31">
    <w:abstractNumId w:val="5"/>
  </w:num>
  <w:num w:numId="32">
    <w:abstractNumId w:val="30"/>
  </w:num>
  <w:num w:numId="33">
    <w:abstractNumId w:val="21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18"/>
    <w:rsid w:val="000054DB"/>
    <w:rsid w:val="00013C43"/>
    <w:rsid w:val="00020C51"/>
    <w:rsid w:val="000458BB"/>
    <w:rsid w:val="000614D9"/>
    <w:rsid w:val="0006575D"/>
    <w:rsid w:val="00067AC5"/>
    <w:rsid w:val="000A0A34"/>
    <w:rsid w:val="000C0429"/>
    <w:rsid w:val="000F5CCD"/>
    <w:rsid w:val="0013118A"/>
    <w:rsid w:val="00135D76"/>
    <w:rsid w:val="00136256"/>
    <w:rsid w:val="00146DCB"/>
    <w:rsid w:val="0019171E"/>
    <w:rsid w:val="001C7300"/>
    <w:rsid w:val="001E55BC"/>
    <w:rsid w:val="001E6920"/>
    <w:rsid w:val="00215271"/>
    <w:rsid w:val="0027593A"/>
    <w:rsid w:val="002B468B"/>
    <w:rsid w:val="002B6DF9"/>
    <w:rsid w:val="002C77FC"/>
    <w:rsid w:val="002E2076"/>
    <w:rsid w:val="003307DC"/>
    <w:rsid w:val="003649C8"/>
    <w:rsid w:val="003755AA"/>
    <w:rsid w:val="0038057B"/>
    <w:rsid w:val="003C0746"/>
    <w:rsid w:val="003D773B"/>
    <w:rsid w:val="003E4C78"/>
    <w:rsid w:val="00455D69"/>
    <w:rsid w:val="0048178C"/>
    <w:rsid w:val="00484060"/>
    <w:rsid w:val="004C0EB3"/>
    <w:rsid w:val="004D5834"/>
    <w:rsid w:val="004F4B7D"/>
    <w:rsid w:val="005606C6"/>
    <w:rsid w:val="00584408"/>
    <w:rsid w:val="005B4617"/>
    <w:rsid w:val="005B4B21"/>
    <w:rsid w:val="005C5FB4"/>
    <w:rsid w:val="00600BE5"/>
    <w:rsid w:val="006234DE"/>
    <w:rsid w:val="00633457"/>
    <w:rsid w:val="006432A3"/>
    <w:rsid w:val="006441BA"/>
    <w:rsid w:val="0065476C"/>
    <w:rsid w:val="00660774"/>
    <w:rsid w:val="00666E62"/>
    <w:rsid w:val="006741A7"/>
    <w:rsid w:val="006C2962"/>
    <w:rsid w:val="006C3C49"/>
    <w:rsid w:val="006D4395"/>
    <w:rsid w:val="006E5DC4"/>
    <w:rsid w:val="006F1F38"/>
    <w:rsid w:val="00704A79"/>
    <w:rsid w:val="00713577"/>
    <w:rsid w:val="007A04DC"/>
    <w:rsid w:val="007C2F88"/>
    <w:rsid w:val="00802461"/>
    <w:rsid w:val="00827681"/>
    <w:rsid w:val="00836932"/>
    <w:rsid w:val="008408DA"/>
    <w:rsid w:val="0085158C"/>
    <w:rsid w:val="00872F1A"/>
    <w:rsid w:val="00876002"/>
    <w:rsid w:val="008D1734"/>
    <w:rsid w:val="008E2005"/>
    <w:rsid w:val="009235EF"/>
    <w:rsid w:val="009762F9"/>
    <w:rsid w:val="009803A4"/>
    <w:rsid w:val="00986E94"/>
    <w:rsid w:val="009E3D4B"/>
    <w:rsid w:val="009F4FFB"/>
    <w:rsid w:val="00A00CD0"/>
    <w:rsid w:val="00A258D7"/>
    <w:rsid w:val="00A56C73"/>
    <w:rsid w:val="00A63EF7"/>
    <w:rsid w:val="00A81D4C"/>
    <w:rsid w:val="00A82A1B"/>
    <w:rsid w:val="00A854E9"/>
    <w:rsid w:val="00A87E85"/>
    <w:rsid w:val="00AB2D5F"/>
    <w:rsid w:val="00AD33FB"/>
    <w:rsid w:val="00AE0C26"/>
    <w:rsid w:val="00B00BF0"/>
    <w:rsid w:val="00B52FE3"/>
    <w:rsid w:val="00B54794"/>
    <w:rsid w:val="00B962F6"/>
    <w:rsid w:val="00BA2978"/>
    <w:rsid w:val="00BB28C8"/>
    <w:rsid w:val="00BB3C7B"/>
    <w:rsid w:val="00C06149"/>
    <w:rsid w:val="00C1650D"/>
    <w:rsid w:val="00C233EA"/>
    <w:rsid w:val="00C23780"/>
    <w:rsid w:val="00C26518"/>
    <w:rsid w:val="00C27950"/>
    <w:rsid w:val="00C42899"/>
    <w:rsid w:val="00C50A7E"/>
    <w:rsid w:val="00C57B0F"/>
    <w:rsid w:val="00C603FC"/>
    <w:rsid w:val="00C6060E"/>
    <w:rsid w:val="00C6094E"/>
    <w:rsid w:val="00CF128B"/>
    <w:rsid w:val="00D261FC"/>
    <w:rsid w:val="00D41C73"/>
    <w:rsid w:val="00D733D0"/>
    <w:rsid w:val="00DC7A68"/>
    <w:rsid w:val="00E374EE"/>
    <w:rsid w:val="00E4471A"/>
    <w:rsid w:val="00E6377D"/>
    <w:rsid w:val="00E67DBB"/>
    <w:rsid w:val="00E7707F"/>
    <w:rsid w:val="00EB37A2"/>
    <w:rsid w:val="00F17E9F"/>
    <w:rsid w:val="00F9452C"/>
    <w:rsid w:val="00FA2380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1161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Tuotte</cp:lastModifiedBy>
  <cp:revision>8</cp:revision>
  <cp:lastPrinted>2014-01-31T02:57:00Z</cp:lastPrinted>
  <dcterms:created xsi:type="dcterms:W3CDTF">2014-01-14T08:11:00Z</dcterms:created>
  <dcterms:modified xsi:type="dcterms:W3CDTF">2014-01-31T02:58:00Z</dcterms:modified>
</cp:coreProperties>
</file>