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A0" w:rsidRDefault="002218A0" w:rsidP="0007786D">
      <w:pPr>
        <w:ind w:left="720" w:hanging="720"/>
        <w:rPr>
          <w:rFonts w:ascii="Arial" w:hAnsi="Arial" w:cs="Arial"/>
          <w:b/>
          <w:sz w:val="22"/>
          <w:szCs w:val="22"/>
        </w:rPr>
      </w:pPr>
      <w:r>
        <w:rPr>
          <w:rFonts w:ascii="Arial" w:hAnsi="Arial" w:cs="Arial"/>
          <w:b/>
          <w:sz w:val="22"/>
          <w:szCs w:val="22"/>
        </w:rPr>
        <w:t xml:space="preserve">Purpose:  </w:t>
      </w:r>
    </w:p>
    <w:p w:rsidR="002218A0" w:rsidRDefault="002218A0" w:rsidP="0007786D">
      <w:pPr>
        <w:rPr>
          <w:rFonts w:ascii="Arial" w:hAnsi="Arial" w:cs="Arial"/>
          <w:sz w:val="22"/>
          <w:szCs w:val="22"/>
        </w:rPr>
      </w:pPr>
      <w:r>
        <w:rPr>
          <w:rFonts w:ascii="Arial" w:hAnsi="Arial" w:cs="Arial"/>
          <w:sz w:val="22"/>
          <w:szCs w:val="22"/>
        </w:rPr>
        <w:t>This procedure outlines the steps for quality control and the schedule for preventive maintenance for the Helmer Quickthaw System.</w:t>
      </w:r>
    </w:p>
    <w:p w:rsidR="002218A0" w:rsidRDefault="002218A0" w:rsidP="0007786D">
      <w:pPr>
        <w:rPr>
          <w:rFonts w:ascii="Arial" w:hAnsi="Arial" w:cs="Arial"/>
          <w:sz w:val="22"/>
          <w:szCs w:val="22"/>
        </w:rPr>
      </w:pPr>
    </w:p>
    <w:p w:rsidR="002218A0" w:rsidRDefault="002218A0" w:rsidP="0007786D">
      <w:pPr>
        <w:rPr>
          <w:rFonts w:ascii="Arial" w:hAnsi="Arial" w:cs="Arial"/>
          <w:b/>
          <w:sz w:val="22"/>
          <w:szCs w:val="22"/>
        </w:rPr>
      </w:pPr>
      <w:r>
        <w:rPr>
          <w:rFonts w:ascii="Arial" w:hAnsi="Arial" w:cs="Arial"/>
          <w:b/>
          <w:sz w:val="22"/>
          <w:szCs w:val="22"/>
        </w:rPr>
        <w:t>Procedure:</w:t>
      </w:r>
    </w:p>
    <w:tbl>
      <w:tblPr>
        <w:tblW w:w="10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6"/>
        <w:gridCol w:w="8489"/>
      </w:tblGrid>
      <w:tr w:rsidR="002218A0" w:rsidTr="000A63E0">
        <w:trPr>
          <w:trHeight w:val="503"/>
        </w:trPr>
        <w:tc>
          <w:tcPr>
            <w:tcW w:w="10105" w:type="dxa"/>
            <w:gridSpan w:val="2"/>
            <w:vAlign w:val="center"/>
          </w:tcPr>
          <w:p w:rsidR="002218A0" w:rsidRPr="000A63E0" w:rsidRDefault="002218A0" w:rsidP="0007786D">
            <w:pPr>
              <w:rPr>
                <w:rFonts w:ascii="Arial" w:hAnsi="Arial" w:cs="Arial"/>
                <w:b/>
              </w:rPr>
            </w:pPr>
            <w:r w:rsidRPr="000A63E0">
              <w:rPr>
                <w:rFonts w:ascii="Arial" w:hAnsi="Arial" w:cs="Arial"/>
                <w:b/>
                <w:sz w:val="22"/>
                <w:szCs w:val="22"/>
              </w:rPr>
              <w:t xml:space="preserve">Quality Control </w:t>
            </w:r>
          </w:p>
        </w:tc>
      </w:tr>
      <w:tr w:rsidR="002218A0" w:rsidTr="000A63E0">
        <w:trPr>
          <w:trHeight w:val="716"/>
        </w:trPr>
        <w:tc>
          <w:tcPr>
            <w:tcW w:w="1616" w:type="dxa"/>
            <w:vAlign w:val="center"/>
          </w:tcPr>
          <w:p w:rsidR="002218A0" w:rsidRPr="000A63E0" w:rsidRDefault="002218A0" w:rsidP="0007786D">
            <w:pPr>
              <w:rPr>
                <w:rFonts w:ascii="Arial" w:hAnsi="Arial" w:cs="Arial"/>
                <w:b/>
              </w:rPr>
            </w:pPr>
            <w:r w:rsidRPr="000A63E0">
              <w:rPr>
                <w:rFonts w:ascii="Arial" w:hAnsi="Arial" w:cs="Arial"/>
                <w:b/>
                <w:sz w:val="22"/>
                <w:szCs w:val="22"/>
              </w:rPr>
              <w:t>Daily:</w:t>
            </w:r>
          </w:p>
        </w:tc>
        <w:tc>
          <w:tcPr>
            <w:tcW w:w="8489" w:type="dxa"/>
            <w:vAlign w:val="center"/>
          </w:tcPr>
          <w:p w:rsidR="002218A0" w:rsidRPr="000A63E0" w:rsidRDefault="002218A0" w:rsidP="000A63E0">
            <w:pPr>
              <w:pStyle w:val="ListParagraph"/>
              <w:numPr>
                <w:ilvl w:val="0"/>
                <w:numId w:val="7"/>
              </w:numPr>
              <w:rPr>
                <w:rFonts w:ascii="Arial" w:hAnsi="Arial" w:cs="Arial"/>
              </w:rPr>
            </w:pPr>
            <w:r w:rsidRPr="000A63E0">
              <w:rPr>
                <w:rFonts w:ascii="Arial" w:hAnsi="Arial" w:cs="Arial"/>
                <w:sz w:val="22"/>
                <w:szCs w:val="22"/>
              </w:rPr>
              <w:t xml:space="preserve">Record both the LED temperature and the external thermometer temperature of the water bath on the </w:t>
            </w:r>
            <w:r w:rsidR="009B47A1">
              <w:rPr>
                <w:rFonts w:ascii="Arial" w:hAnsi="Arial" w:cs="Arial"/>
                <w:sz w:val="22"/>
                <w:szCs w:val="22"/>
              </w:rPr>
              <w:t>Helmer Quickthaw Daily QC</w:t>
            </w:r>
            <w:r w:rsidRPr="000A63E0">
              <w:rPr>
                <w:rFonts w:ascii="Arial" w:hAnsi="Arial" w:cs="Arial"/>
                <w:sz w:val="22"/>
                <w:szCs w:val="22"/>
              </w:rPr>
              <w:t xml:space="preserve"> Form.</w:t>
            </w:r>
          </w:p>
        </w:tc>
      </w:tr>
      <w:tr w:rsidR="002218A0" w:rsidTr="000A63E0">
        <w:trPr>
          <w:trHeight w:val="760"/>
        </w:trPr>
        <w:tc>
          <w:tcPr>
            <w:tcW w:w="1616" w:type="dxa"/>
            <w:vAlign w:val="center"/>
          </w:tcPr>
          <w:p w:rsidR="002218A0" w:rsidRPr="000A63E0" w:rsidRDefault="002218A0" w:rsidP="0007786D">
            <w:pPr>
              <w:rPr>
                <w:rFonts w:ascii="Arial" w:hAnsi="Arial" w:cs="Arial"/>
              </w:rPr>
            </w:pPr>
            <w:r w:rsidRPr="000A63E0">
              <w:rPr>
                <w:rFonts w:ascii="Arial" w:hAnsi="Arial" w:cs="Arial"/>
                <w:b/>
                <w:sz w:val="22"/>
                <w:szCs w:val="22"/>
              </w:rPr>
              <w:t xml:space="preserve">Monthly:  </w:t>
            </w:r>
          </w:p>
        </w:tc>
        <w:tc>
          <w:tcPr>
            <w:tcW w:w="8489" w:type="dxa"/>
            <w:vAlign w:val="center"/>
          </w:tcPr>
          <w:p w:rsidR="002218A0" w:rsidRPr="000A63E0" w:rsidRDefault="002218A0" w:rsidP="009B47A1">
            <w:pPr>
              <w:numPr>
                <w:ilvl w:val="0"/>
                <w:numId w:val="7"/>
              </w:numPr>
              <w:rPr>
                <w:rFonts w:ascii="Arial" w:hAnsi="Arial" w:cs="Arial"/>
                <w:b/>
              </w:rPr>
            </w:pPr>
            <w:r w:rsidRPr="000A63E0">
              <w:rPr>
                <w:rFonts w:ascii="Arial" w:hAnsi="Arial" w:cs="Arial"/>
                <w:sz w:val="22"/>
                <w:szCs w:val="22"/>
              </w:rPr>
              <w:t xml:space="preserve">Verify the LED temperature and external thermometer with the Fluke thermometer, and record on the </w:t>
            </w:r>
            <w:r w:rsidR="009B47A1">
              <w:rPr>
                <w:rFonts w:ascii="Arial" w:hAnsi="Arial" w:cs="Arial"/>
                <w:sz w:val="22"/>
                <w:szCs w:val="22"/>
              </w:rPr>
              <w:t>Helmer Quickthaw Daily QC Form</w:t>
            </w:r>
            <w:r w:rsidRPr="000A63E0">
              <w:rPr>
                <w:rFonts w:ascii="Arial" w:hAnsi="Arial" w:cs="Arial"/>
                <w:sz w:val="22"/>
                <w:szCs w:val="22"/>
              </w:rPr>
              <w:t>.</w:t>
            </w:r>
          </w:p>
        </w:tc>
      </w:tr>
      <w:tr w:rsidR="002218A0" w:rsidTr="000A63E0">
        <w:trPr>
          <w:trHeight w:val="716"/>
        </w:trPr>
        <w:tc>
          <w:tcPr>
            <w:tcW w:w="1616" w:type="dxa"/>
            <w:vAlign w:val="center"/>
          </w:tcPr>
          <w:p w:rsidR="002218A0" w:rsidRPr="000A63E0" w:rsidRDefault="002218A0" w:rsidP="0007786D">
            <w:pPr>
              <w:rPr>
                <w:rFonts w:ascii="Arial" w:hAnsi="Arial" w:cs="Arial"/>
              </w:rPr>
            </w:pPr>
            <w:r w:rsidRPr="000A63E0">
              <w:rPr>
                <w:rFonts w:ascii="Arial" w:hAnsi="Arial" w:cs="Arial"/>
                <w:b/>
                <w:sz w:val="22"/>
                <w:szCs w:val="22"/>
              </w:rPr>
              <w:t xml:space="preserve">Quarterly:  </w:t>
            </w:r>
          </w:p>
        </w:tc>
        <w:tc>
          <w:tcPr>
            <w:tcW w:w="8489" w:type="dxa"/>
            <w:vAlign w:val="center"/>
          </w:tcPr>
          <w:p w:rsidR="002218A0" w:rsidRPr="000A63E0" w:rsidRDefault="002218A0" w:rsidP="000A63E0">
            <w:pPr>
              <w:pStyle w:val="ListParagraph"/>
              <w:numPr>
                <w:ilvl w:val="0"/>
                <w:numId w:val="7"/>
              </w:numPr>
              <w:rPr>
                <w:rFonts w:ascii="Arial" w:hAnsi="Arial" w:cs="Arial"/>
              </w:rPr>
            </w:pPr>
            <w:r w:rsidRPr="000A63E0">
              <w:rPr>
                <w:rFonts w:ascii="Arial" w:hAnsi="Arial" w:cs="Arial"/>
                <w:sz w:val="22"/>
                <w:szCs w:val="22"/>
              </w:rPr>
              <w:t>Test the high temperature alarm by changing the set point of the thawer to 38.2 and allowing the chamber to heat to the new set point, which will activate the alarm.  Documen</w:t>
            </w:r>
            <w:r w:rsidR="009B47A1">
              <w:rPr>
                <w:rFonts w:ascii="Arial" w:hAnsi="Arial" w:cs="Arial"/>
                <w:sz w:val="22"/>
                <w:szCs w:val="22"/>
              </w:rPr>
              <w:t>t on the Helmer Quickthaw Daily QC Form</w:t>
            </w:r>
            <w:r w:rsidRPr="000A63E0">
              <w:rPr>
                <w:rFonts w:ascii="Arial" w:hAnsi="Arial" w:cs="Arial"/>
                <w:sz w:val="22"/>
                <w:szCs w:val="22"/>
              </w:rPr>
              <w:t>.  (See Helmer Quickthaw Operations Manual, section 5.5)</w:t>
            </w:r>
          </w:p>
        </w:tc>
      </w:tr>
    </w:tbl>
    <w:p w:rsidR="004653CE" w:rsidRDefault="004653CE"/>
    <w:tbl>
      <w:tblPr>
        <w:tblW w:w="10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7"/>
        <w:gridCol w:w="989"/>
        <w:gridCol w:w="1017"/>
        <w:gridCol w:w="1225"/>
        <w:gridCol w:w="1440"/>
        <w:gridCol w:w="37"/>
      </w:tblGrid>
      <w:tr w:rsidR="002218A0" w:rsidTr="004653CE">
        <w:trPr>
          <w:trHeight w:val="512"/>
        </w:trPr>
        <w:tc>
          <w:tcPr>
            <w:tcW w:w="10105" w:type="dxa"/>
            <w:gridSpan w:val="6"/>
            <w:vAlign w:val="center"/>
          </w:tcPr>
          <w:p w:rsidR="002218A0" w:rsidRPr="000A63E0" w:rsidRDefault="002218A0" w:rsidP="004653CE">
            <w:pPr>
              <w:rPr>
                <w:rFonts w:ascii="Arial" w:hAnsi="Arial" w:cs="Arial"/>
                <w:b/>
              </w:rPr>
            </w:pPr>
            <w:r w:rsidRPr="000A63E0">
              <w:rPr>
                <w:rFonts w:ascii="Arial" w:hAnsi="Arial" w:cs="Arial"/>
                <w:b/>
                <w:sz w:val="22"/>
                <w:szCs w:val="22"/>
              </w:rPr>
              <w:t>Preventive Maintenance Schedule</w:t>
            </w:r>
          </w:p>
        </w:tc>
      </w:tr>
      <w:tr w:rsidR="002218A0" w:rsidRPr="00BD7224" w:rsidTr="0007786D">
        <w:tblPrEx>
          <w:tblLook w:val="00A0" w:firstRow="1" w:lastRow="0" w:firstColumn="1" w:lastColumn="0" w:noHBand="0" w:noVBand="0"/>
        </w:tblPrEx>
        <w:trPr>
          <w:gridAfter w:val="1"/>
          <w:wAfter w:w="37" w:type="dxa"/>
        </w:trPr>
        <w:tc>
          <w:tcPr>
            <w:tcW w:w="5397" w:type="dxa"/>
            <w:vMerge w:val="restart"/>
            <w:vAlign w:val="center"/>
          </w:tcPr>
          <w:p w:rsidR="002218A0" w:rsidRPr="0007786D" w:rsidRDefault="002218A0" w:rsidP="0007786D">
            <w:pPr>
              <w:rPr>
                <w:rFonts w:ascii="Arial" w:hAnsi="Arial" w:cs="Arial"/>
              </w:rPr>
            </w:pPr>
            <w:r w:rsidRPr="00BD7224">
              <w:rPr>
                <w:rFonts w:ascii="Arial" w:hAnsi="Arial" w:cs="Arial"/>
                <w:b/>
                <w:sz w:val="22"/>
                <w:szCs w:val="22"/>
              </w:rPr>
              <w:t>TASKS</w:t>
            </w:r>
            <w:r>
              <w:rPr>
                <w:rFonts w:ascii="Arial" w:hAnsi="Arial" w:cs="Arial"/>
                <w:b/>
                <w:sz w:val="22"/>
                <w:szCs w:val="22"/>
              </w:rPr>
              <w:t xml:space="preserve">: </w:t>
            </w:r>
            <w:r w:rsidRPr="0007786D">
              <w:rPr>
                <w:rFonts w:ascii="Arial" w:hAnsi="Arial" w:cs="Arial"/>
                <w:sz w:val="22"/>
                <w:szCs w:val="22"/>
              </w:rPr>
              <w:t>Document on Th</w:t>
            </w:r>
            <w:r w:rsidR="009B47A1">
              <w:rPr>
                <w:rFonts w:ascii="Arial" w:hAnsi="Arial" w:cs="Arial"/>
                <w:sz w:val="22"/>
                <w:szCs w:val="22"/>
              </w:rPr>
              <w:t>awer Daily QC Form</w:t>
            </w:r>
          </w:p>
        </w:tc>
        <w:tc>
          <w:tcPr>
            <w:tcW w:w="4671" w:type="dxa"/>
            <w:gridSpan w:val="4"/>
            <w:vAlign w:val="center"/>
          </w:tcPr>
          <w:p w:rsidR="002218A0" w:rsidRPr="00BD7224" w:rsidRDefault="002218A0" w:rsidP="0007786D">
            <w:pPr>
              <w:jc w:val="center"/>
              <w:rPr>
                <w:rFonts w:ascii="Arial" w:hAnsi="Arial" w:cs="Arial"/>
                <w:b/>
              </w:rPr>
            </w:pPr>
            <w:r w:rsidRPr="00BD7224">
              <w:rPr>
                <w:rFonts w:ascii="Arial" w:hAnsi="Arial" w:cs="Arial"/>
                <w:b/>
                <w:sz w:val="22"/>
                <w:szCs w:val="22"/>
              </w:rPr>
              <w:t>Frequency</w:t>
            </w:r>
          </w:p>
        </w:tc>
      </w:tr>
      <w:tr w:rsidR="002218A0" w:rsidRPr="00BD7224" w:rsidTr="003443F8">
        <w:tblPrEx>
          <w:tblLook w:val="00A0" w:firstRow="1" w:lastRow="0" w:firstColumn="1" w:lastColumn="0" w:noHBand="0" w:noVBand="0"/>
        </w:tblPrEx>
        <w:trPr>
          <w:gridAfter w:val="1"/>
          <w:wAfter w:w="37" w:type="dxa"/>
          <w:trHeight w:val="260"/>
        </w:trPr>
        <w:tc>
          <w:tcPr>
            <w:tcW w:w="5397" w:type="dxa"/>
            <w:vMerge/>
            <w:vAlign w:val="center"/>
          </w:tcPr>
          <w:p w:rsidR="002218A0" w:rsidRPr="00BD7224" w:rsidRDefault="002218A0" w:rsidP="0007786D">
            <w:pPr>
              <w:rPr>
                <w:rFonts w:ascii="Arial" w:hAnsi="Arial" w:cs="Arial"/>
                <w:b/>
              </w:rPr>
            </w:pPr>
          </w:p>
        </w:tc>
        <w:tc>
          <w:tcPr>
            <w:tcW w:w="989" w:type="dxa"/>
            <w:vAlign w:val="center"/>
          </w:tcPr>
          <w:p w:rsidR="002218A0" w:rsidRPr="00BD7224" w:rsidRDefault="002218A0" w:rsidP="0007786D">
            <w:pPr>
              <w:rPr>
                <w:rFonts w:ascii="Arial" w:hAnsi="Arial" w:cs="Arial"/>
                <w:b/>
                <w:sz w:val="18"/>
                <w:szCs w:val="18"/>
              </w:rPr>
            </w:pPr>
            <w:r w:rsidRPr="00BD7224">
              <w:rPr>
                <w:rFonts w:ascii="Arial" w:hAnsi="Arial" w:cs="Arial"/>
                <w:b/>
                <w:sz w:val="18"/>
                <w:szCs w:val="18"/>
              </w:rPr>
              <w:t>Weekly</w:t>
            </w:r>
          </w:p>
        </w:tc>
        <w:tc>
          <w:tcPr>
            <w:tcW w:w="1017" w:type="dxa"/>
            <w:vAlign w:val="center"/>
          </w:tcPr>
          <w:p w:rsidR="002218A0" w:rsidRPr="00BD7224" w:rsidRDefault="002218A0" w:rsidP="0007786D">
            <w:pPr>
              <w:rPr>
                <w:rFonts w:ascii="Arial" w:hAnsi="Arial" w:cs="Arial"/>
                <w:b/>
                <w:sz w:val="18"/>
                <w:szCs w:val="18"/>
              </w:rPr>
            </w:pPr>
            <w:r w:rsidRPr="00BD7224">
              <w:rPr>
                <w:rFonts w:ascii="Arial" w:hAnsi="Arial" w:cs="Arial"/>
                <w:b/>
                <w:sz w:val="18"/>
                <w:szCs w:val="18"/>
              </w:rPr>
              <w:t>Q</w:t>
            </w:r>
            <w:r>
              <w:rPr>
                <w:rFonts w:ascii="Arial" w:hAnsi="Arial" w:cs="Arial"/>
                <w:b/>
                <w:sz w:val="18"/>
                <w:szCs w:val="18"/>
              </w:rPr>
              <w:t>uar</w:t>
            </w:r>
            <w:r w:rsidRPr="00BD7224">
              <w:rPr>
                <w:rFonts w:ascii="Arial" w:hAnsi="Arial" w:cs="Arial"/>
                <w:b/>
                <w:sz w:val="18"/>
                <w:szCs w:val="18"/>
              </w:rPr>
              <w:t>t</w:t>
            </w:r>
            <w:r>
              <w:rPr>
                <w:rFonts w:ascii="Arial" w:hAnsi="Arial" w:cs="Arial"/>
                <w:b/>
                <w:sz w:val="18"/>
                <w:szCs w:val="18"/>
              </w:rPr>
              <w:t>e</w:t>
            </w:r>
            <w:r w:rsidRPr="00BD7224">
              <w:rPr>
                <w:rFonts w:ascii="Arial" w:hAnsi="Arial" w:cs="Arial"/>
                <w:b/>
                <w:sz w:val="18"/>
                <w:szCs w:val="18"/>
              </w:rPr>
              <w:t>rly</w:t>
            </w:r>
          </w:p>
        </w:tc>
        <w:tc>
          <w:tcPr>
            <w:tcW w:w="1225" w:type="dxa"/>
            <w:vAlign w:val="center"/>
          </w:tcPr>
          <w:p w:rsidR="002218A0" w:rsidRPr="00BD7224" w:rsidRDefault="002218A0" w:rsidP="0007786D">
            <w:pPr>
              <w:rPr>
                <w:rFonts w:ascii="Arial" w:hAnsi="Arial" w:cs="Arial"/>
                <w:b/>
                <w:sz w:val="18"/>
                <w:szCs w:val="18"/>
              </w:rPr>
            </w:pPr>
            <w:r w:rsidRPr="00BD7224">
              <w:rPr>
                <w:rFonts w:ascii="Arial" w:hAnsi="Arial" w:cs="Arial"/>
                <w:b/>
                <w:sz w:val="18"/>
                <w:szCs w:val="18"/>
              </w:rPr>
              <w:t>Annually</w:t>
            </w:r>
          </w:p>
        </w:tc>
        <w:tc>
          <w:tcPr>
            <w:tcW w:w="1440" w:type="dxa"/>
            <w:vAlign w:val="center"/>
          </w:tcPr>
          <w:p w:rsidR="002218A0" w:rsidRPr="00BD7224" w:rsidRDefault="002218A0" w:rsidP="0007786D">
            <w:pPr>
              <w:rPr>
                <w:rFonts w:ascii="Arial" w:hAnsi="Arial" w:cs="Arial"/>
                <w:b/>
                <w:sz w:val="18"/>
                <w:szCs w:val="18"/>
              </w:rPr>
            </w:pPr>
            <w:r>
              <w:rPr>
                <w:rFonts w:ascii="Arial" w:hAnsi="Arial" w:cs="Arial"/>
                <w:b/>
                <w:sz w:val="18"/>
                <w:szCs w:val="18"/>
              </w:rPr>
              <w:t>A</w:t>
            </w:r>
            <w:r w:rsidRPr="00BD7224">
              <w:rPr>
                <w:rFonts w:ascii="Arial" w:hAnsi="Arial" w:cs="Arial"/>
                <w:b/>
                <w:sz w:val="18"/>
                <w:szCs w:val="18"/>
              </w:rPr>
              <w:t>s needed</w:t>
            </w:r>
          </w:p>
        </w:tc>
      </w:tr>
      <w:tr w:rsidR="002218A0" w:rsidRPr="00BD7224" w:rsidTr="0007786D">
        <w:tblPrEx>
          <w:tblLook w:val="00A0" w:firstRow="1" w:lastRow="0" w:firstColumn="1" w:lastColumn="0" w:noHBand="0" w:noVBand="0"/>
        </w:tblPrEx>
        <w:trPr>
          <w:gridAfter w:val="1"/>
          <w:wAfter w:w="37" w:type="dxa"/>
        </w:trPr>
        <w:tc>
          <w:tcPr>
            <w:tcW w:w="5397" w:type="dxa"/>
            <w:vAlign w:val="center"/>
          </w:tcPr>
          <w:p w:rsidR="002218A0" w:rsidRPr="00BD7224" w:rsidRDefault="002218A0" w:rsidP="0007786D">
            <w:pPr>
              <w:pStyle w:val="ListParagraph"/>
              <w:numPr>
                <w:ilvl w:val="0"/>
                <w:numId w:val="9"/>
              </w:numPr>
              <w:rPr>
                <w:rFonts w:ascii="Arial" w:hAnsi="Arial" w:cs="Arial"/>
              </w:rPr>
            </w:pPr>
            <w:r w:rsidRPr="00BD7224">
              <w:rPr>
                <w:rFonts w:ascii="Arial" w:hAnsi="Arial" w:cs="Arial"/>
                <w:sz w:val="22"/>
                <w:szCs w:val="22"/>
              </w:rPr>
              <w:t>Clean the chamber and baskets.</w:t>
            </w:r>
          </w:p>
        </w:tc>
        <w:tc>
          <w:tcPr>
            <w:tcW w:w="989" w:type="dxa"/>
            <w:vAlign w:val="center"/>
          </w:tcPr>
          <w:p w:rsidR="002218A0" w:rsidRPr="0007786D" w:rsidRDefault="002218A0" w:rsidP="0007786D">
            <w:pPr>
              <w:jc w:val="center"/>
              <w:rPr>
                <w:rFonts w:ascii="Arial" w:hAnsi="Arial" w:cs="Arial"/>
                <w:b/>
              </w:rPr>
            </w:pPr>
            <w:r w:rsidRPr="0007786D">
              <w:rPr>
                <w:rFonts w:ascii="Arial" w:hAnsi="Arial" w:cs="Arial"/>
                <w:b/>
                <w:sz w:val="22"/>
                <w:szCs w:val="22"/>
              </w:rPr>
              <w:t>X</w:t>
            </w:r>
          </w:p>
        </w:tc>
        <w:tc>
          <w:tcPr>
            <w:tcW w:w="1017" w:type="dxa"/>
            <w:vAlign w:val="center"/>
          </w:tcPr>
          <w:p w:rsidR="002218A0" w:rsidRPr="00BD7224" w:rsidRDefault="002218A0" w:rsidP="0007786D">
            <w:pPr>
              <w:rPr>
                <w:rFonts w:ascii="Arial" w:hAnsi="Arial" w:cs="Arial"/>
              </w:rPr>
            </w:pPr>
          </w:p>
        </w:tc>
        <w:tc>
          <w:tcPr>
            <w:tcW w:w="1225" w:type="dxa"/>
            <w:vAlign w:val="center"/>
          </w:tcPr>
          <w:p w:rsidR="002218A0" w:rsidRPr="00BD7224" w:rsidRDefault="002218A0" w:rsidP="0007786D">
            <w:pPr>
              <w:rPr>
                <w:rFonts w:ascii="Arial" w:hAnsi="Arial" w:cs="Arial"/>
              </w:rPr>
            </w:pPr>
          </w:p>
        </w:tc>
        <w:tc>
          <w:tcPr>
            <w:tcW w:w="1440" w:type="dxa"/>
          </w:tcPr>
          <w:p w:rsidR="002218A0" w:rsidRPr="00BD7224" w:rsidRDefault="002218A0" w:rsidP="0007786D">
            <w:pPr>
              <w:rPr>
                <w:rFonts w:ascii="Arial" w:hAnsi="Arial" w:cs="Arial"/>
              </w:rPr>
            </w:pPr>
          </w:p>
        </w:tc>
      </w:tr>
      <w:tr w:rsidR="002218A0" w:rsidRPr="00BD7224" w:rsidTr="0007786D">
        <w:tblPrEx>
          <w:tblLook w:val="00A0" w:firstRow="1" w:lastRow="0" w:firstColumn="1" w:lastColumn="0" w:noHBand="0" w:noVBand="0"/>
        </w:tblPrEx>
        <w:trPr>
          <w:gridAfter w:val="1"/>
          <w:wAfter w:w="37" w:type="dxa"/>
        </w:trPr>
        <w:tc>
          <w:tcPr>
            <w:tcW w:w="5397" w:type="dxa"/>
            <w:vAlign w:val="center"/>
          </w:tcPr>
          <w:p w:rsidR="002218A0" w:rsidRPr="00BD7224" w:rsidRDefault="002218A0" w:rsidP="0007786D">
            <w:pPr>
              <w:pStyle w:val="ListParagraph"/>
              <w:numPr>
                <w:ilvl w:val="0"/>
                <w:numId w:val="9"/>
              </w:numPr>
              <w:rPr>
                <w:rFonts w:ascii="Arial" w:hAnsi="Arial" w:cs="Arial"/>
              </w:rPr>
            </w:pPr>
            <w:r w:rsidRPr="00BD7224">
              <w:rPr>
                <w:rFonts w:ascii="Arial" w:hAnsi="Arial" w:cs="Arial"/>
                <w:sz w:val="22"/>
                <w:szCs w:val="22"/>
              </w:rPr>
              <w:t>Clean the exterior.</w:t>
            </w:r>
          </w:p>
        </w:tc>
        <w:tc>
          <w:tcPr>
            <w:tcW w:w="989" w:type="dxa"/>
            <w:vAlign w:val="center"/>
          </w:tcPr>
          <w:p w:rsidR="002218A0" w:rsidRPr="00BD7224" w:rsidRDefault="002218A0" w:rsidP="0007786D">
            <w:pPr>
              <w:rPr>
                <w:rFonts w:ascii="Arial" w:hAnsi="Arial" w:cs="Arial"/>
              </w:rPr>
            </w:pPr>
          </w:p>
        </w:tc>
        <w:tc>
          <w:tcPr>
            <w:tcW w:w="1017" w:type="dxa"/>
            <w:vAlign w:val="center"/>
          </w:tcPr>
          <w:p w:rsidR="002218A0" w:rsidRPr="00BD7224" w:rsidRDefault="002218A0" w:rsidP="0007786D">
            <w:pPr>
              <w:rPr>
                <w:rFonts w:ascii="Arial" w:hAnsi="Arial" w:cs="Arial"/>
              </w:rPr>
            </w:pPr>
          </w:p>
        </w:tc>
        <w:tc>
          <w:tcPr>
            <w:tcW w:w="1225" w:type="dxa"/>
            <w:vAlign w:val="center"/>
          </w:tcPr>
          <w:p w:rsidR="002218A0" w:rsidRPr="00BD7224" w:rsidRDefault="002218A0" w:rsidP="0007786D">
            <w:pPr>
              <w:rPr>
                <w:rFonts w:ascii="Arial" w:hAnsi="Arial" w:cs="Arial"/>
              </w:rPr>
            </w:pPr>
          </w:p>
        </w:tc>
        <w:tc>
          <w:tcPr>
            <w:tcW w:w="1440" w:type="dxa"/>
          </w:tcPr>
          <w:p w:rsidR="002218A0" w:rsidRPr="0007786D" w:rsidRDefault="002218A0" w:rsidP="0007786D">
            <w:pPr>
              <w:jc w:val="center"/>
              <w:rPr>
                <w:rFonts w:ascii="Arial" w:hAnsi="Arial" w:cs="Arial"/>
                <w:b/>
              </w:rPr>
            </w:pPr>
            <w:r w:rsidRPr="0007786D">
              <w:rPr>
                <w:rFonts w:ascii="Arial" w:hAnsi="Arial" w:cs="Arial"/>
                <w:b/>
                <w:sz w:val="22"/>
                <w:szCs w:val="22"/>
              </w:rPr>
              <w:t>X</w:t>
            </w:r>
          </w:p>
        </w:tc>
      </w:tr>
      <w:tr w:rsidR="00E030DD" w:rsidRPr="00BD7224" w:rsidTr="00DB256C">
        <w:tblPrEx>
          <w:tblLook w:val="00A0" w:firstRow="1" w:lastRow="0" w:firstColumn="1" w:lastColumn="0" w:noHBand="0" w:noVBand="0"/>
        </w:tblPrEx>
        <w:trPr>
          <w:gridAfter w:val="1"/>
          <w:wAfter w:w="37" w:type="dxa"/>
        </w:trPr>
        <w:tc>
          <w:tcPr>
            <w:tcW w:w="5397" w:type="dxa"/>
            <w:vAlign w:val="center"/>
          </w:tcPr>
          <w:p w:rsidR="00E030DD" w:rsidRPr="0007786D" w:rsidRDefault="00E030DD" w:rsidP="0007786D">
            <w:pPr>
              <w:pStyle w:val="ListParagraph"/>
              <w:numPr>
                <w:ilvl w:val="0"/>
                <w:numId w:val="9"/>
              </w:numPr>
              <w:rPr>
                <w:rFonts w:ascii="Arial" w:hAnsi="Arial" w:cs="Arial"/>
              </w:rPr>
            </w:pPr>
            <w:r>
              <w:rPr>
                <w:rFonts w:ascii="Arial" w:hAnsi="Arial" w:cs="Arial"/>
                <w:sz w:val="22"/>
                <w:szCs w:val="22"/>
              </w:rPr>
              <w:t>Clean the vents</w:t>
            </w:r>
          </w:p>
        </w:tc>
        <w:tc>
          <w:tcPr>
            <w:tcW w:w="989" w:type="dxa"/>
            <w:vAlign w:val="center"/>
          </w:tcPr>
          <w:p w:rsidR="00E030DD" w:rsidRPr="00BD7224" w:rsidRDefault="00E030DD" w:rsidP="0007786D">
            <w:pPr>
              <w:rPr>
                <w:rFonts w:ascii="Arial" w:hAnsi="Arial" w:cs="Arial"/>
              </w:rPr>
            </w:pPr>
          </w:p>
        </w:tc>
        <w:tc>
          <w:tcPr>
            <w:tcW w:w="1017" w:type="dxa"/>
            <w:vAlign w:val="center"/>
          </w:tcPr>
          <w:p w:rsidR="00E030DD" w:rsidRPr="0007786D" w:rsidRDefault="00E030DD" w:rsidP="0007786D">
            <w:pPr>
              <w:jc w:val="center"/>
              <w:rPr>
                <w:rFonts w:ascii="Arial" w:hAnsi="Arial" w:cs="Arial"/>
                <w:b/>
              </w:rPr>
            </w:pPr>
          </w:p>
        </w:tc>
        <w:tc>
          <w:tcPr>
            <w:tcW w:w="1225" w:type="dxa"/>
            <w:vAlign w:val="center"/>
          </w:tcPr>
          <w:p w:rsidR="00E030DD" w:rsidRPr="00DB256C" w:rsidRDefault="00E030DD" w:rsidP="0007786D">
            <w:pPr>
              <w:rPr>
                <w:rFonts w:ascii="Arial" w:hAnsi="Arial" w:cs="Arial"/>
                <w:highlight w:val="yellow"/>
              </w:rPr>
            </w:pPr>
          </w:p>
        </w:tc>
        <w:tc>
          <w:tcPr>
            <w:tcW w:w="1440" w:type="dxa"/>
            <w:vAlign w:val="center"/>
          </w:tcPr>
          <w:p w:rsidR="00E030DD" w:rsidRPr="00DB256C" w:rsidRDefault="00E030DD" w:rsidP="00DB256C">
            <w:pPr>
              <w:jc w:val="center"/>
              <w:rPr>
                <w:rFonts w:ascii="Arial" w:hAnsi="Arial" w:cs="Arial"/>
                <w:b/>
              </w:rPr>
            </w:pPr>
            <w:r>
              <w:rPr>
                <w:rFonts w:ascii="Arial" w:hAnsi="Arial" w:cs="Arial"/>
                <w:b/>
                <w:sz w:val="22"/>
                <w:szCs w:val="22"/>
              </w:rPr>
              <w:t>X</w:t>
            </w:r>
          </w:p>
        </w:tc>
      </w:tr>
      <w:tr w:rsidR="002218A0" w:rsidRPr="00BD7224" w:rsidTr="00DB256C">
        <w:tblPrEx>
          <w:tblLook w:val="00A0" w:firstRow="1" w:lastRow="0" w:firstColumn="1" w:lastColumn="0" w:noHBand="0" w:noVBand="0"/>
        </w:tblPrEx>
        <w:trPr>
          <w:gridAfter w:val="1"/>
          <w:wAfter w:w="37" w:type="dxa"/>
        </w:trPr>
        <w:tc>
          <w:tcPr>
            <w:tcW w:w="5397" w:type="dxa"/>
            <w:vAlign w:val="center"/>
          </w:tcPr>
          <w:p w:rsidR="002218A0" w:rsidRPr="0007786D" w:rsidRDefault="002218A0" w:rsidP="0007786D">
            <w:pPr>
              <w:pStyle w:val="ListParagraph"/>
              <w:numPr>
                <w:ilvl w:val="0"/>
                <w:numId w:val="9"/>
              </w:numPr>
              <w:rPr>
                <w:rFonts w:ascii="Arial" w:hAnsi="Arial" w:cs="Arial"/>
              </w:rPr>
            </w:pPr>
            <w:r w:rsidRPr="0007786D">
              <w:rPr>
                <w:rFonts w:ascii="Arial" w:hAnsi="Arial" w:cs="Arial"/>
                <w:sz w:val="22"/>
                <w:szCs w:val="22"/>
              </w:rPr>
              <w:t>Lubricate the moving parts and check the basket bearings for wear.</w:t>
            </w:r>
          </w:p>
        </w:tc>
        <w:tc>
          <w:tcPr>
            <w:tcW w:w="989" w:type="dxa"/>
            <w:vAlign w:val="center"/>
          </w:tcPr>
          <w:p w:rsidR="002218A0" w:rsidRPr="00BD7224" w:rsidRDefault="002218A0" w:rsidP="0007786D">
            <w:pPr>
              <w:rPr>
                <w:rFonts w:ascii="Arial" w:hAnsi="Arial" w:cs="Arial"/>
              </w:rPr>
            </w:pPr>
          </w:p>
        </w:tc>
        <w:tc>
          <w:tcPr>
            <w:tcW w:w="1017" w:type="dxa"/>
            <w:vAlign w:val="center"/>
          </w:tcPr>
          <w:p w:rsidR="002218A0" w:rsidRPr="0007786D" w:rsidRDefault="002218A0" w:rsidP="0007786D">
            <w:pPr>
              <w:jc w:val="center"/>
              <w:rPr>
                <w:rFonts w:ascii="Arial" w:hAnsi="Arial" w:cs="Arial"/>
                <w:b/>
              </w:rPr>
            </w:pPr>
          </w:p>
        </w:tc>
        <w:tc>
          <w:tcPr>
            <w:tcW w:w="1225" w:type="dxa"/>
            <w:vAlign w:val="center"/>
          </w:tcPr>
          <w:p w:rsidR="002218A0" w:rsidRPr="00DB256C" w:rsidRDefault="002218A0" w:rsidP="0007786D">
            <w:pPr>
              <w:rPr>
                <w:rFonts w:ascii="Arial" w:hAnsi="Arial" w:cs="Arial"/>
                <w:highlight w:val="yellow"/>
              </w:rPr>
            </w:pPr>
          </w:p>
        </w:tc>
        <w:tc>
          <w:tcPr>
            <w:tcW w:w="1440" w:type="dxa"/>
            <w:vAlign w:val="center"/>
          </w:tcPr>
          <w:p w:rsidR="002218A0" w:rsidRPr="00DB256C" w:rsidRDefault="00DB256C" w:rsidP="00DB256C">
            <w:pPr>
              <w:jc w:val="center"/>
              <w:rPr>
                <w:rFonts w:ascii="Arial" w:hAnsi="Arial" w:cs="Arial"/>
                <w:highlight w:val="yellow"/>
              </w:rPr>
            </w:pPr>
            <w:r w:rsidRPr="00DB256C">
              <w:rPr>
                <w:rFonts w:ascii="Arial" w:hAnsi="Arial" w:cs="Arial"/>
                <w:b/>
                <w:sz w:val="22"/>
                <w:szCs w:val="22"/>
              </w:rPr>
              <w:t>X</w:t>
            </w:r>
          </w:p>
        </w:tc>
      </w:tr>
    </w:tbl>
    <w:p w:rsidR="004653CE" w:rsidRDefault="004653CE"/>
    <w:tbl>
      <w:tblPr>
        <w:tblW w:w="10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270"/>
        <w:gridCol w:w="5910"/>
      </w:tblGrid>
      <w:tr w:rsidR="004653CE" w:rsidRPr="00E030DD" w:rsidTr="004653CE">
        <w:tc>
          <w:tcPr>
            <w:tcW w:w="10068" w:type="dxa"/>
            <w:gridSpan w:val="3"/>
            <w:vAlign w:val="center"/>
          </w:tcPr>
          <w:p w:rsidR="004653CE" w:rsidRPr="00E030DD" w:rsidRDefault="004653CE" w:rsidP="004653CE">
            <w:pPr>
              <w:rPr>
                <w:rFonts w:ascii="Arial" w:hAnsi="Arial" w:cs="Arial"/>
                <w:b/>
                <w:highlight w:val="yellow"/>
              </w:rPr>
            </w:pPr>
            <w:r w:rsidRPr="00E030DD">
              <w:rPr>
                <w:rFonts w:ascii="Arial" w:hAnsi="Arial" w:cs="Arial"/>
                <w:b/>
                <w:sz w:val="22"/>
                <w:szCs w:val="22"/>
                <w:highlight w:val="yellow"/>
              </w:rPr>
              <w:t>Maintenance Instructions</w:t>
            </w:r>
          </w:p>
        </w:tc>
      </w:tr>
      <w:tr w:rsidR="004653CE" w:rsidRPr="00E030DD" w:rsidTr="0022556E">
        <w:tc>
          <w:tcPr>
            <w:tcW w:w="3888" w:type="dxa"/>
            <w:vAlign w:val="center"/>
          </w:tcPr>
          <w:p w:rsidR="004653CE" w:rsidRPr="00E030DD" w:rsidRDefault="004653CE" w:rsidP="004653CE">
            <w:pPr>
              <w:pStyle w:val="ListParagraph"/>
              <w:numPr>
                <w:ilvl w:val="0"/>
                <w:numId w:val="10"/>
              </w:numPr>
              <w:rPr>
                <w:rFonts w:ascii="Arial" w:hAnsi="Arial" w:cs="Arial"/>
                <w:highlight w:val="yellow"/>
              </w:rPr>
            </w:pPr>
            <w:r w:rsidRPr="00E030DD">
              <w:rPr>
                <w:rFonts w:ascii="Arial" w:hAnsi="Arial" w:cs="Arial"/>
                <w:sz w:val="22"/>
                <w:szCs w:val="22"/>
                <w:highlight w:val="yellow"/>
              </w:rPr>
              <w:t>Helmer Quickthaw Operations Manual, section 5.2</w:t>
            </w:r>
          </w:p>
        </w:tc>
        <w:tc>
          <w:tcPr>
            <w:tcW w:w="6180" w:type="dxa"/>
            <w:gridSpan w:val="2"/>
            <w:vAlign w:val="center"/>
          </w:tcPr>
          <w:p w:rsidR="004653CE" w:rsidRPr="00E030DD" w:rsidRDefault="004653CE" w:rsidP="004653CE">
            <w:pPr>
              <w:rPr>
                <w:rFonts w:ascii="Arial" w:hAnsi="Arial" w:cs="Arial"/>
                <w:highlight w:val="yellow"/>
              </w:rPr>
            </w:pPr>
            <w:r w:rsidRPr="00E030DD">
              <w:rPr>
                <w:rFonts w:ascii="Arial" w:hAnsi="Arial" w:cs="Arial"/>
                <w:sz w:val="22"/>
                <w:szCs w:val="22"/>
                <w:highlight w:val="yellow"/>
              </w:rPr>
              <w:t>Instructions for cleaning should be referenced prior to deviation from this SOP.</w:t>
            </w:r>
          </w:p>
        </w:tc>
      </w:tr>
      <w:tr w:rsidR="004653CE" w:rsidRPr="00BD7224" w:rsidTr="0022556E">
        <w:tc>
          <w:tcPr>
            <w:tcW w:w="3888" w:type="dxa"/>
            <w:vAlign w:val="center"/>
          </w:tcPr>
          <w:p w:rsidR="004653CE" w:rsidRPr="00E030DD" w:rsidRDefault="004653CE" w:rsidP="004653CE">
            <w:pPr>
              <w:pStyle w:val="ListParagraph"/>
              <w:numPr>
                <w:ilvl w:val="0"/>
                <w:numId w:val="10"/>
              </w:numPr>
              <w:rPr>
                <w:rFonts w:ascii="Arial" w:hAnsi="Arial" w:cs="Arial"/>
                <w:highlight w:val="yellow"/>
              </w:rPr>
            </w:pPr>
            <w:r w:rsidRPr="00E030DD">
              <w:rPr>
                <w:rFonts w:ascii="Arial" w:hAnsi="Arial" w:cs="Arial"/>
                <w:sz w:val="22"/>
                <w:szCs w:val="22"/>
                <w:highlight w:val="yellow"/>
              </w:rPr>
              <w:t>Cleaning chambers and baskets</w:t>
            </w:r>
          </w:p>
        </w:tc>
        <w:tc>
          <w:tcPr>
            <w:tcW w:w="6180" w:type="dxa"/>
            <w:gridSpan w:val="2"/>
            <w:vAlign w:val="center"/>
          </w:tcPr>
          <w:p w:rsidR="004653CE" w:rsidRPr="00E030DD" w:rsidRDefault="004653CE" w:rsidP="004653CE">
            <w:pPr>
              <w:numPr>
                <w:ilvl w:val="0"/>
                <w:numId w:val="11"/>
              </w:numPr>
              <w:rPr>
                <w:rFonts w:ascii="Arial" w:hAnsi="Arial" w:cs="Arial"/>
                <w:highlight w:val="yellow"/>
              </w:rPr>
            </w:pPr>
            <w:r w:rsidRPr="00E030DD">
              <w:rPr>
                <w:rFonts w:ascii="Arial" w:hAnsi="Arial" w:cs="Arial"/>
                <w:sz w:val="22"/>
                <w:szCs w:val="22"/>
                <w:highlight w:val="yellow"/>
              </w:rPr>
              <w:t>Use a soft cloth or sponge.  Do not use an abrasive material.</w:t>
            </w:r>
          </w:p>
          <w:p w:rsidR="004653CE" w:rsidRPr="00E030DD" w:rsidRDefault="004653CE" w:rsidP="004653CE">
            <w:pPr>
              <w:numPr>
                <w:ilvl w:val="0"/>
                <w:numId w:val="11"/>
              </w:numPr>
              <w:rPr>
                <w:rFonts w:ascii="Arial" w:hAnsi="Arial" w:cs="Arial"/>
                <w:highlight w:val="yellow"/>
              </w:rPr>
            </w:pPr>
            <w:r w:rsidRPr="00E030DD">
              <w:rPr>
                <w:rFonts w:ascii="Arial" w:hAnsi="Arial" w:cs="Arial"/>
                <w:sz w:val="22"/>
                <w:szCs w:val="22"/>
                <w:highlight w:val="yellow"/>
              </w:rPr>
              <w:t xml:space="preserve">Use a mild disinfectant suitable for stainless steel.  In TSL these include soap or TB Quat disinfectant.  </w:t>
            </w:r>
          </w:p>
          <w:p w:rsidR="004653CE" w:rsidRPr="00E030DD" w:rsidRDefault="004653CE" w:rsidP="004653CE">
            <w:pPr>
              <w:numPr>
                <w:ilvl w:val="0"/>
                <w:numId w:val="11"/>
              </w:numPr>
              <w:rPr>
                <w:rFonts w:ascii="Arial" w:hAnsi="Arial" w:cs="Arial"/>
                <w:highlight w:val="yellow"/>
              </w:rPr>
            </w:pPr>
            <w:r w:rsidRPr="00E030DD">
              <w:rPr>
                <w:rFonts w:ascii="Arial" w:hAnsi="Arial" w:cs="Arial"/>
                <w:b/>
                <w:sz w:val="22"/>
                <w:szCs w:val="22"/>
                <w:highlight w:val="yellow"/>
              </w:rPr>
              <w:t>NEVER use bleach</w:t>
            </w:r>
            <w:r w:rsidRPr="00E030DD">
              <w:rPr>
                <w:rFonts w:ascii="Arial" w:hAnsi="Arial" w:cs="Arial"/>
                <w:sz w:val="22"/>
                <w:szCs w:val="22"/>
                <w:highlight w:val="yellow"/>
              </w:rPr>
              <w:t xml:space="preserve"> due to corrosion and damage to plastic parts.</w:t>
            </w:r>
          </w:p>
          <w:p w:rsidR="00E030DD" w:rsidRPr="00E030DD" w:rsidRDefault="00E030DD" w:rsidP="004653CE">
            <w:pPr>
              <w:numPr>
                <w:ilvl w:val="0"/>
                <w:numId w:val="11"/>
              </w:numPr>
              <w:rPr>
                <w:rFonts w:ascii="Arial" w:hAnsi="Arial" w:cs="Arial"/>
                <w:highlight w:val="yellow"/>
              </w:rPr>
            </w:pPr>
            <w:r w:rsidRPr="00E030DD">
              <w:rPr>
                <w:rFonts w:ascii="Arial" w:hAnsi="Arial" w:cs="Arial"/>
                <w:sz w:val="22"/>
                <w:szCs w:val="22"/>
                <w:highlight w:val="yellow"/>
              </w:rPr>
              <w:t>Rinse thoroughly with water including a flow of water down the drain into the sink.</w:t>
            </w:r>
          </w:p>
        </w:tc>
      </w:tr>
      <w:tr w:rsidR="00E030DD" w:rsidRPr="00E030DD" w:rsidTr="00AD0E2B">
        <w:tc>
          <w:tcPr>
            <w:tcW w:w="10068" w:type="dxa"/>
            <w:gridSpan w:val="3"/>
            <w:vAlign w:val="center"/>
          </w:tcPr>
          <w:p w:rsidR="00E030DD" w:rsidRPr="00E030DD" w:rsidRDefault="00E030DD" w:rsidP="00AD0E2B">
            <w:pPr>
              <w:rPr>
                <w:rFonts w:ascii="Arial" w:hAnsi="Arial" w:cs="Arial"/>
                <w:b/>
                <w:highlight w:val="yellow"/>
              </w:rPr>
            </w:pPr>
            <w:r w:rsidRPr="00E030DD">
              <w:rPr>
                <w:rFonts w:ascii="Arial" w:hAnsi="Arial" w:cs="Arial"/>
                <w:b/>
                <w:sz w:val="22"/>
                <w:szCs w:val="22"/>
                <w:highlight w:val="yellow"/>
              </w:rPr>
              <w:lastRenderedPageBreak/>
              <w:t xml:space="preserve">Maintenance Instructions   </w:t>
            </w:r>
            <w:r w:rsidRPr="00E030DD">
              <w:rPr>
                <w:rFonts w:ascii="Arial" w:hAnsi="Arial" w:cs="Arial"/>
                <w:b/>
                <w:sz w:val="18"/>
                <w:szCs w:val="18"/>
                <w:highlight w:val="yellow"/>
              </w:rPr>
              <w:t>(continued)</w:t>
            </w:r>
          </w:p>
        </w:tc>
      </w:tr>
      <w:tr w:rsidR="004653CE" w:rsidRPr="00E030DD" w:rsidTr="004653CE">
        <w:tc>
          <w:tcPr>
            <w:tcW w:w="4158" w:type="dxa"/>
            <w:gridSpan w:val="2"/>
            <w:vAlign w:val="center"/>
          </w:tcPr>
          <w:p w:rsidR="004653CE" w:rsidRPr="00E030DD" w:rsidRDefault="004653CE" w:rsidP="004653CE">
            <w:pPr>
              <w:pStyle w:val="ListParagraph"/>
              <w:numPr>
                <w:ilvl w:val="0"/>
                <w:numId w:val="10"/>
              </w:numPr>
              <w:rPr>
                <w:rFonts w:ascii="Arial" w:hAnsi="Arial" w:cs="Arial"/>
                <w:highlight w:val="yellow"/>
              </w:rPr>
            </w:pPr>
            <w:r w:rsidRPr="00E030DD">
              <w:rPr>
                <w:rFonts w:ascii="Arial" w:hAnsi="Arial" w:cs="Arial"/>
                <w:sz w:val="22"/>
                <w:szCs w:val="22"/>
                <w:highlight w:val="yellow"/>
              </w:rPr>
              <w:t>Cleaning the exterior</w:t>
            </w:r>
            <w:r w:rsidR="00E030DD" w:rsidRPr="00E030DD">
              <w:rPr>
                <w:rFonts w:ascii="Arial" w:hAnsi="Arial" w:cs="Arial"/>
                <w:sz w:val="22"/>
                <w:szCs w:val="22"/>
                <w:highlight w:val="yellow"/>
              </w:rPr>
              <w:t xml:space="preserve"> and vents</w:t>
            </w:r>
          </w:p>
        </w:tc>
        <w:tc>
          <w:tcPr>
            <w:tcW w:w="5910" w:type="dxa"/>
            <w:vAlign w:val="center"/>
          </w:tcPr>
          <w:p w:rsidR="004653CE" w:rsidRPr="00E030DD" w:rsidRDefault="00E030DD" w:rsidP="00E030DD">
            <w:pPr>
              <w:numPr>
                <w:ilvl w:val="0"/>
                <w:numId w:val="10"/>
              </w:numPr>
              <w:rPr>
                <w:rFonts w:ascii="Arial" w:hAnsi="Arial" w:cs="Arial"/>
                <w:highlight w:val="yellow"/>
              </w:rPr>
            </w:pPr>
            <w:r w:rsidRPr="00E030DD">
              <w:rPr>
                <w:rFonts w:ascii="Arial" w:hAnsi="Arial" w:cs="Arial"/>
                <w:sz w:val="22"/>
                <w:szCs w:val="22"/>
                <w:highlight w:val="yellow"/>
              </w:rPr>
              <w:t>Use a soft cloth or sponge.  Do not use an abrasive material.</w:t>
            </w:r>
          </w:p>
          <w:p w:rsidR="00E030DD" w:rsidRPr="00E030DD" w:rsidRDefault="00E030DD" w:rsidP="00E030DD">
            <w:pPr>
              <w:numPr>
                <w:ilvl w:val="0"/>
                <w:numId w:val="10"/>
              </w:numPr>
              <w:rPr>
                <w:rFonts w:ascii="Arial" w:hAnsi="Arial" w:cs="Arial"/>
                <w:highlight w:val="yellow"/>
              </w:rPr>
            </w:pPr>
            <w:r w:rsidRPr="00E030DD">
              <w:rPr>
                <w:rFonts w:ascii="Arial" w:hAnsi="Arial" w:cs="Arial"/>
                <w:sz w:val="22"/>
                <w:szCs w:val="22"/>
                <w:highlight w:val="yellow"/>
              </w:rPr>
              <w:t xml:space="preserve">Use soap or a mild cleaning agent and water.  </w:t>
            </w:r>
          </w:p>
          <w:p w:rsidR="00E030DD" w:rsidRDefault="00E030DD" w:rsidP="00E030DD">
            <w:pPr>
              <w:numPr>
                <w:ilvl w:val="0"/>
                <w:numId w:val="10"/>
              </w:numPr>
              <w:rPr>
                <w:rFonts w:ascii="Arial" w:hAnsi="Arial" w:cs="Arial"/>
                <w:highlight w:val="yellow"/>
              </w:rPr>
            </w:pPr>
            <w:r w:rsidRPr="00E030DD">
              <w:rPr>
                <w:rFonts w:ascii="Arial" w:hAnsi="Arial" w:cs="Arial"/>
                <w:sz w:val="22"/>
                <w:szCs w:val="22"/>
                <w:highlight w:val="yellow"/>
              </w:rPr>
              <w:t>Wipe vents to improve airflow and prevent overheating.</w:t>
            </w:r>
          </w:p>
          <w:p w:rsidR="0022556E" w:rsidRPr="00E030DD" w:rsidRDefault="0022556E" w:rsidP="00E030DD">
            <w:pPr>
              <w:numPr>
                <w:ilvl w:val="0"/>
                <w:numId w:val="10"/>
              </w:numPr>
              <w:rPr>
                <w:rFonts w:ascii="Arial" w:hAnsi="Arial" w:cs="Arial"/>
                <w:highlight w:val="yellow"/>
              </w:rPr>
            </w:pPr>
            <w:r>
              <w:rPr>
                <w:rFonts w:ascii="Arial" w:hAnsi="Arial" w:cs="Arial"/>
                <w:sz w:val="22"/>
                <w:szCs w:val="22"/>
                <w:highlight w:val="yellow"/>
              </w:rPr>
              <w:t>Rinse with water.</w:t>
            </w:r>
          </w:p>
        </w:tc>
      </w:tr>
      <w:tr w:rsidR="004653CE" w:rsidRPr="00BD7224" w:rsidTr="004653CE">
        <w:tc>
          <w:tcPr>
            <w:tcW w:w="4158" w:type="dxa"/>
            <w:gridSpan w:val="2"/>
            <w:vAlign w:val="center"/>
          </w:tcPr>
          <w:p w:rsidR="004653CE" w:rsidRPr="00E030DD" w:rsidRDefault="004653CE" w:rsidP="00E030DD">
            <w:pPr>
              <w:pStyle w:val="ListParagraph"/>
              <w:numPr>
                <w:ilvl w:val="0"/>
                <w:numId w:val="12"/>
              </w:numPr>
              <w:rPr>
                <w:rFonts w:ascii="Arial" w:hAnsi="Arial" w:cs="Arial"/>
                <w:highlight w:val="yellow"/>
              </w:rPr>
            </w:pPr>
            <w:r w:rsidRPr="00E030DD">
              <w:rPr>
                <w:rFonts w:ascii="Arial" w:hAnsi="Arial" w:cs="Arial"/>
                <w:sz w:val="22"/>
                <w:szCs w:val="22"/>
                <w:highlight w:val="yellow"/>
              </w:rPr>
              <w:t>Maintaining Moving Parts</w:t>
            </w:r>
          </w:p>
        </w:tc>
        <w:tc>
          <w:tcPr>
            <w:tcW w:w="5910" w:type="dxa"/>
            <w:vAlign w:val="center"/>
          </w:tcPr>
          <w:p w:rsidR="004653CE" w:rsidRPr="00E030DD" w:rsidRDefault="00E030DD" w:rsidP="00E030DD">
            <w:pPr>
              <w:numPr>
                <w:ilvl w:val="0"/>
                <w:numId w:val="12"/>
              </w:numPr>
              <w:rPr>
                <w:rFonts w:ascii="Arial" w:hAnsi="Arial" w:cs="Arial"/>
                <w:highlight w:val="yellow"/>
              </w:rPr>
            </w:pPr>
            <w:r w:rsidRPr="00E030DD">
              <w:rPr>
                <w:rFonts w:ascii="Arial" w:hAnsi="Arial" w:cs="Arial"/>
                <w:sz w:val="22"/>
                <w:szCs w:val="22"/>
                <w:highlight w:val="yellow"/>
              </w:rPr>
              <w:t>Bearings should be checked regularly for wear.</w:t>
            </w:r>
          </w:p>
          <w:p w:rsidR="00E030DD" w:rsidRPr="00E030DD" w:rsidRDefault="00E030DD" w:rsidP="00E030DD">
            <w:pPr>
              <w:numPr>
                <w:ilvl w:val="0"/>
                <w:numId w:val="12"/>
              </w:numPr>
              <w:rPr>
                <w:rFonts w:ascii="Arial" w:hAnsi="Arial" w:cs="Arial"/>
                <w:highlight w:val="yellow"/>
              </w:rPr>
            </w:pPr>
            <w:r w:rsidRPr="00E030DD">
              <w:rPr>
                <w:rFonts w:ascii="Arial" w:hAnsi="Arial" w:cs="Arial"/>
                <w:sz w:val="22"/>
                <w:szCs w:val="22"/>
                <w:highlight w:val="yellow"/>
              </w:rPr>
              <w:t>For lubrication, refer to the Operations Manual, section 5.3.</w:t>
            </w:r>
          </w:p>
        </w:tc>
      </w:tr>
    </w:tbl>
    <w:p w:rsidR="002218A0" w:rsidRDefault="002218A0" w:rsidP="0007786D">
      <w:pPr>
        <w:rPr>
          <w:rFonts w:ascii="Arial" w:hAnsi="Arial" w:cs="Arial"/>
          <w:b/>
          <w:sz w:val="22"/>
          <w:szCs w:val="22"/>
        </w:rPr>
      </w:pPr>
    </w:p>
    <w:p w:rsidR="002218A0" w:rsidRDefault="002218A0" w:rsidP="002136C5">
      <w:pPr>
        <w:ind w:left="-120"/>
        <w:rPr>
          <w:rFonts w:ascii="Arial" w:hAnsi="Arial" w:cs="Arial"/>
          <w:b/>
          <w:sz w:val="22"/>
          <w:szCs w:val="22"/>
        </w:rPr>
      </w:pPr>
      <w:r>
        <w:rPr>
          <w:rFonts w:ascii="Arial" w:hAnsi="Arial" w:cs="Arial"/>
          <w:b/>
          <w:sz w:val="22"/>
          <w:szCs w:val="22"/>
        </w:rPr>
        <w:t>References:</w:t>
      </w:r>
    </w:p>
    <w:p w:rsidR="002218A0" w:rsidRDefault="002218A0" w:rsidP="002136C5">
      <w:pPr>
        <w:ind w:left="-120"/>
        <w:rPr>
          <w:rFonts w:ascii="Arial" w:hAnsi="Arial" w:cs="Arial"/>
          <w:sz w:val="22"/>
          <w:szCs w:val="22"/>
        </w:rPr>
      </w:pPr>
      <w:r>
        <w:rPr>
          <w:rFonts w:ascii="Arial" w:hAnsi="Arial" w:cs="Arial"/>
          <w:sz w:val="22"/>
          <w:szCs w:val="22"/>
        </w:rPr>
        <w:t>Helmer Quick Thaw Plasma Thawing System Operation Manual</w:t>
      </w:r>
    </w:p>
    <w:p w:rsidR="002218A0" w:rsidRDefault="002218A0" w:rsidP="002136C5">
      <w:pPr>
        <w:ind w:left="-120"/>
        <w:rPr>
          <w:rFonts w:ascii="Arial" w:hAnsi="Arial" w:cs="Arial"/>
          <w:sz w:val="22"/>
          <w:szCs w:val="22"/>
        </w:rPr>
      </w:pPr>
    </w:p>
    <w:p w:rsidR="002218A0" w:rsidRPr="005C0795" w:rsidRDefault="002218A0" w:rsidP="002136C5">
      <w:pPr>
        <w:ind w:left="-120"/>
      </w:pPr>
      <w:r w:rsidRPr="00CC4814">
        <w:rPr>
          <w:rFonts w:ascii="Arial" w:hAnsi="Arial" w:cs="Arial"/>
          <w:sz w:val="22"/>
          <w:szCs w:val="22"/>
        </w:rPr>
        <w:t>Standards for Blood Banks and Transfusion Services, Current Edition: American Association of Blood Banks.</w:t>
      </w:r>
      <w:r>
        <w:rPr>
          <w:rFonts w:ascii="Arial" w:hAnsi="Arial" w:cs="Arial"/>
          <w:sz w:val="22"/>
          <w:szCs w:val="22"/>
        </w:rPr>
        <w:t xml:space="preserve"> AABB Press, </w:t>
      </w:r>
      <w:r w:rsidRPr="00CC4814">
        <w:rPr>
          <w:rFonts w:ascii="Arial" w:hAnsi="Arial" w:cs="Arial"/>
          <w:sz w:val="22"/>
          <w:szCs w:val="22"/>
        </w:rPr>
        <w:t>Bethesda, MD</w:t>
      </w:r>
      <w:r>
        <w:rPr>
          <w:rFonts w:ascii="Arial" w:hAnsi="Arial" w:cs="Arial"/>
          <w:sz w:val="22"/>
          <w:szCs w:val="22"/>
        </w:rPr>
        <w:t>.</w:t>
      </w:r>
    </w:p>
    <w:sectPr w:rsidR="002218A0" w:rsidRPr="005C0795" w:rsidSect="000778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A1" w:rsidRDefault="009B47A1" w:rsidP="005F64ED">
      <w:r>
        <w:separator/>
      </w:r>
    </w:p>
  </w:endnote>
  <w:endnote w:type="continuationSeparator" w:id="0">
    <w:p w:rsidR="009B47A1" w:rsidRDefault="009B47A1" w:rsidP="005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4" w:rsidRDefault="00771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4" w:rsidRDefault="00771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4" w:rsidRDefault="00771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A1" w:rsidRDefault="009B47A1" w:rsidP="005F64ED">
      <w:r>
        <w:separator/>
      </w:r>
    </w:p>
  </w:footnote>
  <w:footnote w:type="continuationSeparator" w:id="0">
    <w:p w:rsidR="009B47A1" w:rsidRDefault="009B47A1" w:rsidP="005F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4" w:rsidRDefault="00771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A1" w:rsidRPr="00771744" w:rsidRDefault="00771744">
    <w:pPr>
      <w:pStyle w:val="Header"/>
      <w:rPr>
        <w:rFonts w:ascii="Arial" w:hAnsi="Arial" w:cs="Arial"/>
        <w:b/>
        <w:sz w:val="22"/>
        <w:szCs w:val="22"/>
      </w:rPr>
    </w:pPr>
    <w:r>
      <w:rPr>
        <w:rFonts w:ascii="Arial" w:hAnsi="Arial" w:cs="Arial"/>
        <w:b/>
        <w:sz w:val="22"/>
        <w:szCs w:val="22"/>
      </w:rPr>
      <w:t xml:space="preserve">Plasma Thawer QC and </w:t>
    </w:r>
    <w:r>
      <w:rPr>
        <w:rFonts w:ascii="Arial" w:hAnsi="Arial" w:cs="Arial"/>
        <w:b/>
        <w:sz w:val="22"/>
        <w:szCs w:val="22"/>
      </w:rPr>
      <w:t>Maintenance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A1" w:rsidRPr="0007786D" w:rsidRDefault="00771744" w:rsidP="005F64ED">
    <w:pPr>
      <w:jc w:val="both"/>
      <w:rPr>
        <w:rFonts w:ascii="Times New Roman" w:hAnsi="Times New Roman"/>
        <w:sz w:val="16"/>
        <w:szCs w:val="16"/>
      </w:rPr>
    </w:pPr>
    <w:r>
      <w:rPr>
        <w:rFonts w:ascii="Verdana" w:hAnsi="Verdana"/>
        <w:noProof/>
        <w:color w:val="0082D9"/>
        <w:sz w:val="17"/>
        <w:szCs w:val="17"/>
      </w:rPr>
      <w:drawing>
        <wp:inline distT="0" distB="0" distL="0" distR="0">
          <wp:extent cx="6362700" cy="66675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9B47A1" w:rsidRPr="00BD7224" w:rsidTr="0007786D">
      <w:trPr>
        <w:cantSplit/>
        <w:trHeight w:val="480"/>
      </w:trPr>
      <w:tc>
        <w:tcPr>
          <w:tcW w:w="5067" w:type="dxa"/>
          <w:vMerge w:val="restart"/>
          <w:tcBorders>
            <w:top w:val="double" w:sz="4" w:space="0" w:color="auto"/>
            <w:bottom w:val="single" w:sz="4" w:space="0" w:color="auto"/>
            <w:right w:val="single" w:sz="4" w:space="0" w:color="auto"/>
          </w:tcBorders>
          <w:vAlign w:val="center"/>
        </w:tcPr>
        <w:p w:rsidR="009B47A1" w:rsidRPr="005C0795" w:rsidRDefault="009B47A1" w:rsidP="005F64ED">
          <w:pPr>
            <w:rPr>
              <w:rFonts w:ascii="Arial" w:hAnsi="Arial" w:cs="Arial"/>
              <w:b/>
            </w:rPr>
          </w:pPr>
          <w:smartTag w:uri="urn:schemas-microsoft-com:office:smarttags" w:element="PlaceType">
            <w:smartTag w:uri="urn:schemas-microsoft-com:office:smarttags" w:element="place">
              <w:r w:rsidRPr="005C0795">
                <w:rPr>
                  <w:rFonts w:ascii="Arial" w:hAnsi="Arial" w:cs="Arial"/>
                  <w:b/>
                  <w:sz w:val="22"/>
                  <w:szCs w:val="22"/>
                </w:rPr>
                <w:t>University</w:t>
              </w:r>
            </w:smartTag>
            <w:r w:rsidRPr="005C0795">
              <w:rPr>
                <w:rFonts w:ascii="Arial" w:hAnsi="Arial" w:cs="Arial"/>
                <w:b/>
                <w:sz w:val="22"/>
                <w:szCs w:val="22"/>
              </w:rPr>
              <w:t xml:space="preserve"> of </w:t>
            </w:r>
            <w:smartTag w:uri="urn:schemas-microsoft-com:office:smarttags" w:element="PlaceName">
              <w:r w:rsidRPr="005C0795">
                <w:rPr>
                  <w:rFonts w:ascii="Arial" w:hAnsi="Arial" w:cs="Arial"/>
                  <w:b/>
                  <w:sz w:val="22"/>
                  <w:szCs w:val="22"/>
                </w:rPr>
                <w:t>Washington</w:t>
              </w:r>
            </w:smartTag>
          </w:smartTag>
          <w:r w:rsidRPr="005C0795">
            <w:rPr>
              <w:rFonts w:ascii="Arial" w:hAnsi="Arial" w:cs="Arial"/>
              <w:b/>
              <w:sz w:val="22"/>
              <w:szCs w:val="22"/>
            </w:rPr>
            <w:t xml:space="preserve">, </w:t>
          </w:r>
        </w:p>
        <w:p w:rsidR="009B47A1" w:rsidRPr="005C0795" w:rsidRDefault="009B47A1" w:rsidP="005F64ED">
          <w:pPr>
            <w:rPr>
              <w:rFonts w:ascii="Arial" w:hAnsi="Arial" w:cs="Arial"/>
              <w:b/>
            </w:rPr>
          </w:pPr>
          <w:smartTag w:uri="urn:schemas-microsoft-com:office:smarttags" w:element="PostalCode">
            <w:smartTag w:uri="urn:schemas-microsoft-com:office:smarttags" w:element="PlaceName">
              <w:r w:rsidRPr="005C0795">
                <w:rPr>
                  <w:rFonts w:ascii="Arial" w:hAnsi="Arial" w:cs="Arial"/>
                  <w:b/>
                  <w:sz w:val="22"/>
                  <w:szCs w:val="22"/>
                </w:rPr>
                <w:t>Harborview</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Medical</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Center</w:t>
              </w:r>
            </w:smartTag>
          </w:smartTag>
        </w:p>
        <w:p w:rsidR="009B47A1" w:rsidRPr="005C0795" w:rsidRDefault="009B47A1" w:rsidP="005F64ED">
          <w:pPr>
            <w:rPr>
              <w:rFonts w:ascii="Arial" w:hAnsi="Arial" w:cs="Arial"/>
              <w:b/>
            </w:rPr>
          </w:pPr>
          <w:smartTag w:uri="urn:schemas-microsoft-com:office:smarttags" w:element="PostalCode">
            <w:r w:rsidRPr="005C0795">
              <w:rPr>
                <w:rFonts w:ascii="Arial" w:hAnsi="Arial" w:cs="Arial"/>
                <w:b/>
                <w:sz w:val="22"/>
                <w:szCs w:val="22"/>
              </w:rPr>
              <w:t>325 9</w:t>
            </w:r>
            <w:r w:rsidRPr="005C0795">
              <w:rPr>
                <w:rFonts w:ascii="Arial" w:hAnsi="Arial" w:cs="Arial"/>
                <w:b/>
                <w:sz w:val="22"/>
                <w:szCs w:val="22"/>
                <w:vertAlign w:val="superscript"/>
              </w:rPr>
              <w:t>th</w:t>
            </w:r>
            <w:r w:rsidRPr="005C0795">
              <w:rPr>
                <w:rFonts w:ascii="Arial" w:hAnsi="Arial" w:cs="Arial"/>
                <w:b/>
                <w:sz w:val="22"/>
                <w:szCs w:val="22"/>
              </w:rPr>
              <w:t xml:space="preserve"> Ave.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Seattle</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WA</w:t>
            </w:r>
          </w:smartTag>
          <w:r w:rsidRPr="005C0795">
            <w:rPr>
              <w:rFonts w:ascii="Arial" w:hAnsi="Arial" w:cs="Arial"/>
              <w:b/>
              <w:sz w:val="22"/>
              <w:szCs w:val="22"/>
            </w:rPr>
            <w:t xml:space="preserve">,  </w:t>
          </w:r>
          <w:smartTag w:uri="urn:schemas-microsoft-com:office:smarttags" w:element="PostalCode">
            <w:r w:rsidRPr="005C0795">
              <w:rPr>
                <w:rFonts w:ascii="Arial" w:hAnsi="Arial" w:cs="Arial"/>
                <w:b/>
                <w:sz w:val="22"/>
                <w:szCs w:val="22"/>
              </w:rPr>
              <w:t>98104</w:t>
            </w:r>
          </w:smartTag>
        </w:p>
        <w:p w:rsidR="009B47A1" w:rsidRPr="005C0795" w:rsidRDefault="009B47A1" w:rsidP="005F64ED">
          <w:pPr>
            <w:rPr>
              <w:rFonts w:ascii="Arial" w:hAnsi="Arial" w:cs="Arial"/>
              <w:b/>
            </w:rPr>
          </w:pPr>
          <w:r w:rsidRPr="005C0795">
            <w:rPr>
              <w:rFonts w:ascii="Arial" w:hAnsi="Arial" w:cs="Arial"/>
              <w:b/>
              <w:sz w:val="22"/>
              <w:szCs w:val="22"/>
            </w:rPr>
            <w:t>Transfusion Services Laboratory</w:t>
          </w:r>
        </w:p>
        <w:p w:rsidR="009B47A1" w:rsidRPr="005C0795" w:rsidRDefault="009B47A1" w:rsidP="005F64ED">
          <w:pPr>
            <w:rPr>
              <w:rFonts w:ascii="Arial" w:hAnsi="Arial" w:cs="Arial"/>
              <w:b/>
            </w:rPr>
          </w:pPr>
          <w:r w:rsidRPr="005C0795">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9B47A1" w:rsidRPr="005C0795" w:rsidRDefault="009B47A1" w:rsidP="005F64ED">
          <w:pPr>
            <w:rPr>
              <w:rFonts w:ascii="Arial" w:hAnsi="Arial" w:cs="Arial"/>
              <w:b/>
            </w:rPr>
          </w:pPr>
          <w:r w:rsidRPr="005C0795">
            <w:rPr>
              <w:rFonts w:ascii="Arial" w:hAnsi="Arial" w:cs="Arial"/>
              <w:b/>
              <w:sz w:val="22"/>
              <w:szCs w:val="22"/>
            </w:rPr>
            <w:t>Original Effective Date:</w:t>
          </w:r>
        </w:p>
        <w:p w:rsidR="009B47A1" w:rsidRPr="005C0795" w:rsidRDefault="009B47A1" w:rsidP="005F64ED">
          <w:pPr>
            <w:jc w:val="both"/>
            <w:rPr>
              <w:rFonts w:ascii="Arial" w:hAnsi="Arial" w:cs="Arial"/>
              <w:b/>
            </w:rPr>
          </w:pPr>
          <w:r w:rsidRPr="005C0795">
            <w:rPr>
              <w:rFonts w:ascii="Arial" w:hAnsi="Arial" w:cs="Arial"/>
              <w:b/>
              <w:sz w:val="22"/>
              <w:szCs w:val="22"/>
            </w:rPr>
            <w:t xml:space="preserve"> </w:t>
          </w:r>
          <w:r>
            <w:rPr>
              <w:rFonts w:ascii="Arial" w:hAnsi="Arial" w:cs="Arial"/>
              <w:sz w:val="22"/>
              <w:szCs w:val="22"/>
            </w:rPr>
            <w:t>April</w:t>
          </w:r>
          <w:r w:rsidRPr="005C0795">
            <w:rPr>
              <w:rFonts w:ascii="Arial" w:hAnsi="Arial" w:cs="Arial"/>
              <w:sz w:val="22"/>
              <w:szCs w:val="22"/>
            </w:rPr>
            <w:t xml:space="preserve"> 1</w:t>
          </w:r>
          <w:r w:rsidRPr="005C0795">
            <w:rPr>
              <w:rFonts w:ascii="Arial" w:hAnsi="Arial" w:cs="Arial"/>
              <w:sz w:val="22"/>
              <w:szCs w:val="22"/>
              <w:vertAlign w:val="superscript"/>
            </w:rPr>
            <w:t>s</w:t>
          </w:r>
          <w:r w:rsidRPr="002136C5">
            <w:rPr>
              <w:rFonts w:ascii="Arial" w:hAnsi="Arial" w:cs="Arial"/>
              <w:sz w:val="22"/>
              <w:szCs w:val="22"/>
              <w:vertAlign w:val="superscript"/>
            </w:rPr>
            <w:t>t</w:t>
          </w:r>
          <w:r w:rsidRPr="002136C5">
            <w:rPr>
              <w:rFonts w:ascii="Arial" w:hAnsi="Arial" w:cs="Arial"/>
              <w:sz w:val="22"/>
              <w:szCs w:val="22"/>
            </w:rPr>
            <w:t xml:space="preserve"> 2011</w:t>
          </w:r>
        </w:p>
      </w:tc>
      <w:tc>
        <w:tcPr>
          <w:tcW w:w="2251" w:type="dxa"/>
          <w:tcBorders>
            <w:top w:val="double" w:sz="4" w:space="0" w:color="auto"/>
            <w:left w:val="nil"/>
            <w:bottom w:val="nil"/>
          </w:tcBorders>
        </w:tcPr>
        <w:p w:rsidR="009B47A1" w:rsidRPr="005C0795" w:rsidRDefault="009B47A1" w:rsidP="005F64ED">
          <w:pPr>
            <w:jc w:val="both"/>
            <w:rPr>
              <w:rFonts w:ascii="Arial" w:hAnsi="Arial" w:cs="Arial"/>
              <w:b/>
            </w:rPr>
          </w:pPr>
          <w:r w:rsidRPr="005C0795">
            <w:rPr>
              <w:rFonts w:ascii="Arial" w:hAnsi="Arial" w:cs="Arial"/>
              <w:b/>
              <w:sz w:val="22"/>
              <w:szCs w:val="22"/>
            </w:rPr>
            <w:t xml:space="preserve">Number: </w:t>
          </w:r>
        </w:p>
        <w:p w:rsidR="009B47A1" w:rsidRPr="005C0795" w:rsidRDefault="00E030DD" w:rsidP="005F64ED">
          <w:pPr>
            <w:jc w:val="both"/>
            <w:rPr>
              <w:rFonts w:ascii="Arial" w:hAnsi="Arial" w:cs="Arial"/>
              <w:b/>
            </w:rPr>
          </w:pPr>
          <w:r w:rsidRPr="00771744">
            <w:rPr>
              <w:rFonts w:ascii="Arial" w:hAnsi="Arial" w:cs="Arial"/>
              <w:b/>
            </w:rPr>
            <w:t>3007-3</w:t>
          </w:r>
        </w:p>
      </w:tc>
    </w:tr>
    <w:tr w:rsidR="009B47A1" w:rsidRPr="00BD7224" w:rsidTr="0007786D">
      <w:trPr>
        <w:cantSplit/>
        <w:trHeight w:val="132"/>
      </w:trPr>
      <w:tc>
        <w:tcPr>
          <w:tcW w:w="5067" w:type="dxa"/>
          <w:vMerge/>
          <w:tcBorders>
            <w:top w:val="nil"/>
            <w:bottom w:val="single" w:sz="4" w:space="0" w:color="auto"/>
            <w:right w:val="single" w:sz="4" w:space="0" w:color="auto"/>
          </w:tcBorders>
        </w:tcPr>
        <w:p w:rsidR="009B47A1" w:rsidRPr="005C0795" w:rsidRDefault="009B47A1" w:rsidP="005F64ED">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9B47A1" w:rsidRPr="005C0795" w:rsidRDefault="009B47A1" w:rsidP="005F64ED">
          <w:pPr>
            <w:jc w:val="both"/>
            <w:rPr>
              <w:rFonts w:ascii="Arial" w:hAnsi="Arial" w:cs="Arial"/>
              <w:b/>
            </w:rPr>
          </w:pPr>
          <w:r w:rsidRPr="005C0795">
            <w:rPr>
              <w:rFonts w:ascii="Arial" w:hAnsi="Arial" w:cs="Arial"/>
              <w:b/>
              <w:sz w:val="22"/>
              <w:szCs w:val="22"/>
            </w:rPr>
            <w:t>Revision Effective Date:</w:t>
          </w:r>
        </w:p>
        <w:p w:rsidR="009B47A1" w:rsidRPr="00DB256C" w:rsidRDefault="00771744" w:rsidP="005F64ED">
          <w:pPr>
            <w:jc w:val="both"/>
            <w:rPr>
              <w:rFonts w:ascii="Arial" w:hAnsi="Arial" w:cs="Arial"/>
            </w:rPr>
          </w:pPr>
          <w:r>
            <w:rPr>
              <w:rFonts w:ascii="Arial" w:hAnsi="Arial" w:cs="Arial"/>
            </w:rPr>
            <w:t>2/14/14</w:t>
          </w:r>
        </w:p>
      </w:tc>
      <w:tc>
        <w:tcPr>
          <w:tcW w:w="2251" w:type="dxa"/>
          <w:tcBorders>
            <w:top w:val="single" w:sz="4" w:space="0" w:color="auto"/>
            <w:left w:val="nil"/>
            <w:bottom w:val="single" w:sz="4" w:space="0" w:color="auto"/>
          </w:tcBorders>
        </w:tcPr>
        <w:p w:rsidR="009B47A1" w:rsidRPr="002136C5" w:rsidRDefault="009B47A1" w:rsidP="005F64ED">
          <w:pPr>
            <w:jc w:val="both"/>
            <w:rPr>
              <w:rFonts w:ascii="Arial" w:hAnsi="Arial" w:cs="Arial"/>
            </w:rPr>
          </w:pPr>
          <w:r w:rsidRPr="005C0795">
            <w:rPr>
              <w:rFonts w:ascii="Arial" w:hAnsi="Arial" w:cs="Arial"/>
              <w:b/>
              <w:sz w:val="22"/>
              <w:szCs w:val="22"/>
            </w:rPr>
            <w:t xml:space="preserve">Pages: </w:t>
          </w:r>
          <w:r>
            <w:rPr>
              <w:rFonts w:ascii="Arial" w:hAnsi="Arial" w:cs="Arial"/>
              <w:sz w:val="22"/>
              <w:szCs w:val="22"/>
            </w:rPr>
            <w:t>1</w:t>
          </w:r>
        </w:p>
      </w:tc>
    </w:tr>
    <w:tr w:rsidR="009B47A1" w:rsidRPr="00BD7224" w:rsidTr="0007786D">
      <w:trPr>
        <w:cantSplit/>
        <w:trHeight w:val="590"/>
      </w:trPr>
      <w:tc>
        <w:tcPr>
          <w:tcW w:w="10065" w:type="dxa"/>
          <w:gridSpan w:val="3"/>
          <w:tcBorders>
            <w:top w:val="nil"/>
            <w:bottom w:val="double" w:sz="4" w:space="0" w:color="auto"/>
          </w:tcBorders>
          <w:vAlign w:val="center"/>
        </w:tcPr>
        <w:p w:rsidR="009B47A1" w:rsidRPr="0007786D" w:rsidRDefault="009B47A1" w:rsidP="005F64ED">
          <w:pPr>
            <w:rPr>
              <w:rFonts w:ascii="Arial" w:hAnsi="Arial" w:cs="Arial"/>
              <w:sz w:val="28"/>
              <w:szCs w:val="28"/>
            </w:rPr>
          </w:pPr>
          <w:r>
            <w:rPr>
              <w:rFonts w:ascii="Arial" w:hAnsi="Arial" w:cs="Arial"/>
              <w:sz w:val="28"/>
              <w:szCs w:val="28"/>
            </w:rPr>
            <w:t>TITLE:  Plasma Thawer</w:t>
          </w:r>
          <w:r w:rsidRPr="0007786D">
            <w:rPr>
              <w:rFonts w:ascii="Arial" w:hAnsi="Arial" w:cs="Arial"/>
              <w:sz w:val="28"/>
              <w:szCs w:val="28"/>
            </w:rPr>
            <w:t xml:space="preserve"> QC and Maintenance</w:t>
          </w:r>
        </w:p>
      </w:tc>
    </w:tr>
  </w:tbl>
  <w:p w:rsidR="009B47A1" w:rsidRDefault="009B47A1" w:rsidP="005C0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63F"/>
    <w:multiLevelType w:val="hybridMultilevel"/>
    <w:tmpl w:val="426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33159"/>
    <w:multiLevelType w:val="hybridMultilevel"/>
    <w:tmpl w:val="32488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A06708"/>
    <w:multiLevelType w:val="hybridMultilevel"/>
    <w:tmpl w:val="E6A4D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94D4675"/>
    <w:multiLevelType w:val="hybridMultilevel"/>
    <w:tmpl w:val="955C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E8B4D0C"/>
    <w:multiLevelType w:val="hybridMultilevel"/>
    <w:tmpl w:val="05142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F46010"/>
    <w:multiLevelType w:val="hybridMultilevel"/>
    <w:tmpl w:val="0316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11395"/>
    <w:multiLevelType w:val="hybridMultilevel"/>
    <w:tmpl w:val="8B9E8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11"/>
  </w:num>
  <w:num w:numId="6">
    <w:abstractNumId w:val="3"/>
  </w:num>
  <w:num w:numId="7">
    <w:abstractNumId w:val="10"/>
  </w:num>
  <w:num w:numId="8">
    <w:abstractNumId w:val="9"/>
  </w:num>
  <w:num w:numId="9">
    <w:abstractNumId w:val="0"/>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27E68"/>
    <w:rsid w:val="00040C5E"/>
    <w:rsid w:val="00057968"/>
    <w:rsid w:val="0007786D"/>
    <w:rsid w:val="00083FDC"/>
    <w:rsid w:val="000A485A"/>
    <w:rsid w:val="000A63E0"/>
    <w:rsid w:val="000D61D0"/>
    <w:rsid w:val="001810FE"/>
    <w:rsid w:val="001F3CFF"/>
    <w:rsid w:val="002136C5"/>
    <w:rsid w:val="002218A0"/>
    <w:rsid w:val="0022556E"/>
    <w:rsid w:val="00235054"/>
    <w:rsid w:val="002E42B2"/>
    <w:rsid w:val="00342916"/>
    <w:rsid w:val="003443F8"/>
    <w:rsid w:val="003965C4"/>
    <w:rsid w:val="003E7609"/>
    <w:rsid w:val="004640EC"/>
    <w:rsid w:val="004653CE"/>
    <w:rsid w:val="004772D0"/>
    <w:rsid w:val="00490E5B"/>
    <w:rsid w:val="004B5804"/>
    <w:rsid w:val="004F7AA1"/>
    <w:rsid w:val="00524EE0"/>
    <w:rsid w:val="005773D2"/>
    <w:rsid w:val="0058646B"/>
    <w:rsid w:val="00591718"/>
    <w:rsid w:val="005C0795"/>
    <w:rsid w:val="005D60F5"/>
    <w:rsid w:val="005E68D5"/>
    <w:rsid w:val="005F503A"/>
    <w:rsid w:val="005F64ED"/>
    <w:rsid w:val="005F679D"/>
    <w:rsid w:val="006A7406"/>
    <w:rsid w:val="006B0152"/>
    <w:rsid w:val="00716F9D"/>
    <w:rsid w:val="007570E4"/>
    <w:rsid w:val="00771744"/>
    <w:rsid w:val="008E5061"/>
    <w:rsid w:val="00932AE3"/>
    <w:rsid w:val="00937CFC"/>
    <w:rsid w:val="00962215"/>
    <w:rsid w:val="009B47A1"/>
    <w:rsid w:val="009C5785"/>
    <w:rsid w:val="009C5DA9"/>
    <w:rsid w:val="00A30769"/>
    <w:rsid w:val="00AC29A1"/>
    <w:rsid w:val="00AC7BE7"/>
    <w:rsid w:val="00B467D6"/>
    <w:rsid w:val="00B94FE2"/>
    <w:rsid w:val="00B96316"/>
    <w:rsid w:val="00BD7224"/>
    <w:rsid w:val="00BF6601"/>
    <w:rsid w:val="00C01713"/>
    <w:rsid w:val="00C10B69"/>
    <w:rsid w:val="00C22597"/>
    <w:rsid w:val="00C23790"/>
    <w:rsid w:val="00C447BA"/>
    <w:rsid w:val="00CB42B4"/>
    <w:rsid w:val="00CC0D56"/>
    <w:rsid w:val="00CC37F6"/>
    <w:rsid w:val="00CC4814"/>
    <w:rsid w:val="00CF26C6"/>
    <w:rsid w:val="00D549C7"/>
    <w:rsid w:val="00D63CA6"/>
    <w:rsid w:val="00D74260"/>
    <w:rsid w:val="00DB256C"/>
    <w:rsid w:val="00E030DD"/>
    <w:rsid w:val="00E14CF3"/>
    <w:rsid w:val="00F17B12"/>
    <w:rsid w:val="00F57092"/>
    <w:rsid w:val="00FA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semiHidden/>
    <w:rsid w:val="005F64ED"/>
    <w:pPr>
      <w:tabs>
        <w:tab w:val="center" w:pos="4680"/>
        <w:tab w:val="right" w:pos="9360"/>
      </w:tabs>
    </w:pPr>
  </w:style>
  <w:style w:type="character" w:customStyle="1" w:styleId="FooterChar">
    <w:name w:val="Footer Char"/>
    <w:basedOn w:val="DefaultParagraphFont"/>
    <w:link w:val="Footer"/>
    <w:uiPriority w:val="99"/>
    <w:semiHidden/>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91718"/>
    <w:rPr>
      <w:rFonts w:ascii="Cambria"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5F64ED"/>
    <w:pPr>
      <w:tabs>
        <w:tab w:val="center" w:pos="4680"/>
        <w:tab w:val="right" w:pos="9360"/>
      </w:tabs>
    </w:pPr>
  </w:style>
  <w:style w:type="character" w:customStyle="1" w:styleId="HeaderChar">
    <w:name w:val="Header Char"/>
    <w:basedOn w:val="DefaultParagraphFont"/>
    <w:link w:val="Header"/>
    <w:uiPriority w:val="99"/>
    <w:locked/>
    <w:rsid w:val="005F64ED"/>
    <w:rPr>
      <w:rFonts w:cs="Times New Roman"/>
      <w:sz w:val="24"/>
      <w:szCs w:val="24"/>
    </w:rPr>
  </w:style>
  <w:style w:type="paragraph" w:styleId="Footer">
    <w:name w:val="footer"/>
    <w:basedOn w:val="Normal"/>
    <w:link w:val="FooterChar"/>
    <w:uiPriority w:val="99"/>
    <w:semiHidden/>
    <w:rsid w:val="005F64ED"/>
    <w:pPr>
      <w:tabs>
        <w:tab w:val="center" w:pos="4680"/>
        <w:tab w:val="right" w:pos="9360"/>
      </w:tabs>
    </w:pPr>
  </w:style>
  <w:style w:type="character" w:customStyle="1" w:styleId="FooterChar">
    <w:name w:val="Footer Char"/>
    <w:basedOn w:val="DefaultParagraphFont"/>
    <w:link w:val="Footer"/>
    <w:uiPriority w:val="99"/>
    <w:semiHidden/>
    <w:locked/>
    <w:rsid w:val="005F64ED"/>
    <w:rPr>
      <w:rFonts w:cs="Times New Roman"/>
      <w:sz w:val="24"/>
      <w:szCs w:val="24"/>
    </w:rPr>
  </w:style>
  <w:style w:type="paragraph" w:styleId="BalloonText">
    <w:name w:val="Balloon Text"/>
    <w:basedOn w:val="Normal"/>
    <w:link w:val="BalloonTextChar"/>
    <w:uiPriority w:val="99"/>
    <w:semiHidden/>
    <w:rsid w:val="005F64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1795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PURPOSE:  This procedure documents the steps for quality control and the schedule for preventive maintenance for the Helmer Quickthaw System</vt:lpstr>
    </vt:vector>
  </TitlesOfParts>
  <Company>University of Washington</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This procedure documents the steps for quality control and the schedule for preventive maintenance for the Helmer Quickthaw System</dc:title>
  <dc:subject/>
  <dc:creator>Brenda Hayden</dc:creator>
  <cp:keywords/>
  <dc:description/>
  <cp:lastModifiedBy>Brenda Hayden</cp:lastModifiedBy>
  <cp:revision>2</cp:revision>
  <cp:lastPrinted>2011-10-07T23:09:00Z</cp:lastPrinted>
  <dcterms:created xsi:type="dcterms:W3CDTF">2014-02-05T20:57:00Z</dcterms:created>
  <dcterms:modified xsi:type="dcterms:W3CDTF">2014-02-05T20:57:00Z</dcterms:modified>
</cp:coreProperties>
</file>