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C5EB7">
        <w:rPr>
          <w:rFonts w:ascii="Arial" w:hAnsi="Arial" w:cs="Arial"/>
          <w:b/>
          <w:sz w:val="22"/>
          <w:szCs w:val="22"/>
        </w:rPr>
        <w:t>Policy:</w:t>
      </w: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C5EB7">
        <w:rPr>
          <w:rFonts w:ascii="Arial" w:hAnsi="Arial" w:cs="Arial"/>
          <w:sz w:val="22"/>
          <w:szCs w:val="22"/>
        </w:rPr>
        <w:t xml:space="preserve">Harborview Medical Center Transfusion Service </w:t>
      </w:r>
      <w:r w:rsidR="00D03A3D">
        <w:rPr>
          <w:rFonts w:ascii="Arial" w:hAnsi="Arial" w:cs="Arial"/>
          <w:sz w:val="22"/>
          <w:szCs w:val="22"/>
        </w:rPr>
        <w:t xml:space="preserve">(TS) </w:t>
      </w:r>
      <w:r w:rsidRPr="00DC5EB7">
        <w:rPr>
          <w:rFonts w:ascii="Arial" w:hAnsi="Arial" w:cs="Arial"/>
          <w:sz w:val="22"/>
          <w:szCs w:val="22"/>
        </w:rPr>
        <w:t>has established and maintains policies, processes, and procedures for the appropriate protection of information</w:t>
      </w:r>
      <w:r>
        <w:rPr>
          <w:rFonts w:ascii="Arial" w:hAnsi="Arial" w:cs="Arial"/>
          <w:sz w:val="22"/>
          <w:szCs w:val="22"/>
        </w:rPr>
        <w:t xml:space="preserve"> avoiding inappropriate accessing of patient records</w:t>
      </w:r>
      <w:r w:rsidRPr="00DC5EB7">
        <w:rPr>
          <w:rFonts w:ascii="Arial" w:hAnsi="Arial" w:cs="Arial"/>
          <w:sz w:val="22"/>
          <w:szCs w:val="22"/>
        </w:rPr>
        <w:t>.</w:t>
      </w:r>
      <w:r w:rsidR="00D03A3D">
        <w:rPr>
          <w:rFonts w:ascii="Arial" w:hAnsi="Arial" w:cs="Arial"/>
          <w:sz w:val="22"/>
          <w:szCs w:val="22"/>
        </w:rPr>
        <w:t xml:space="preserve">   All TS staff </w:t>
      </w:r>
      <w:proofErr w:type="gramStart"/>
      <w:r w:rsidR="00D03A3D">
        <w:rPr>
          <w:rFonts w:ascii="Arial" w:hAnsi="Arial" w:cs="Arial"/>
          <w:sz w:val="22"/>
          <w:szCs w:val="22"/>
        </w:rPr>
        <w:t>participate</w:t>
      </w:r>
      <w:proofErr w:type="gramEnd"/>
      <w:r w:rsidR="00D03A3D">
        <w:rPr>
          <w:rFonts w:ascii="Arial" w:hAnsi="Arial" w:cs="Arial"/>
          <w:sz w:val="22"/>
          <w:szCs w:val="22"/>
        </w:rPr>
        <w:t xml:space="preserve"> in annual training on patient privacy policies.</w:t>
      </w: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C5EB7">
        <w:rPr>
          <w:rFonts w:ascii="Arial" w:hAnsi="Arial" w:cs="Arial"/>
          <w:sz w:val="22"/>
          <w:szCs w:val="22"/>
        </w:rPr>
        <w:t xml:space="preserve"> </w:t>
      </w: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DC5EB7">
        <w:rPr>
          <w:rFonts w:ascii="Arial" w:hAnsi="Arial" w:cs="Arial"/>
          <w:b/>
          <w:sz w:val="22"/>
          <w:szCs w:val="22"/>
        </w:rPr>
        <w:t>Purpose:</w:t>
      </w: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C5EB7">
        <w:rPr>
          <w:rFonts w:ascii="Arial" w:hAnsi="Arial" w:cs="Arial"/>
          <w:sz w:val="22"/>
          <w:szCs w:val="22"/>
        </w:rPr>
        <w:t xml:space="preserve">To provide direction for the </w:t>
      </w:r>
      <w:r>
        <w:rPr>
          <w:rFonts w:ascii="Arial" w:hAnsi="Arial" w:cs="Arial"/>
          <w:sz w:val="22"/>
          <w:szCs w:val="22"/>
        </w:rPr>
        <w:t>appropriate situations in which Transfusion Services Laboratory staff will access patient records.  This policy does not affect Transfusion Services Medical Directors, Residents and/or Fellows.  This policy applies to TSL medical laboratory technologists and technicians.</w:t>
      </w: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p w:rsidR="00DC5EB7" w:rsidRPr="00DC5EB7" w:rsidRDefault="00DC5EB7" w:rsidP="00DC5EB7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DC5EB7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115"/>
        <w:gridCol w:w="1885"/>
      </w:tblGrid>
      <w:tr w:rsidR="00DC5EB7" w:rsidRPr="00DC5EB7" w:rsidTr="001E1572">
        <w:tc>
          <w:tcPr>
            <w:tcW w:w="1728" w:type="dxa"/>
            <w:vAlign w:val="center"/>
          </w:tcPr>
          <w:p w:rsidR="00DC5EB7" w:rsidRPr="00DC5EB7" w:rsidRDefault="00DC5EB7" w:rsidP="0027229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EB7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7115" w:type="dxa"/>
            <w:vAlign w:val="center"/>
          </w:tcPr>
          <w:p w:rsidR="00DC5EB7" w:rsidRPr="00DC5EB7" w:rsidRDefault="00DC5EB7" w:rsidP="0027229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EB7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885" w:type="dxa"/>
            <w:vAlign w:val="center"/>
          </w:tcPr>
          <w:p w:rsidR="00DC5EB7" w:rsidRPr="00DC5EB7" w:rsidRDefault="00DC5EB7" w:rsidP="0027229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EB7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</w:tc>
      </w:tr>
      <w:tr w:rsidR="00DC5EB7" w:rsidRPr="00DC5EB7" w:rsidTr="001E1572">
        <w:tc>
          <w:tcPr>
            <w:tcW w:w="1728" w:type="dxa"/>
            <w:vAlign w:val="center"/>
          </w:tcPr>
          <w:p w:rsidR="00DC5EB7" w:rsidRPr="00DC5EB7" w:rsidRDefault="00DC5EB7" w:rsidP="0027229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 Manager</w:t>
            </w:r>
          </w:p>
        </w:tc>
        <w:tc>
          <w:tcPr>
            <w:tcW w:w="7115" w:type="dxa"/>
            <w:vAlign w:val="center"/>
          </w:tcPr>
          <w:p w:rsidR="00DC5EB7" w:rsidRPr="0027229D" w:rsidRDefault="00DC5EB7" w:rsidP="00D03A3D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Participate in the monitoring and evaluation of staff access to patient records.</w:t>
            </w:r>
          </w:p>
          <w:p w:rsidR="0027229D" w:rsidRPr="0027229D" w:rsidRDefault="00DC5EB7" w:rsidP="00D03A3D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27229D" w:rsidRPr="0027229D">
              <w:rPr>
                <w:rFonts w:ascii="Arial" w:hAnsi="Arial" w:cs="Arial"/>
                <w:sz w:val="22"/>
                <w:szCs w:val="22"/>
              </w:rPr>
              <w:t>counseling</w:t>
            </w:r>
            <w:r w:rsidRPr="0027229D">
              <w:rPr>
                <w:rFonts w:ascii="Arial" w:hAnsi="Arial" w:cs="Arial"/>
                <w:sz w:val="22"/>
                <w:szCs w:val="22"/>
              </w:rPr>
              <w:t xml:space="preserve"> when staff access to patient records exceeds this policy.</w:t>
            </w:r>
          </w:p>
        </w:tc>
        <w:tc>
          <w:tcPr>
            <w:tcW w:w="1885" w:type="dxa"/>
          </w:tcPr>
          <w:p w:rsidR="00DC5EB7" w:rsidRPr="00DC5EB7" w:rsidRDefault="00DC5EB7" w:rsidP="00DC5EB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EB7" w:rsidRPr="00DC5EB7" w:rsidTr="001E1572">
        <w:tc>
          <w:tcPr>
            <w:tcW w:w="1728" w:type="dxa"/>
            <w:vAlign w:val="center"/>
          </w:tcPr>
          <w:p w:rsidR="00DC5EB7" w:rsidRPr="00DC5EB7" w:rsidRDefault="00DC5EB7" w:rsidP="0027229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 Leads</w:t>
            </w:r>
          </w:p>
        </w:tc>
        <w:tc>
          <w:tcPr>
            <w:tcW w:w="7115" w:type="dxa"/>
            <w:vAlign w:val="center"/>
          </w:tcPr>
          <w:p w:rsidR="00DC5EB7" w:rsidRPr="00251DA8" w:rsidRDefault="00251DA8" w:rsidP="00D03A3D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51DA8">
              <w:rPr>
                <w:rFonts w:ascii="Arial" w:hAnsi="Arial" w:cs="Arial"/>
                <w:sz w:val="22"/>
                <w:szCs w:val="22"/>
              </w:rPr>
              <w:t>Assist TSL staff in determining appropriate access parameters.</w:t>
            </w:r>
          </w:p>
        </w:tc>
        <w:tc>
          <w:tcPr>
            <w:tcW w:w="1885" w:type="dxa"/>
          </w:tcPr>
          <w:p w:rsidR="00DC5EB7" w:rsidRPr="00DC5EB7" w:rsidRDefault="00DC5EB7" w:rsidP="00DC5EB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EB7" w:rsidRPr="00DC5EB7" w:rsidTr="001E1572">
        <w:tc>
          <w:tcPr>
            <w:tcW w:w="1728" w:type="dxa"/>
            <w:vAlign w:val="center"/>
          </w:tcPr>
          <w:p w:rsidR="00DC5EB7" w:rsidRDefault="00DC5EB7" w:rsidP="0027229D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 Staff</w:t>
            </w:r>
          </w:p>
        </w:tc>
        <w:tc>
          <w:tcPr>
            <w:tcW w:w="7115" w:type="dxa"/>
            <w:vAlign w:val="center"/>
          </w:tcPr>
          <w:p w:rsidR="00DC5EB7" w:rsidRPr="0027229D" w:rsidRDefault="00DC5EB7" w:rsidP="00D03A3D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Access patient records as defined in this policy.</w:t>
            </w:r>
          </w:p>
          <w:p w:rsidR="00DC5EB7" w:rsidRPr="0027229D" w:rsidRDefault="00DC5EB7" w:rsidP="00D03A3D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 xml:space="preserve">Any records accessed outside the scope of this policy will be reported to the TS Manager in a Quality </w:t>
            </w:r>
            <w:r w:rsidR="00767551" w:rsidRPr="0027229D">
              <w:rPr>
                <w:rFonts w:ascii="Arial" w:hAnsi="Arial" w:cs="Arial"/>
                <w:sz w:val="22"/>
                <w:szCs w:val="22"/>
              </w:rPr>
              <w:t xml:space="preserve">Improvement </w:t>
            </w:r>
            <w:r w:rsidRPr="0027229D">
              <w:rPr>
                <w:rFonts w:ascii="Arial" w:hAnsi="Arial" w:cs="Arial"/>
                <w:sz w:val="22"/>
                <w:szCs w:val="22"/>
              </w:rPr>
              <w:t>Monitoring tool and/or Deviation.</w:t>
            </w:r>
          </w:p>
        </w:tc>
        <w:tc>
          <w:tcPr>
            <w:tcW w:w="1885" w:type="dxa"/>
          </w:tcPr>
          <w:p w:rsidR="00DC5EB7" w:rsidRDefault="00767551" w:rsidP="00DC5EB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Occurrence Management</w:t>
            </w:r>
          </w:p>
          <w:p w:rsidR="00767551" w:rsidRPr="00DC5EB7" w:rsidRDefault="00767551" w:rsidP="00DC5EB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Management of Non-Conforming Events</w:t>
            </w:r>
          </w:p>
        </w:tc>
      </w:tr>
    </w:tbl>
    <w:p w:rsidR="00DC5EB7" w:rsidRDefault="00DC5EB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7118"/>
        <w:gridCol w:w="1865"/>
      </w:tblGrid>
      <w:tr w:rsidR="00A5257C" w:rsidRPr="00DC5EB7" w:rsidTr="001E1572">
        <w:tc>
          <w:tcPr>
            <w:tcW w:w="1745" w:type="dxa"/>
            <w:vAlign w:val="center"/>
          </w:tcPr>
          <w:p w:rsidR="00A5257C" w:rsidRPr="00DC5EB7" w:rsidRDefault="00A5257C" w:rsidP="00FC64E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Situation</w:t>
            </w:r>
          </w:p>
        </w:tc>
        <w:tc>
          <w:tcPr>
            <w:tcW w:w="7118" w:type="dxa"/>
            <w:vAlign w:val="center"/>
          </w:tcPr>
          <w:p w:rsidR="00A5257C" w:rsidRPr="00DC5EB7" w:rsidRDefault="00A5257C" w:rsidP="00FC64E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551">
              <w:rPr>
                <w:rFonts w:ascii="Arial" w:hAnsi="Arial" w:cs="Arial"/>
                <w:b/>
                <w:sz w:val="22"/>
                <w:szCs w:val="22"/>
              </w:rPr>
              <w:t>Access Parameters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A5257C" w:rsidRPr="00DC5EB7" w:rsidRDefault="00A5257C" w:rsidP="00FC64E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EB7">
              <w:rPr>
                <w:rFonts w:ascii="Arial" w:hAnsi="Arial" w:cs="Arial"/>
                <w:b/>
                <w:sz w:val="22"/>
                <w:szCs w:val="22"/>
              </w:rPr>
              <w:t>Supporting Documents</w:t>
            </w:r>
          </w:p>
        </w:tc>
      </w:tr>
      <w:tr w:rsidR="00DC5EB7" w:rsidRPr="00DC5EB7" w:rsidTr="001E1572">
        <w:tc>
          <w:tcPr>
            <w:tcW w:w="1745" w:type="dxa"/>
            <w:vAlign w:val="center"/>
          </w:tcPr>
          <w:p w:rsidR="00DC5EB7" w:rsidRDefault="00767551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Order Entry</w:t>
            </w:r>
          </w:p>
        </w:tc>
        <w:tc>
          <w:tcPr>
            <w:tcW w:w="7118" w:type="dxa"/>
            <w:vAlign w:val="center"/>
          </w:tcPr>
          <w:p w:rsidR="00DC5EB7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Verification of patient demographics</w:t>
            </w:r>
          </w:p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 xml:space="preserve">Determine diagnosis code </w:t>
            </w:r>
          </w:p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Investigate SCCA flag for appropriate attribute requirements</w:t>
            </w:r>
          </w:p>
        </w:tc>
        <w:tc>
          <w:tcPr>
            <w:tcW w:w="1865" w:type="dxa"/>
            <w:vAlign w:val="center"/>
          </w:tcPr>
          <w:p w:rsidR="00DC5EB7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Sunquest Order Entry Process </w:t>
            </w:r>
          </w:p>
        </w:tc>
      </w:tr>
      <w:tr w:rsidR="00767551" w:rsidRPr="00DC5EB7" w:rsidTr="001E1572">
        <w:tc>
          <w:tcPr>
            <w:tcW w:w="1745" w:type="dxa"/>
            <w:vAlign w:val="center"/>
          </w:tcPr>
          <w:p w:rsidR="00767551" w:rsidRDefault="00767551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Findings</w:t>
            </w:r>
          </w:p>
        </w:tc>
        <w:tc>
          <w:tcPr>
            <w:tcW w:w="7118" w:type="dxa"/>
            <w:vAlign w:val="center"/>
          </w:tcPr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Investigate unexpected laboratory findings through treatment facilities listed on the patient chart.</w:t>
            </w:r>
          </w:p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Determine medication history when performing antibody identification and/or eluates.</w:t>
            </w:r>
          </w:p>
        </w:tc>
        <w:tc>
          <w:tcPr>
            <w:tcW w:w="1865" w:type="dxa"/>
            <w:vAlign w:val="center"/>
          </w:tcPr>
          <w:p w:rsidR="00767551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Discrepant Result Resolution Process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FC64E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Audits</w:t>
            </w:r>
          </w:p>
        </w:tc>
        <w:tc>
          <w:tcPr>
            <w:tcW w:w="7118" w:type="dxa"/>
            <w:vAlign w:val="center"/>
          </w:tcPr>
          <w:p w:rsidR="0027229D" w:rsidRDefault="0027229D" w:rsidP="001E1572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QA Coordinator utilizes patient records as part of ongoing audits</w:t>
            </w:r>
          </w:p>
          <w:p w:rsidR="001E1572" w:rsidRPr="0027229D" w:rsidRDefault="001E1572" w:rsidP="001E1572">
            <w:pPr>
              <w:pStyle w:val="ListParagraph"/>
              <w:tabs>
                <w:tab w:val="left" w:pos="930"/>
              </w:tabs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27229D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Monitoring and Assessment</w:t>
            </w:r>
          </w:p>
        </w:tc>
      </w:tr>
      <w:tr w:rsidR="001E1572" w:rsidRPr="00DC5EB7" w:rsidTr="001E1572">
        <w:tc>
          <w:tcPr>
            <w:tcW w:w="1745" w:type="dxa"/>
            <w:vAlign w:val="center"/>
          </w:tcPr>
          <w:p w:rsidR="001E1572" w:rsidRPr="00DC5EB7" w:rsidRDefault="001E1572" w:rsidP="00EE1AE3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Situation</w:t>
            </w:r>
          </w:p>
        </w:tc>
        <w:tc>
          <w:tcPr>
            <w:tcW w:w="7118" w:type="dxa"/>
            <w:vAlign w:val="center"/>
          </w:tcPr>
          <w:p w:rsidR="001E1572" w:rsidRPr="00DC5EB7" w:rsidRDefault="001E1572" w:rsidP="00EE1AE3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551">
              <w:rPr>
                <w:rFonts w:ascii="Arial" w:hAnsi="Arial" w:cs="Arial"/>
                <w:b/>
                <w:sz w:val="22"/>
                <w:szCs w:val="22"/>
              </w:rPr>
              <w:t>Access Parameters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1E1572" w:rsidRPr="00DC5EB7" w:rsidRDefault="001E1572" w:rsidP="00EE1AE3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EB7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Pr="00DC5EB7">
              <w:rPr>
                <w:rFonts w:ascii="Arial" w:hAnsi="Arial" w:cs="Arial"/>
                <w:b/>
                <w:sz w:val="22"/>
                <w:szCs w:val="22"/>
              </w:rPr>
              <w:lastRenderedPageBreak/>
              <w:t>Documents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FC64E5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Data Collection</w:t>
            </w:r>
          </w:p>
        </w:tc>
        <w:tc>
          <w:tcPr>
            <w:tcW w:w="7118" w:type="dxa"/>
            <w:vAlign w:val="center"/>
          </w:tcPr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Determine draw times for laboratory samples as part of trauma sample monitoring</w:t>
            </w:r>
          </w:p>
          <w:p w:rsidR="0027229D" w:rsidRDefault="0027229D" w:rsidP="00D03A3D">
            <w:pPr>
              <w:tabs>
                <w:tab w:val="left" w:pos="930"/>
              </w:tabs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27229D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Monitoring and Assessment</w:t>
            </w:r>
          </w:p>
        </w:tc>
      </w:tr>
      <w:tr w:rsidR="00767551" w:rsidRPr="00DC5EB7" w:rsidTr="001E1572">
        <w:tc>
          <w:tcPr>
            <w:tcW w:w="1745" w:type="dxa"/>
            <w:vAlign w:val="center"/>
          </w:tcPr>
          <w:p w:rsidR="00767551" w:rsidRDefault="00767551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Reports</w:t>
            </w:r>
          </w:p>
        </w:tc>
        <w:tc>
          <w:tcPr>
            <w:tcW w:w="7118" w:type="dxa"/>
            <w:vAlign w:val="center"/>
          </w:tcPr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Print Transfusion Services Medical Director reports for antibody identification and transfusion reaction investigation.</w:t>
            </w:r>
          </w:p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Reconcile daily and monthly inventory counts when a unit is physically missing from the inventory but is listed as available.</w:t>
            </w:r>
          </w:p>
          <w:p w:rsidR="00767551" w:rsidRPr="0027229D" w:rsidRDefault="00767551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Resolve discrepancies in the Blood Issued Final report by locating units transfused:</w:t>
            </w:r>
          </w:p>
          <w:p w:rsidR="00767551" w:rsidRPr="0027229D" w:rsidRDefault="0027229D" w:rsidP="00D03A3D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Anesthesiology</w:t>
            </w:r>
            <w:r w:rsidR="00767551" w:rsidRPr="0027229D">
              <w:rPr>
                <w:rFonts w:ascii="Arial" w:hAnsi="Arial" w:cs="Arial"/>
                <w:sz w:val="22"/>
                <w:szCs w:val="22"/>
              </w:rPr>
              <w:t xml:space="preserve"> charting</w:t>
            </w:r>
          </w:p>
          <w:p w:rsidR="00767551" w:rsidRPr="0027229D" w:rsidRDefault="00767551" w:rsidP="00D03A3D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Blood Slips</w:t>
            </w:r>
          </w:p>
          <w:p w:rsidR="00767551" w:rsidRPr="0027229D" w:rsidRDefault="00767551" w:rsidP="00D03A3D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Emergency Department records</w:t>
            </w:r>
          </w:p>
        </w:tc>
        <w:tc>
          <w:tcPr>
            <w:tcW w:w="1865" w:type="dxa"/>
            <w:vAlign w:val="center"/>
          </w:tcPr>
          <w:p w:rsidR="00767551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Daily Operations Reports</w:t>
            </w:r>
          </w:p>
          <w:p w:rsidR="00251DA8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Inventory Update Process 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7118" w:type="dxa"/>
            <w:vAlign w:val="center"/>
          </w:tcPr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Access patient records as requested by the Medical Director.</w:t>
            </w:r>
          </w:p>
        </w:tc>
        <w:tc>
          <w:tcPr>
            <w:tcW w:w="1865" w:type="dxa"/>
            <w:vAlign w:val="center"/>
          </w:tcPr>
          <w:p w:rsidR="0027229D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QP:  Director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Desingation</w:t>
            </w:r>
            <w:proofErr w:type="spellEnd"/>
          </w:p>
          <w:p w:rsidR="00D03A3D" w:rsidRPr="00DC5EB7" w:rsidRDefault="00D03A3D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Medical Director Notification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Laboratory Results</w:t>
            </w:r>
          </w:p>
        </w:tc>
        <w:tc>
          <w:tcPr>
            <w:tcW w:w="7118" w:type="dxa"/>
            <w:vAlign w:val="center"/>
          </w:tcPr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Review laboratory test results primarily in Sunquest Laboratory Inquiry.</w:t>
            </w:r>
          </w:p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Review only within the patient record as part of another search criteria</w:t>
            </w:r>
          </w:p>
        </w:tc>
        <w:tc>
          <w:tcPr>
            <w:tcW w:w="1865" w:type="dxa"/>
            <w:vAlign w:val="center"/>
          </w:tcPr>
          <w:p w:rsidR="0027229D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Laboratory Inquiry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Problem Resolution</w:t>
            </w:r>
          </w:p>
        </w:tc>
        <w:tc>
          <w:tcPr>
            <w:tcW w:w="7118" w:type="dxa"/>
            <w:vAlign w:val="center"/>
          </w:tcPr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27229D">
              <w:rPr>
                <w:rFonts w:ascii="Arial" w:hAnsi="Arial" w:cs="Arial"/>
                <w:sz w:val="22"/>
                <w:szCs w:val="22"/>
              </w:rPr>
              <w:t>Investigate unexpected situations in which the patient records may provide illumination and support problem resolution.</w:t>
            </w:r>
          </w:p>
        </w:tc>
        <w:tc>
          <w:tcPr>
            <w:tcW w:w="1865" w:type="dxa"/>
            <w:vAlign w:val="center"/>
          </w:tcPr>
          <w:p w:rsidR="0027229D" w:rsidRPr="00DC5EB7" w:rsidRDefault="00251DA8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QP:  Occurrence Management </w:t>
            </w:r>
          </w:p>
        </w:tc>
      </w:tr>
      <w:tr w:rsidR="0027229D" w:rsidRPr="00DC5EB7" w:rsidTr="001E1572">
        <w:tc>
          <w:tcPr>
            <w:tcW w:w="1745" w:type="dxa"/>
            <w:vAlign w:val="center"/>
          </w:tcPr>
          <w:p w:rsidR="0027229D" w:rsidRDefault="0027229D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Clinical Staff</w:t>
            </w:r>
          </w:p>
        </w:tc>
        <w:tc>
          <w:tcPr>
            <w:tcW w:w="7118" w:type="dxa"/>
            <w:vAlign w:val="center"/>
          </w:tcPr>
          <w:p w:rsidR="0027229D" w:rsidRPr="0027229D" w:rsidRDefault="0027229D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appropriate clinical staff to contact</w:t>
            </w:r>
            <w:r w:rsidR="00251DA8">
              <w:rPr>
                <w:rFonts w:ascii="Arial" w:hAnsi="Arial" w:cs="Arial"/>
                <w:sz w:val="22"/>
                <w:szCs w:val="22"/>
              </w:rPr>
              <w:t xml:space="preserve"> if the direct patient care staff cannot do so.</w:t>
            </w:r>
          </w:p>
        </w:tc>
        <w:tc>
          <w:tcPr>
            <w:tcW w:w="1865" w:type="dxa"/>
            <w:vAlign w:val="center"/>
          </w:tcPr>
          <w:p w:rsidR="0027229D" w:rsidRPr="00DC5EB7" w:rsidRDefault="00A5257C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QP:  Result Reporting and Post-Analytic Processes</w:t>
            </w:r>
          </w:p>
        </w:tc>
      </w:tr>
      <w:tr w:rsidR="00C62820" w:rsidRPr="00DC5EB7" w:rsidTr="001E1572">
        <w:tc>
          <w:tcPr>
            <w:tcW w:w="1745" w:type="dxa"/>
            <w:vAlign w:val="center"/>
          </w:tcPr>
          <w:p w:rsidR="00C62820" w:rsidRDefault="00C62820" w:rsidP="00767551">
            <w:pPr>
              <w:tabs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Administrative Data</w:t>
            </w:r>
          </w:p>
        </w:tc>
        <w:tc>
          <w:tcPr>
            <w:tcW w:w="7118" w:type="dxa"/>
            <w:vAlign w:val="center"/>
          </w:tcPr>
          <w:p w:rsidR="00C62820" w:rsidRDefault="00C62820" w:rsidP="00D03A3D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patient demographics prior to revising Sunquest records</w:t>
            </w:r>
          </w:p>
          <w:p w:rsidR="00C62820" w:rsidRDefault="00C62820" w:rsidP="00C62820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Demographics</w:t>
            </w:r>
          </w:p>
          <w:p w:rsidR="00C62820" w:rsidRDefault="00C62820" w:rsidP="00C62820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Attributes</w:t>
            </w:r>
          </w:p>
          <w:p w:rsidR="00C62820" w:rsidRDefault="00C62820" w:rsidP="00C62820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History</w:t>
            </w:r>
          </w:p>
          <w:p w:rsidR="00C62820" w:rsidRDefault="00C62820" w:rsidP="00C62820">
            <w:pPr>
              <w:pStyle w:val="ListParagraph"/>
              <w:numPr>
                <w:ilvl w:val="1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Antibody and antigen information</w:t>
            </w:r>
          </w:p>
        </w:tc>
        <w:tc>
          <w:tcPr>
            <w:tcW w:w="1865" w:type="dxa"/>
            <w:vAlign w:val="center"/>
          </w:tcPr>
          <w:p w:rsidR="00C62820" w:rsidRDefault="00C62820" w:rsidP="00A5257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Updating Patient Demographics in Sunquest</w:t>
            </w:r>
          </w:p>
        </w:tc>
      </w:tr>
    </w:tbl>
    <w:p w:rsidR="00DC5EB7" w:rsidRDefault="00DC5EB7">
      <w:pPr>
        <w:rPr>
          <w:rFonts w:ascii="Arial" w:hAnsi="Arial" w:cs="Arial"/>
          <w:b/>
          <w:sz w:val="22"/>
          <w:szCs w:val="22"/>
        </w:rPr>
      </w:pPr>
    </w:p>
    <w:p w:rsidR="00DC5EB7" w:rsidRDefault="00DC5EB7">
      <w:pPr>
        <w:rPr>
          <w:rFonts w:ascii="Arial" w:hAnsi="Arial" w:cs="Arial"/>
          <w:b/>
          <w:sz w:val="22"/>
          <w:szCs w:val="22"/>
        </w:rPr>
      </w:pPr>
    </w:p>
    <w:p w:rsidR="00A5257C" w:rsidRDefault="00A525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5257C" w:rsidRDefault="00A5257C" w:rsidP="00A5257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A5257C">
        <w:rPr>
          <w:rFonts w:ascii="Arial" w:hAnsi="Arial" w:cs="Arial"/>
          <w:b/>
          <w:sz w:val="22"/>
          <w:szCs w:val="22"/>
        </w:rPr>
        <w:t>References</w:t>
      </w:r>
    </w:p>
    <w:p w:rsidR="00A5257C" w:rsidRPr="00A5257C" w:rsidRDefault="00A5257C" w:rsidP="00A5257C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A5257C" w:rsidRPr="00A5257C" w:rsidRDefault="00A5257C" w:rsidP="00A5257C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A5257C">
        <w:rPr>
          <w:rFonts w:ascii="Arial" w:hAnsi="Arial" w:cs="Arial"/>
          <w:sz w:val="22"/>
          <w:szCs w:val="22"/>
        </w:rPr>
        <w:t>UW Lab Medicine Administrative Policy Manual</w:t>
      </w:r>
    </w:p>
    <w:p w:rsidR="00A5257C" w:rsidRDefault="00A5257C" w:rsidP="00A5257C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proofErr w:type="gramStart"/>
      <w:r w:rsidRPr="00A5257C">
        <w:rPr>
          <w:rFonts w:ascii="Arial" w:hAnsi="Arial" w:cs="Arial"/>
          <w:sz w:val="22"/>
          <w:szCs w:val="22"/>
        </w:rPr>
        <w:t>AABB Standards for Blood Banks and Transfusion Services, Current Edition.</w:t>
      </w:r>
      <w:proofErr w:type="gramEnd"/>
    </w:p>
    <w:p w:rsidR="00CC7204" w:rsidRPr="00A5257C" w:rsidRDefault="00CC7204" w:rsidP="00A5257C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 Medicine Compliance Program –HIPAA Privacy Rule [45 CRF Part 160 and 164], RCW 70.02</w:t>
      </w:r>
    </w:p>
    <w:p w:rsidR="00A5257C" w:rsidRDefault="00A5257C">
      <w:pPr>
        <w:rPr>
          <w:rFonts w:ascii="Arial" w:hAnsi="Arial" w:cs="Arial"/>
          <w:b/>
          <w:sz w:val="22"/>
          <w:szCs w:val="22"/>
        </w:rPr>
      </w:pPr>
    </w:p>
    <w:p w:rsidR="00DC5EB7" w:rsidRDefault="00DC5EB7">
      <w:pPr>
        <w:rPr>
          <w:rFonts w:ascii="Arial" w:hAnsi="Arial" w:cs="Arial"/>
          <w:b/>
          <w:sz w:val="22"/>
          <w:szCs w:val="22"/>
        </w:rPr>
      </w:pPr>
    </w:p>
    <w:p w:rsidR="009551F8" w:rsidRPr="00342C6F" w:rsidRDefault="009551F8">
      <w:pPr>
        <w:rPr>
          <w:rFonts w:ascii="Arial" w:hAnsi="Arial" w:cs="Arial"/>
          <w:b/>
          <w:sz w:val="22"/>
          <w:szCs w:val="22"/>
        </w:rPr>
      </w:pPr>
    </w:p>
    <w:sectPr w:rsidR="009551F8" w:rsidRPr="00342C6F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62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27229D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FE62C5" w:rsidP="009551F8">
    <w:pPr>
      <w:pStyle w:val="Header"/>
    </w:pPr>
    <w:sdt>
      <w:sdtPr>
        <w:id w:val="-204651223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551F8">
      <w:t xml:space="preserve">                                                     </w:t>
    </w:r>
    <w:r w:rsidR="009551F8">
      <w:ptab w:relativeTo="margin" w:alignment="center" w:leader="none"/>
    </w:r>
    <w:r w:rsidR="009551F8"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27229D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Accessing Patient Records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C5EB7">
            <w:rPr>
              <w:rFonts w:ascii="Arial" w:hAnsi="Arial" w:cs="Arial"/>
              <w:b/>
              <w:sz w:val="22"/>
              <w:szCs w:val="22"/>
            </w:rPr>
            <w:t>April 1,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D03A3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62820">
            <w:rPr>
              <w:rFonts w:ascii="Arial" w:hAnsi="Arial" w:cs="Arial"/>
              <w:b/>
              <w:sz w:val="22"/>
              <w:szCs w:val="22"/>
              <w:highlight w:val="yellow"/>
            </w:rPr>
            <w:t>10,001-1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1E1572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C5EB7" w:rsidRPr="00DC5EB7" w:rsidRDefault="004D16C5" w:rsidP="00DC5EB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DC5EB7" w:rsidRPr="00DC5EB7">
            <w:rPr>
              <w:rFonts w:ascii="Arial" w:hAnsi="Arial" w:cs="Arial"/>
              <w:b/>
              <w:sz w:val="28"/>
              <w:szCs w:val="28"/>
            </w:rPr>
            <w:t>QSE:  Information Management</w:t>
          </w:r>
        </w:p>
        <w:p w:rsidR="00D3281B" w:rsidRPr="008660E7" w:rsidRDefault="00DC5EB7" w:rsidP="00DC5EB7">
          <w:pPr>
            <w:rPr>
              <w:rFonts w:ascii="Arial" w:hAnsi="Arial" w:cs="Arial"/>
              <w:b/>
              <w:sz w:val="28"/>
              <w:szCs w:val="28"/>
            </w:rPr>
          </w:pPr>
          <w:r w:rsidRPr="00DC5EB7">
            <w:rPr>
              <w:rFonts w:ascii="Arial" w:hAnsi="Arial" w:cs="Arial"/>
              <w:b/>
              <w:sz w:val="28"/>
              <w:szCs w:val="28"/>
            </w:rPr>
            <w:t xml:space="preserve">             Quality Policy:  </w:t>
          </w:r>
          <w:r>
            <w:rPr>
              <w:rFonts w:ascii="Arial" w:hAnsi="Arial" w:cs="Arial"/>
              <w:b/>
              <w:sz w:val="28"/>
              <w:szCs w:val="28"/>
            </w:rPr>
            <w:t>Accessing Patient Records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804"/>
    <w:multiLevelType w:val="hybridMultilevel"/>
    <w:tmpl w:val="01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25401"/>
    <w:multiLevelType w:val="hybridMultilevel"/>
    <w:tmpl w:val="DD5E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74BCD"/>
    <w:multiLevelType w:val="hybridMultilevel"/>
    <w:tmpl w:val="F1387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9C2C0E"/>
    <w:multiLevelType w:val="hybridMultilevel"/>
    <w:tmpl w:val="8D103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10720"/>
    <w:multiLevelType w:val="hybridMultilevel"/>
    <w:tmpl w:val="26700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805C89"/>
    <w:multiLevelType w:val="hybridMultilevel"/>
    <w:tmpl w:val="94E80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1E1572"/>
    <w:rsid w:val="00251DA8"/>
    <w:rsid w:val="00260E4A"/>
    <w:rsid w:val="0027229D"/>
    <w:rsid w:val="00342C6F"/>
    <w:rsid w:val="003735F1"/>
    <w:rsid w:val="003816DA"/>
    <w:rsid w:val="004D16C5"/>
    <w:rsid w:val="006720F8"/>
    <w:rsid w:val="006E7B0D"/>
    <w:rsid w:val="00750D94"/>
    <w:rsid w:val="00767551"/>
    <w:rsid w:val="007763E7"/>
    <w:rsid w:val="008660E7"/>
    <w:rsid w:val="008F4BFB"/>
    <w:rsid w:val="00903F57"/>
    <w:rsid w:val="009551F8"/>
    <w:rsid w:val="009D0337"/>
    <w:rsid w:val="00A5257C"/>
    <w:rsid w:val="00B82064"/>
    <w:rsid w:val="00C6184B"/>
    <w:rsid w:val="00C62820"/>
    <w:rsid w:val="00CC7204"/>
    <w:rsid w:val="00D03A3D"/>
    <w:rsid w:val="00D3281B"/>
    <w:rsid w:val="00DC5EB7"/>
    <w:rsid w:val="00FE62C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5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5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3037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cp:lastPrinted>2014-02-26T21:00:00Z</cp:lastPrinted>
  <dcterms:created xsi:type="dcterms:W3CDTF">2014-03-11T23:18:00Z</dcterms:created>
  <dcterms:modified xsi:type="dcterms:W3CDTF">2014-03-11T23:18:00Z</dcterms:modified>
</cp:coreProperties>
</file>