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0141F5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 wp14:anchorId="0BF2E60C" wp14:editId="0070206C">
            <wp:extent cx="8972550" cy="666750"/>
            <wp:effectExtent l="19050" t="0" r="0" b="0"/>
            <wp:docPr id="1" name="Picture 1" descr="Laboratory Medicine bann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4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4203"/>
        <w:gridCol w:w="4860"/>
      </w:tblGrid>
      <w:tr w:rsidR="00F05BAF" w:rsidRPr="00EE3800" w:rsidTr="005908E6">
        <w:trPr>
          <w:cantSplit/>
          <w:trHeight w:val="480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EE3800" w:rsidRDefault="00F05BAF" w:rsidP="00F5541A">
            <w:pPr>
              <w:rPr>
                <w:b/>
              </w:rPr>
            </w:pPr>
            <w:r w:rsidRPr="00EE3800">
              <w:rPr>
                <w:b/>
                <w:sz w:val="22"/>
              </w:rPr>
              <w:t xml:space="preserve">University of Washington, </w:t>
            </w:r>
          </w:p>
          <w:p w:rsidR="00F05BAF" w:rsidRPr="00EE3800" w:rsidRDefault="00F05BAF" w:rsidP="00F5541A">
            <w:pPr>
              <w:rPr>
                <w:b/>
              </w:rPr>
            </w:pPr>
            <w:r w:rsidRPr="00EE3800">
              <w:rPr>
                <w:b/>
                <w:sz w:val="22"/>
              </w:rPr>
              <w:t>Harborview Medical Center</w:t>
            </w:r>
          </w:p>
          <w:p w:rsidR="00F05BAF" w:rsidRPr="00EE3800" w:rsidRDefault="00F05BAF" w:rsidP="00F5541A">
            <w:pPr>
              <w:rPr>
                <w:b/>
              </w:rPr>
            </w:pPr>
            <w:r w:rsidRPr="00EE3800">
              <w:rPr>
                <w:b/>
                <w:sz w:val="22"/>
              </w:rPr>
              <w:t>325 9</w:t>
            </w:r>
            <w:r w:rsidRPr="00EE3800">
              <w:rPr>
                <w:b/>
                <w:sz w:val="22"/>
                <w:vertAlign w:val="superscript"/>
              </w:rPr>
              <w:t>th</w:t>
            </w:r>
            <w:r w:rsidRPr="00EE3800">
              <w:rPr>
                <w:b/>
                <w:sz w:val="22"/>
              </w:rPr>
              <w:t xml:space="preserve"> </w:t>
            </w:r>
            <w:r w:rsidR="003C4983" w:rsidRPr="00EE3800">
              <w:rPr>
                <w:b/>
                <w:sz w:val="22"/>
              </w:rPr>
              <w:t>Ave</w:t>
            </w:r>
            <w:r w:rsidRPr="00EE3800">
              <w:rPr>
                <w:b/>
                <w:sz w:val="22"/>
              </w:rPr>
              <w:t>. Seattle, WA,  9810</w:t>
            </w:r>
            <w:r w:rsidR="00C854C8" w:rsidRPr="00EE3800">
              <w:rPr>
                <w:b/>
                <w:sz w:val="22"/>
              </w:rPr>
              <w:t>4</w:t>
            </w:r>
          </w:p>
          <w:p w:rsidR="00F05BAF" w:rsidRPr="00EE3800" w:rsidRDefault="00F05BAF" w:rsidP="00F5541A">
            <w:pPr>
              <w:rPr>
                <w:b/>
              </w:rPr>
            </w:pPr>
            <w:r w:rsidRPr="00EE3800">
              <w:rPr>
                <w:b/>
                <w:sz w:val="22"/>
              </w:rPr>
              <w:t>Transfusion Services Laboratory</w:t>
            </w:r>
          </w:p>
          <w:p w:rsidR="00F05BAF" w:rsidRPr="00EE3800" w:rsidRDefault="00F05BAF" w:rsidP="00F5541A">
            <w:pPr>
              <w:rPr>
                <w:b/>
              </w:rPr>
            </w:pPr>
            <w:r w:rsidRPr="00EE3800">
              <w:rPr>
                <w:b/>
                <w:sz w:val="22"/>
              </w:rPr>
              <w:t>Policies and Procedures Manual</w:t>
            </w:r>
          </w:p>
        </w:tc>
        <w:tc>
          <w:tcPr>
            <w:tcW w:w="42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EE3800" w:rsidRDefault="00F05BAF" w:rsidP="00F5541A">
            <w:pPr>
              <w:rPr>
                <w:b/>
              </w:rPr>
            </w:pPr>
            <w:r w:rsidRPr="00EE3800">
              <w:rPr>
                <w:b/>
                <w:sz w:val="22"/>
              </w:rPr>
              <w:t>Original Effective Date:</w:t>
            </w:r>
          </w:p>
          <w:p w:rsidR="00F05BAF" w:rsidRPr="00EE3800" w:rsidRDefault="00D62004" w:rsidP="00F5541A">
            <w:pPr>
              <w:jc w:val="both"/>
              <w:rPr>
                <w:b/>
              </w:rPr>
            </w:pPr>
            <w:r w:rsidRPr="00EE3800">
              <w:rPr>
                <w:b/>
                <w:sz w:val="22"/>
              </w:rPr>
              <w:t xml:space="preserve"> August</w:t>
            </w:r>
            <w:r w:rsidR="00F05BAF" w:rsidRPr="00EE3800">
              <w:rPr>
                <w:b/>
                <w:sz w:val="22"/>
              </w:rPr>
              <w:t xml:space="preserve"> 1</w:t>
            </w:r>
            <w:r w:rsidR="00F05BAF" w:rsidRPr="00EE3800">
              <w:rPr>
                <w:b/>
                <w:sz w:val="22"/>
                <w:vertAlign w:val="superscript"/>
              </w:rPr>
              <w:t>st</w:t>
            </w:r>
            <w:r w:rsidR="00F05BAF" w:rsidRPr="00EE3800">
              <w:rPr>
                <w:b/>
                <w:sz w:val="22"/>
              </w:rPr>
              <w:t xml:space="preserve"> 2011</w:t>
            </w: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EE3800" w:rsidRDefault="00F05BAF" w:rsidP="00F5541A">
            <w:pPr>
              <w:jc w:val="both"/>
              <w:rPr>
                <w:b/>
              </w:rPr>
            </w:pPr>
            <w:r w:rsidRPr="00EE3800">
              <w:rPr>
                <w:b/>
                <w:sz w:val="22"/>
              </w:rPr>
              <w:t xml:space="preserve">Number: </w:t>
            </w:r>
          </w:p>
          <w:p w:rsidR="00F05BAF" w:rsidRPr="00EE3800" w:rsidRDefault="00D62004" w:rsidP="00F5541A">
            <w:pPr>
              <w:jc w:val="both"/>
              <w:rPr>
                <w:b/>
              </w:rPr>
            </w:pPr>
            <w:r w:rsidRPr="004017FB">
              <w:rPr>
                <w:b/>
                <w:sz w:val="22"/>
                <w:highlight w:val="yellow"/>
              </w:rPr>
              <w:t>1706-</w:t>
            </w:r>
            <w:r w:rsidR="004017FB" w:rsidRPr="004017FB">
              <w:rPr>
                <w:b/>
                <w:sz w:val="22"/>
                <w:highlight w:val="yellow"/>
              </w:rPr>
              <w:t>3</w:t>
            </w:r>
          </w:p>
        </w:tc>
      </w:tr>
      <w:tr w:rsidR="00F05BAF" w:rsidRPr="00EE3800" w:rsidTr="005908E6">
        <w:trPr>
          <w:cantSplit/>
          <w:trHeight w:val="132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EE3800" w:rsidRDefault="00F05BAF" w:rsidP="00F5541A">
            <w:pPr>
              <w:rPr>
                <w:b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EE3800" w:rsidRDefault="00F05BAF" w:rsidP="00F5541A">
            <w:pPr>
              <w:jc w:val="both"/>
              <w:rPr>
                <w:b/>
              </w:rPr>
            </w:pPr>
            <w:r w:rsidRPr="00EE3800">
              <w:rPr>
                <w:b/>
                <w:sz w:val="22"/>
              </w:rPr>
              <w:t>Revision Effective Date:</w:t>
            </w:r>
          </w:p>
          <w:p w:rsidR="00F05BAF" w:rsidRPr="00EE3800" w:rsidRDefault="004017FB" w:rsidP="00F5541A">
            <w:pPr>
              <w:jc w:val="both"/>
            </w:pPr>
            <w:r w:rsidRPr="004017FB">
              <w:rPr>
                <w:highlight w:val="yellow"/>
              </w:rPr>
              <w:t>8/15/14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EE3800" w:rsidRDefault="00F05BAF" w:rsidP="00F5541A">
            <w:pPr>
              <w:jc w:val="both"/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 xml:space="preserve">Pages: </w:t>
            </w:r>
          </w:p>
          <w:p w:rsidR="007B3BC5" w:rsidRPr="00EE3800" w:rsidRDefault="000F239C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F05BAF" w:rsidRPr="00EE3800" w:rsidTr="005908E6">
        <w:trPr>
          <w:cantSplit/>
          <w:trHeight w:val="590"/>
        </w:trPr>
        <w:tc>
          <w:tcPr>
            <w:tcW w:w="14238" w:type="dxa"/>
            <w:gridSpan w:val="3"/>
            <w:tcBorders>
              <w:top w:val="nil"/>
            </w:tcBorders>
            <w:vAlign w:val="center"/>
          </w:tcPr>
          <w:p w:rsidR="00F05BAF" w:rsidRPr="00EE3800" w:rsidRDefault="00F05BAF" w:rsidP="0064249A">
            <w:pPr>
              <w:rPr>
                <w:b/>
                <w:sz w:val="28"/>
                <w:szCs w:val="28"/>
              </w:rPr>
            </w:pPr>
            <w:r w:rsidRPr="00EE3800">
              <w:rPr>
                <w:b/>
                <w:sz w:val="22"/>
              </w:rPr>
              <w:t xml:space="preserve">TITLE:  </w:t>
            </w:r>
            <w:r w:rsidR="00BC50E4" w:rsidRPr="00EE3800">
              <w:rPr>
                <w:b/>
                <w:sz w:val="28"/>
                <w:szCs w:val="28"/>
              </w:rPr>
              <w:t xml:space="preserve"> </w:t>
            </w:r>
            <w:r w:rsidR="008A3497" w:rsidRPr="00EE3800">
              <w:rPr>
                <w:b/>
                <w:sz w:val="28"/>
                <w:szCs w:val="28"/>
              </w:rPr>
              <w:t xml:space="preserve">Quality Process:  </w:t>
            </w:r>
            <w:r w:rsidR="00D62004" w:rsidRPr="00EE3800">
              <w:rPr>
                <w:b/>
                <w:sz w:val="28"/>
                <w:szCs w:val="28"/>
              </w:rPr>
              <w:t>Recall</w:t>
            </w:r>
            <w:r w:rsidR="00866C7B" w:rsidRPr="00EE3800">
              <w:rPr>
                <w:b/>
                <w:sz w:val="28"/>
                <w:szCs w:val="28"/>
              </w:rPr>
              <w:t xml:space="preserve"> </w:t>
            </w:r>
            <w:r w:rsidR="00E70F58" w:rsidRPr="00EE3800">
              <w:rPr>
                <w:b/>
                <w:sz w:val="28"/>
                <w:szCs w:val="28"/>
              </w:rPr>
              <w:t xml:space="preserve">and Retrieval </w:t>
            </w:r>
            <w:r w:rsidR="00866C7B" w:rsidRPr="00EE3800">
              <w:rPr>
                <w:b/>
                <w:sz w:val="28"/>
                <w:szCs w:val="28"/>
              </w:rPr>
              <w:t xml:space="preserve">of </w:t>
            </w:r>
            <w:r w:rsidR="001040CA" w:rsidRPr="00EE3800">
              <w:rPr>
                <w:b/>
                <w:sz w:val="28"/>
                <w:szCs w:val="28"/>
              </w:rPr>
              <w:t>Nonconforming Products</w:t>
            </w:r>
            <w:r w:rsidR="00D62004" w:rsidRPr="00EE3800">
              <w:rPr>
                <w:b/>
                <w:sz w:val="22"/>
              </w:rPr>
              <w:t xml:space="preserve"> </w:t>
            </w:r>
          </w:p>
        </w:tc>
      </w:tr>
    </w:tbl>
    <w:p w:rsidR="00574A2A" w:rsidRPr="00EE3800" w:rsidRDefault="00574A2A">
      <w:pPr>
        <w:rPr>
          <w:sz w:val="22"/>
        </w:rPr>
      </w:pPr>
    </w:p>
    <w:p w:rsidR="00D62004" w:rsidRPr="00EE3800" w:rsidRDefault="00D62004">
      <w:pPr>
        <w:rPr>
          <w:b/>
          <w:sz w:val="22"/>
        </w:rPr>
      </w:pPr>
      <w:r w:rsidRPr="00EE3800">
        <w:rPr>
          <w:b/>
          <w:sz w:val="22"/>
        </w:rPr>
        <w:t>Purpose:</w:t>
      </w:r>
    </w:p>
    <w:p w:rsidR="00574A2A" w:rsidRPr="00EE3800" w:rsidRDefault="00574A2A" w:rsidP="00574A2A"/>
    <w:p w:rsidR="001040CA" w:rsidRPr="00EE3800" w:rsidRDefault="00D62004" w:rsidP="00574A2A">
      <w:pPr>
        <w:tabs>
          <w:tab w:val="left" w:pos="930"/>
        </w:tabs>
        <w:rPr>
          <w:sz w:val="22"/>
        </w:rPr>
      </w:pPr>
      <w:r w:rsidRPr="00EE3800">
        <w:rPr>
          <w:sz w:val="22"/>
        </w:rPr>
        <w:t>To provide directions for the identification, quarantine, retrieval, and recall of nonconforming products, and the notification of recipients, users, and outside agencies as required.</w:t>
      </w:r>
    </w:p>
    <w:p w:rsidR="001040CA" w:rsidRPr="00EE3800" w:rsidRDefault="001040CA" w:rsidP="00574A2A">
      <w:pPr>
        <w:tabs>
          <w:tab w:val="left" w:pos="93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4700"/>
        <w:gridCol w:w="5957"/>
        <w:gridCol w:w="2251"/>
      </w:tblGrid>
      <w:tr w:rsidR="00F95781" w:rsidRPr="00EE3800" w:rsidTr="00866C7B">
        <w:tc>
          <w:tcPr>
            <w:tcW w:w="1708" w:type="dxa"/>
          </w:tcPr>
          <w:p w:rsidR="00F95781" w:rsidRPr="00EE3800" w:rsidRDefault="00F95781" w:rsidP="00F95781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Type of Recall</w:t>
            </w:r>
          </w:p>
        </w:tc>
        <w:tc>
          <w:tcPr>
            <w:tcW w:w="4700" w:type="dxa"/>
          </w:tcPr>
          <w:p w:rsidR="00F95781" w:rsidRPr="00EE3800" w:rsidRDefault="00F9578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 xml:space="preserve">Recall </w:t>
            </w:r>
            <w:r w:rsidR="00244D51" w:rsidRPr="00EE3800">
              <w:rPr>
                <w:b/>
                <w:sz w:val="22"/>
              </w:rPr>
              <w:t>Reason</w:t>
            </w:r>
          </w:p>
        </w:tc>
        <w:tc>
          <w:tcPr>
            <w:tcW w:w="5957" w:type="dxa"/>
          </w:tcPr>
          <w:p w:rsidR="00F95781" w:rsidRPr="00EE3800" w:rsidRDefault="00F9578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TSL Response</w:t>
            </w:r>
          </w:p>
        </w:tc>
        <w:tc>
          <w:tcPr>
            <w:tcW w:w="2251" w:type="dxa"/>
          </w:tcPr>
          <w:p w:rsidR="00F95781" w:rsidRPr="00EE3800" w:rsidRDefault="00244D5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Related</w:t>
            </w:r>
            <w:r w:rsidR="00F95781" w:rsidRPr="00EE3800">
              <w:rPr>
                <w:b/>
                <w:sz w:val="22"/>
              </w:rPr>
              <w:t xml:space="preserve"> Documents</w:t>
            </w:r>
          </w:p>
        </w:tc>
      </w:tr>
      <w:tr w:rsidR="00244D51" w:rsidRPr="00EE3800" w:rsidTr="00866C7B">
        <w:tc>
          <w:tcPr>
            <w:tcW w:w="1708" w:type="dxa"/>
          </w:tcPr>
          <w:p w:rsidR="00244D51" w:rsidRPr="00EE3800" w:rsidRDefault="00244D51" w:rsidP="00574A2A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FDA notification by mail/phone</w:t>
            </w:r>
          </w:p>
        </w:tc>
        <w:tc>
          <w:tcPr>
            <w:tcW w:w="4700" w:type="dxa"/>
          </w:tcPr>
          <w:p w:rsidR="00244D51" w:rsidRPr="00EE3800" w:rsidRDefault="00244D51" w:rsidP="000141F5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The Commissioner of the Food and Drug Administration or his designee may request initiation of a recall when the following determinations have been made:</w:t>
            </w:r>
          </w:p>
          <w:p w:rsidR="00244D51" w:rsidRPr="00EE3800" w:rsidRDefault="00244D51" w:rsidP="000141F5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A product has been distributed that presents a risk of illness, injury, or gross consumer deception</w:t>
            </w:r>
          </w:p>
          <w:p w:rsidR="00244D51" w:rsidRPr="00EE3800" w:rsidRDefault="00244D51" w:rsidP="000141F5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A recall of such a product has not been initiated by the manufacturer</w:t>
            </w:r>
          </w:p>
          <w:p w:rsidR="00244D51" w:rsidRPr="00EE3800" w:rsidRDefault="00244D51" w:rsidP="000141F5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FDA agency action is necessary to protect the public health and welfare.</w:t>
            </w:r>
          </w:p>
          <w:p w:rsidR="00244D51" w:rsidRPr="00EE3800" w:rsidRDefault="00244D51" w:rsidP="000141F5">
            <w:pPr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5957" w:type="dxa"/>
          </w:tcPr>
          <w:p w:rsidR="00244D51" w:rsidRPr="00EE3800" w:rsidRDefault="00244D51" w:rsidP="00482922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Immediately determine the status of any recalled product.</w:t>
            </w:r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Call the patient locations to stop transfusions of any issued products that may have transfusions pending.</w:t>
            </w:r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Call the Medical Director if any product(s) have been transfused.</w:t>
            </w:r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Remove and quarantine any product left in inventory.</w:t>
            </w:r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Complete the Recall Notification Form, and QIM form.</w:t>
            </w:r>
          </w:p>
          <w:p w:rsidR="00244D51" w:rsidRPr="00EE3800" w:rsidRDefault="00244D51" w:rsidP="00482922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Provide the following to the FDA:</w:t>
            </w:r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Total amount of the product in TSL inventory.</w:t>
            </w:r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Total amount of the product that has been distributed, if any.</w:t>
            </w:r>
            <w:bookmarkStart w:id="0" w:name="_GoBack"/>
            <w:bookmarkEnd w:id="0"/>
          </w:p>
          <w:p w:rsidR="00244D51" w:rsidRPr="00EE3800" w:rsidRDefault="00244D5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Distribution information</w:t>
            </w:r>
          </w:p>
          <w:p w:rsidR="00244D51" w:rsidRPr="00EE3800" w:rsidRDefault="00244D51" w:rsidP="005908E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Name and phone number of the Medical Director and Manager of the TSL.</w:t>
            </w:r>
          </w:p>
          <w:p w:rsidR="00244D51" w:rsidRPr="00EE3800" w:rsidRDefault="00244D51" w:rsidP="00B32BCA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2251" w:type="dxa"/>
          </w:tcPr>
          <w:p w:rsidR="00244D51" w:rsidRPr="00EE3800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Recall Notification Form</w:t>
            </w:r>
          </w:p>
          <w:p w:rsidR="00244D51" w:rsidRPr="00EE3800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Quality Improvement Monitor Form</w:t>
            </w:r>
          </w:p>
          <w:p w:rsidR="00244D51" w:rsidRPr="00EE3800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Using the Quality Improvement Monitor Form</w:t>
            </w:r>
          </w:p>
          <w:p w:rsidR="00244D51" w:rsidRPr="00EE3800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Patient Safety Network</w:t>
            </w:r>
            <w:r w:rsidR="00866C7B" w:rsidRPr="00EE3800">
              <w:rPr>
                <w:sz w:val="22"/>
              </w:rPr>
              <w:t xml:space="preserve"> (PSN)</w:t>
            </w:r>
          </w:p>
        </w:tc>
      </w:tr>
    </w:tbl>
    <w:p w:rsidR="007C7DE8" w:rsidRDefault="007C7DE8"/>
    <w:p w:rsidR="007C7DE8" w:rsidRDefault="007C7DE8"/>
    <w:p w:rsidR="007C7DE8" w:rsidRDefault="007C7DE8"/>
    <w:p w:rsidR="007C7DE8" w:rsidRDefault="007C7DE8"/>
    <w:p w:rsidR="007C7DE8" w:rsidRDefault="007C7D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4700"/>
        <w:gridCol w:w="5957"/>
        <w:gridCol w:w="2251"/>
      </w:tblGrid>
      <w:tr w:rsidR="00244D51" w:rsidRPr="00EE3800" w:rsidTr="00866C7B">
        <w:tc>
          <w:tcPr>
            <w:tcW w:w="1708" w:type="dxa"/>
          </w:tcPr>
          <w:p w:rsidR="00244D51" w:rsidRPr="00EE3800" w:rsidRDefault="00244D5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lastRenderedPageBreak/>
              <w:t>Type of Recall</w:t>
            </w:r>
          </w:p>
        </w:tc>
        <w:tc>
          <w:tcPr>
            <w:tcW w:w="4700" w:type="dxa"/>
          </w:tcPr>
          <w:p w:rsidR="00244D51" w:rsidRPr="00EE3800" w:rsidRDefault="00244D51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Recall Reason</w:t>
            </w:r>
          </w:p>
        </w:tc>
        <w:tc>
          <w:tcPr>
            <w:tcW w:w="5957" w:type="dxa"/>
          </w:tcPr>
          <w:p w:rsidR="00244D51" w:rsidRPr="00EE3800" w:rsidRDefault="00244D51" w:rsidP="00482922">
            <w:pPr>
              <w:pStyle w:val="ListParagraph"/>
              <w:tabs>
                <w:tab w:val="left" w:pos="930"/>
              </w:tabs>
              <w:ind w:left="0"/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TSL Response</w:t>
            </w:r>
          </w:p>
        </w:tc>
        <w:tc>
          <w:tcPr>
            <w:tcW w:w="2251" w:type="dxa"/>
          </w:tcPr>
          <w:p w:rsidR="00244D51" w:rsidRPr="00EE3800" w:rsidRDefault="00244D5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Related Documents</w:t>
            </w:r>
          </w:p>
        </w:tc>
      </w:tr>
      <w:tr w:rsidR="007B60C5" w:rsidRPr="00EE3800" w:rsidTr="00866C7B">
        <w:tc>
          <w:tcPr>
            <w:tcW w:w="1708" w:type="dxa"/>
          </w:tcPr>
          <w:p w:rsidR="007B60C5" w:rsidRPr="00EE3800" w:rsidRDefault="007B60C5" w:rsidP="00574A2A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Manufacturer</w:t>
            </w:r>
          </w:p>
        </w:tc>
        <w:tc>
          <w:tcPr>
            <w:tcW w:w="4700" w:type="dxa"/>
          </w:tcPr>
          <w:p w:rsidR="007B60C5" w:rsidRPr="00EE3800" w:rsidRDefault="007B60C5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Manufacturers of critical supplies and products may recall a product when they have determined that the product poses a risk to the health and welfare of patients or employees.</w:t>
            </w:r>
          </w:p>
          <w:p w:rsidR="007B60C5" w:rsidRPr="00EE3800" w:rsidRDefault="007B60C5" w:rsidP="00832201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UWMC subscribes to a national list serve for product recalls.  The </w:t>
            </w:r>
            <w:r w:rsidR="00757EEC" w:rsidRPr="00EE3800">
              <w:rPr>
                <w:sz w:val="22"/>
              </w:rPr>
              <w:t xml:space="preserve">Lab Med Compliance section </w:t>
            </w:r>
            <w:r w:rsidRPr="00EE3800">
              <w:rPr>
                <w:sz w:val="22"/>
              </w:rPr>
              <w:t>monitors the recalls, and notifies the appropriate labs.</w:t>
            </w:r>
          </w:p>
        </w:tc>
        <w:tc>
          <w:tcPr>
            <w:tcW w:w="5957" w:type="dxa"/>
          </w:tcPr>
          <w:p w:rsidR="007B60C5" w:rsidRPr="00EE3800" w:rsidRDefault="007B60C5" w:rsidP="00482922">
            <w:pPr>
              <w:pStyle w:val="ListParagraph"/>
              <w:tabs>
                <w:tab w:val="left" w:pos="930"/>
              </w:tabs>
              <w:ind w:left="0"/>
              <w:rPr>
                <w:sz w:val="22"/>
              </w:rPr>
            </w:pPr>
            <w:r w:rsidRPr="00EE3800">
              <w:rPr>
                <w:sz w:val="22"/>
              </w:rPr>
              <w:t>Remove the product from inventory immediately.</w:t>
            </w:r>
          </w:p>
          <w:p w:rsidR="007B60C5" w:rsidRPr="00832201" w:rsidRDefault="007B60C5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EE3800">
              <w:rPr>
                <w:sz w:val="22"/>
              </w:rPr>
              <w:t>Label the product as Recalled</w:t>
            </w:r>
            <w:r w:rsidR="007C7DE8">
              <w:rPr>
                <w:sz w:val="22"/>
              </w:rPr>
              <w:t xml:space="preserve"> </w:t>
            </w:r>
            <w:r w:rsidR="007C7DE8" w:rsidRPr="007C7DE8">
              <w:rPr>
                <w:sz w:val="22"/>
                <w:highlight w:val="yellow"/>
              </w:rPr>
              <w:t>Not for Transfusion sticker</w:t>
            </w:r>
          </w:p>
          <w:p w:rsidR="007B60C5" w:rsidRPr="00EE3800" w:rsidRDefault="007B60C5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Package for return, as instructed by Manufacturer.</w:t>
            </w:r>
          </w:p>
          <w:p w:rsidR="007B60C5" w:rsidRPr="00EE3800" w:rsidRDefault="007B60C5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Document on QIM Form</w:t>
            </w:r>
          </w:p>
          <w:p w:rsidR="00757EEC" w:rsidRPr="00EE3800" w:rsidRDefault="00757EEC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File documentation </w:t>
            </w:r>
          </w:p>
          <w:p w:rsidR="00757EEC" w:rsidRPr="00EE3800" w:rsidRDefault="00757EEC" w:rsidP="00757EEC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2251" w:type="dxa"/>
            <w:vMerge w:val="restart"/>
          </w:tcPr>
          <w:p w:rsidR="00757EEC" w:rsidRPr="00EE3800" w:rsidRDefault="00757EEC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Lab Med Recall Policy, Process, and Procedure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Recall Notification Form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Quality Improvement </w:t>
            </w:r>
          </w:p>
          <w:p w:rsidR="007B60C5" w:rsidRPr="00EE3800" w:rsidRDefault="007B60C5" w:rsidP="007B60C5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  <w:r w:rsidRPr="00EE3800">
              <w:rPr>
                <w:sz w:val="22"/>
              </w:rPr>
              <w:t>Monitor Form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Using the Quality Improvement Monitor Form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Patient Safety Network (PSN)</w:t>
            </w:r>
          </w:p>
        </w:tc>
      </w:tr>
      <w:tr w:rsidR="007B60C5" w:rsidRPr="00EE3800" w:rsidTr="00866C7B">
        <w:tc>
          <w:tcPr>
            <w:tcW w:w="1708" w:type="dxa"/>
          </w:tcPr>
          <w:p w:rsidR="007B60C5" w:rsidRPr="00EE3800" w:rsidRDefault="007B60C5" w:rsidP="00574A2A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Blood Supplier</w:t>
            </w:r>
          </w:p>
        </w:tc>
        <w:tc>
          <w:tcPr>
            <w:tcW w:w="4700" w:type="dxa"/>
          </w:tcPr>
          <w:p w:rsidR="007B60C5" w:rsidRPr="00EE3800" w:rsidRDefault="007B60C5" w:rsidP="009509A8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Blood suppliers are required to recall blood products, tissues, or derivatives that are determined after release/distribution, not to conform to specified requirements, when that nonconformance may have affected the </w:t>
            </w:r>
            <w:r w:rsidR="007C7DE8" w:rsidRPr="007C7DE8">
              <w:rPr>
                <w:sz w:val="22"/>
                <w:highlight w:val="yellow"/>
              </w:rPr>
              <w:t>purity, potency, and safety</w:t>
            </w:r>
            <w:r w:rsidRPr="00EE3800">
              <w:rPr>
                <w:sz w:val="22"/>
              </w:rPr>
              <w:t xml:space="preserve"> of the product.</w:t>
            </w:r>
          </w:p>
          <w:p w:rsidR="007B60C5" w:rsidRPr="00EE3800" w:rsidRDefault="007B60C5" w:rsidP="009D529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Supplier will call and fax recall information to TSL.</w:t>
            </w:r>
          </w:p>
          <w:p w:rsidR="007B60C5" w:rsidRPr="00EE3800" w:rsidRDefault="007B60C5" w:rsidP="00F9578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Supplier will not supply reason for recall.</w:t>
            </w:r>
          </w:p>
        </w:tc>
        <w:tc>
          <w:tcPr>
            <w:tcW w:w="5957" w:type="dxa"/>
          </w:tcPr>
          <w:p w:rsidR="007B60C5" w:rsidRPr="00EE3800" w:rsidRDefault="00866C7B" w:rsidP="00574A2A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Immediately determine</w:t>
            </w:r>
            <w:r w:rsidR="007B60C5" w:rsidRPr="00EE3800">
              <w:rPr>
                <w:sz w:val="22"/>
              </w:rPr>
              <w:t xml:space="preserve"> the status of the </w:t>
            </w:r>
            <w:r w:rsidRPr="00EE3800">
              <w:rPr>
                <w:sz w:val="22"/>
              </w:rPr>
              <w:t>recalled product(s)</w:t>
            </w:r>
          </w:p>
          <w:p w:rsidR="007B60C5" w:rsidRPr="00EE3800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Call the patient locations to stop transfusions of any issued products that may have transfusions pending.</w:t>
            </w:r>
          </w:p>
          <w:p w:rsidR="007B60C5" w:rsidRPr="00014700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014700">
              <w:rPr>
                <w:sz w:val="22"/>
                <w:highlight w:val="yellow"/>
              </w:rPr>
              <w:t xml:space="preserve">Call the TSL Medical Director if any </w:t>
            </w:r>
            <w:r w:rsidR="00014700">
              <w:rPr>
                <w:sz w:val="22"/>
                <w:highlight w:val="yellow"/>
              </w:rPr>
              <w:t xml:space="preserve">product(s) have been transfused and there is an indication that immediate follow up is necessary as in the case of TRALI or bacterial </w:t>
            </w:r>
            <w:r w:rsidR="009F03A7">
              <w:rPr>
                <w:sz w:val="22"/>
                <w:highlight w:val="yellow"/>
              </w:rPr>
              <w:t>contamination</w:t>
            </w:r>
            <w:r w:rsidR="00066D27">
              <w:rPr>
                <w:sz w:val="22"/>
                <w:highlight w:val="yellow"/>
              </w:rPr>
              <w:t xml:space="preserve">. </w:t>
            </w:r>
            <w:r w:rsidR="00014700">
              <w:rPr>
                <w:sz w:val="22"/>
                <w:highlight w:val="yellow"/>
              </w:rPr>
              <w:t>Otherwise leave the form for the TSL Medical Director’s review.</w:t>
            </w:r>
          </w:p>
          <w:p w:rsidR="007B60C5" w:rsidRPr="00EE3800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Remove and quarantine any product left in inventory, for shipment back to the supplier on the first scheduled shipment.</w:t>
            </w:r>
          </w:p>
          <w:p w:rsidR="007B60C5" w:rsidRPr="00EE3800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Complete the Recall Notification Form and leave for the TSL Medical Director and Manager.</w:t>
            </w:r>
          </w:p>
          <w:p w:rsidR="007B60C5" w:rsidRPr="00EE3800" w:rsidRDefault="007B60C5" w:rsidP="00832201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Complete QIM form</w:t>
            </w:r>
          </w:p>
        </w:tc>
        <w:tc>
          <w:tcPr>
            <w:tcW w:w="2251" w:type="dxa"/>
            <w:vMerge/>
          </w:tcPr>
          <w:p w:rsidR="007B60C5" w:rsidRPr="00EE3800" w:rsidRDefault="007B60C5" w:rsidP="00574A2A">
            <w:pPr>
              <w:tabs>
                <w:tab w:val="left" w:pos="930"/>
              </w:tabs>
              <w:rPr>
                <w:sz w:val="22"/>
              </w:rPr>
            </w:pPr>
          </w:p>
        </w:tc>
      </w:tr>
      <w:tr w:rsidR="00BC50E4" w:rsidRPr="00EE3800" w:rsidTr="00866C7B">
        <w:tc>
          <w:tcPr>
            <w:tcW w:w="1708" w:type="dxa"/>
          </w:tcPr>
          <w:p w:rsidR="00BC50E4" w:rsidRPr="00EE3800" w:rsidRDefault="00BC50E4" w:rsidP="00574A2A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Internal Nonconforming Event</w:t>
            </w:r>
          </w:p>
        </w:tc>
        <w:tc>
          <w:tcPr>
            <w:tcW w:w="4700" w:type="dxa"/>
          </w:tcPr>
          <w:p w:rsidR="00E70F58" w:rsidRPr="00EE3800" w:rsidRDefault="00E70F58" w:rsidP="008B53C0">
            <w:pPr>
              <w:tabs>
                <w:tab w:val="left" w:pos="930"/>
              </w:tabs>
              <w:rPr>
                <w:b/>
                <w:sz w:val="22"/>
              </w:rPr>
            </w:pPr>
            <w:r w:rsidRPr="00EE3800">
              <w:rPr>
                <w:b/>
                <w:sz w:val="22"/>
              </w:rPr>
              <w:t>Retrieval:</w:t>
            </w:r>
          </w:p>
          <w:p w:rsidR="00BC50E4" w:rsidRPr="00EE3800" w:rsidRDefault="00BC50E4" w:rsidP="008B53C0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In the event that a testing error, or instrument malfunction that may affect the purity, potency, or </w:t>
            </w:r>
            <w:r w:rsidR="008B53C0" w:rsidRPr="00EE3800">
              <w:rPr>
                <w:sz w:val="22"/>
              </w:rPr>
              <w:t xml:space="preserve">safety of a product </w:t>
            </w:r>
            <w:r w:rsidRPr="00EE3800">
              <w:rPr>
                <w:sz w:val="22"/>
              </w:rPr>
              <w:t xml:space="preserve">is discovered </w:t>
            </w:r>
            <w:r w:rsidR="008B53C0" w:rsidRPr="00EE3800">
              <w:rPr>
                <w:sz w:val="22"/>
              </w:rPr>
              <w:t>after that product has been issued</w:t>
            </w:r>
            <w:r w:rsidR="007B60C5" w:rsidRPr="00EE3800">
              <w:rPr>
                <w:sz w:val="22"/>
              </w:rPr>
              <w:t xml:space="preserve">, all un-transfused </w:t>
            </w:r>
            <w:r w:rsidR="008B53C0" w:rsidRPr="00EE3800">
              <w:rPr>
                <w:sz w:val="22"/>
              </w:rPr>
              <w:t>products must be retrieved.</w:t>
            </w:r>
            <w:r w:rsidR="007B60C5" w:rsidRPr="00EE3800">
              <w:rPr>
                <w:sz w:val="22"/>
              </w:rPr>
              <w:t xml:space="preserve">  Partially Tra</w:t>
            </w:r>
            <w:r w:rsidR="001C1D49" w:rsidRPr="00EE3800">
              <w:rPr>
                <w:sz w:val="22"/>
              </w:rPr>
              <w:t>nsfused products may be retrieved</w:t>
            </w:r>
            <w:r w:rsidR="007B60C5" w:rsidRPr="00EE3800">
              <w:rPr>
                <w:sz w:val="22"/>
              </w:rPr>
              <w:t xml:space="preserve"> if specified by the Medical Director.</w:t>
            </w:r>
          </w:p>
        </w:tc>
        <w:tc>
          <w:tcPr>
            <w:tcW w:w="5957" w:type="dxa"/>
          </w:tcPr>
          <w:p w:rsidR="008B53C0" w:rsidRPr="00EE3800" w:rsidRDefault="008B53C0" w:rsidP="008B53C0">
            <w:p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Immediat</w:t>
            </w:r>
            <w:r w:rsidR="00866C7B" w:rsidRPr="00EE3800">
              <w:rPr>
                <w:sz w:val="22"/>
              </w:rPr>
              <w:t xml:space="preserve">ely determine the status of the </w:t>
            </w:r>
            <w:r w:rsidRPr="00EE3800">
              <w:rPr>
                <w:sz w:val="22"/>
              </w:rPr>
              <w:t>product(s) involved.</w:t>
            </w:r>
          </w:p>
          <w:p w:rsidR="008B53C0" w:rsidRPr="00EE3800" w:rsidRDefault="008B53C0" w:rsidP="008B53C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Call the patient locations to stop transfusions of any issued products that may have transfusions pending</w:t>
            </w:r>
            <w:r w:rsidR="00244D51" w:rsidRPr="00EE3800">
              <w:rPr>
                <w:sz w:val="22"/>
              </w:rPr>
              <w:t>.</w:t>
            </w:r>
          </w:p>
          <w:p w:rsidR="008B53C0" w:rsidRPr="00EE3800" w:rsidRDefault="008B53C0" w:rsidP="008B53C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Call the TSL Medical Director if any product(s) have been transfused.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Get Medical Director </w:t>
            </w:r>
            <w:proofErr w:type="gramStart"/>
            <w:r w:rsidRPr="00EE3800">
              <w:rPr>
                <w:sz w:val="22"/>
              </w:rPr>
              <w:t>consult</w:t>
            </w:r>
            <w:proofErr w:type="gramEnd"/>
            <w:r w:rsidRPr="00EE3800">
              <w:rPr>
                <w:sz w:val="22"/>
              </w:rPr>
              <w:t xml:space="preserve"> for units in process of transfusion.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Complete QIM form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Manager will follow BPDR </w:t>
            </w:r>
            <w:r w:rsidR="007C7DE8">
              <w:rPr>
                <w:sz w:val="22"/>
              </w:rPr>
              <w:t>(</w:t>
            </w:r>
            <w:r w:rsidR="007C7DE8" w:rsidRPr="007C7DE8">
              <w:rPr>
                <w:sz w:val="22"/>
                <w:highlight w:val="yellow"/>
              </w:rPr>
              <w:t>Blood Product Deviation Reporting</w:t>
            </w:r>
            <w:r w:rsidR="007C7DE8">
              <w:rPr>
                <w:sz w:val="22"/>
              </w:rPr>
              <w:t>)</w:t>
            </w:r>
            <w:r w:rsidRPr="00EE3800">
              <w:rPr>
                <w:sz w:val="22"/>
              </w:rPr>
              <w:t xml:space="preserve"> process</w:t>
            </w:r>
          </w:p>
          <w:p w:rsidR="00BC50E4" w:rsidRPr="00EE3800" w:rsidRDefault="00BC50E4" w:rsidP="00244D51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2251" w:type="dxa"/>
          </w:tcPr>
          <w:p w:rsidR="007B60C5" w:rsidRPr="00EE3800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 xml:space="preserve">Quality Improvement </w:t>
            </w:r>
          </w:p>
          <w:p w:rsidR="007B60C5" w:rsidRPr="00EE3800" w:rsidRDefault="007B60C5" w:rsidP="007B60C5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  <w:r w:rsidRPr="00EE3800">
              <w:rPr>
                <w:sz w:val="22"/>
              </w:rPr>
              <w:t>Monitor Form</w:t>
            </w:r>
          </w:p>
          <w:p w:rsidR="007B60C5" w:rsidRPr="00EE3800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Using the Quality Improvement Monitor Form</w:t>
            </w:r>
          </w:p>
          <w:p w:rsidR="00BC50E4" w:rsidRPr="00EE3800" w:rsidRDefault="00866C7B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EE3800">
              <w:rPr>
                <w:sz w:val="22"/>
              </w:rPr>
              <w:t>FDA-CBER Biological Deviation Reporting</w:t>
            </w:r>
          </w:p>
        </w:tc>
      </w:tr>
    </w:tbl>
    <w:p w:rsidR="00866C7B" w:rsidRPr="00EE3800" w:rsidRDefault="005908E6" w:rsidP="00574A2A">
      <w:pPr>
        <w:tabs>
          <w:tab w:val="left" w:pos="930"/>
        </w:tabs>
        <w:rPr>
          <w:b/>
          <w:sz w:val="22"/>
        </w:rPr>
      </w:pPr>
      <w:r w:rsidRPr="00EE3800">
        <w:rPr>
          <w:b/>
          <w:sz w:val="22"/>
        </w:rPr>
        <w:lastRenderedPageBreak/>
        <w:t>References</w:t>
      </w:r>
    </w:p>
    <w:p w:rsidR="005908E6" w:rsidRPr="00D62004" w:rsidRDefault="005908E6" w:rsidP="00574A2A">
      <w:pPr>
        <w:tabs>
          <w:tab w:val="left" w:pos="930"/>
        </w:tabs>
        <w:rPr>
          <w:sz w:val="22"/>
        </w:rPr>
      </w:pPr>
      <w:r w:rsidRPr="00EE3800">
        <w:rPr>
          <w:sz w:val="22"/>
        </w:rPr>
        <w:t>AABB Standards for Blood Banks and Transfusion Services, Current Edition</w:t>
      </w:r>
      <w:proofErr w:type="gramStart"/>
      <w:r w:rsidRPr="00EE3800">
        <w:rPr>
          <w:sz w:val="22"/>
        </w:rPr>
        <w:t>..</w:t>
      </w:r>
      <w:proofErr w:type="gramEnd"/>
    </w:p>
    <w:sectPr w:rsidR="005908E6" w:rsidRPr="00D62004" w:rsidSect="005908E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7B" w:rsidRDefault="00A1217B" w:rsidP="009D5290">
      <w:r>
        <w:separator/>
      </w:r>
    </w:p>
  </w:endnote>
  <w:endnote w:type="continuationSeparator" w:id="0">
    <w:p w:rsidR="00A1217B" w:rsidRDefault="00A1217B" w:rsidP="009D5290">
      <w:r>
        <w:continuationSeparator/>
      </w:r>
    </w:p>
  </w:endnote>
  <w:endnote w:type="continuationNotice" w:id="1">
    <w:p w:rsidR="001B1604" w:rsidRDefault="001B1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65975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908E6" w:rsidRDefault="005908E6">
            <w:pPr>
              <w:pStyle w:val="Footer"/>
              <w:jc w:val="right"/>
            </w:pPr>
            <w:r>
              <w:t xml:space="preserve">Page </w:t>
            </w:r>
            <w:r w:rsidR="00552A3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2A39">
              <w:rPr>
                <w:b/>
                <w:szCs w:val="24"/>
              </w:rPr>
              <w:fldChar w:fldCharType="separate"/>
            </w:r>
            <w:r w:rsidR="000F239C">
              <w:rPr>
                <w:b/>
                <w:noProof/>
              </w:rPr>
              <w:t>2</w:t>
            </w:r>
            <w:r w:rsidR="00552A3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52A3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2A39">
              <w:rPr>
                <w:b/>
                <w:szCs w:val="24"/>
              </w:rPr>
              <w:fldChar w:fldCharType="separate"/>
            </w:r>
            <w:r w:rsidR="000F239C">
              <w:rPr>
                <w:b/>
                <w:noProof/>
              </w:rPr>
              <w:t>3</w:t>
            </w:r>
            <w:r w:rsidR="00552A3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908E6" w:rsidRDefault="005908E6">
    <w:pPr>
      <w:pStyle w:val="Footer"/>
      <w:rPr>
        <w:sz w:val="22"/>
      </w:rPr>
    </w:pPr>
    <w:r>
      <w:rPr>
        <w:sz w:val="22"/>
      </w:rPr>
      <w:t>Transfusion Service Laboratory</w:t>
    </w:r>
  </w:p>
  <w:p w:rsidR="005908E6" w:rsidRPr="005908E6" w:rsidRDefault="005908E6">
    <w:pPr>
      <w:pStyle w:val="Footer"/>
      <w:rPr>
        <w:sz w:val="22"/>
      </w:rPr>
    </w:pPr>
    <w:r>
      <w:rPr>
        <w:sz w:val="22"/>
      </w:rPr>
      <w:t>Harborview Medical Center, 325 Ninth Ave. 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7B" w:rsidRDefault="00A1217B" w:rsidP="009D5290">
      <w:r>
        <w:separator/>
      </w:r>
    </w:p>
  </w:footnote>
  <w:footnote w:type="continuationSeparator" w:id="0">
    <w:p w:rsidR="00A1217B" w:rsidRDefault="00A1217B" w:rsidP="009D5290">
      <w:r>
        <w:continuationSeparator/>
      </w:r>
    </w:p>
  </w:footnote>
  <w:footnote w:type="continuationNotice" w:id="1">
    <w:p w:rsidR="001B1604" w:rsidRDefault="001B16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90" w:rsidRPr="00DD0019" w:rsidRDefault="009D5290">
    <w:pPr>
      <w:pStyle w:val="Header"/>
      <w:rPr>
        <w:b/>
      </w:rPr>
    </w:pPr>
    <w:r w:rsidRPr="00DD0019">
      <w:rPr>
        <w:b/>
      </w:rPr>
      <w:t xml:space="preserve"> </w:t>
    </w:r>
    <w:r w:rsidRPr="00DD0019">
      <w:rPr>
        <w:b/>
        <w:sz w:val="22"/>
      </w:rPr>
      <w:t>Recall</w:t>
    </w:r>
    <w:r w:rsidRPr="00DD0019">
      <w:rPr>
        <w:b/>
      </w:rPr>
      <w:t xml:space="preserve"> </w:t>
    </w:r>
    <w:r w:rsidR="00866C7B" w:rsidRPr="00DD0019">
      <w:rPr>
        <w:b/>
        <w:sz w:val="22"/>
      </w:rPr>
      <w:t xml:space="preserve">of </w:t>
    </w:r>
    <w:r w:rsidRPr="00DD0019">
      <w:rPr>
        <w:b/>
        <w:sz w:val="22"/>
      </w:rPr>
      <w:t>Nonconforming Products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411"/>
    <w:multiLevelType w:val="hybridMultilevel"/>
    <w:tmpl w:val="1B88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4287A"/>
    <w:multiLevelType w:val="hybridMultilevel"/>
    <w:tmpl w:val="F54AA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94A38"/>
    <w:multiLevelType w:val="hybridMultilevel"/>
    <w:tmpl w:val="285CA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B61FB"/>
    <w:multiLevelType w:val="hybridMultilevel"/>
    <w:tmpl w:val="EE389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03450"/>
    <w:multiLevelType w:val="hybridMultilevel"/>
    <w:tmpl w:val="1A1E5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D779E2"/>
    <w:multiLevelType w:val="hybridMultilevel"/>
    <w:tmpl w:val="26F4D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3720F1"/>
    <w:multiLevelType w:val="hybridMultilevel"/>
    <w:tmpl w:val="D3866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1738A"/>
    <w:multiLevelType w:val="hybridMultilevel"/>
    <w:tmpl w:val="216CB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CC56D5"/>
    <w:multiLevelType w:val="hybridMultilevel"/>
    <w:tmpl w:val="2320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41F5"/>
    <w:rsid w:val="00014700"/>
    <w:rsid w:val="00066D27"/>
    <w:rsid w:val="000F239C"/>
    <w:rsid w:val="001040CA"/>
    <w:rsid w:val="001B1604"/>
    <w:rsid w:val="001B6B34"/>
    <w:rsid w:val="001C1D49"/>
    <w:rsid w:val="00244D51"/>
    <w:rsid w:val="00254B33"/>
    <w:rsid w:val="003C0E43"/>
    <w:rsid w:val="003C4983"/>
    <w:rsid w:val="003F2B28"/>
    <w:rsid w:val="004017FB"/>
    <w:rsid w:val="00523D8C"/>
    <w:rsid w:val="00552A39"/>
    <w:rsid w:val="00574A2A"/>
    <w:rsid w:val="005908E6"/>
    <w:rsid w:val="005E4CAC"/>
    <w:rsid w:val="0064249A"/>
    <w:rsid w:val="00757EEC"/>
    <w:rsid w:val="007B3BC5"/>
    <w:rsid w:val="007B60C5"/>
    <w:rsid w:val="007C7DE8"/>
    <w:rsid w:val="007D32B1"/>
    <w:rsid w:val="007E1E89"/>
    <w:rsid w:val="00827398"/>
    <w:rsid w:val="00832201"/>
    <w:rsid w:val="00866C7B"/>
    <w:rsid w:val="008A3497"/>
    <w:rsid w:val="008B53C0"/>
    <w:rsid w:val="009509A8"/>
    <w:rsid w:val="009878E7"/>
    <w:rsid w:val="009D5290"/>
    <w:rsid w:val="009F03A7"/>
    <w:rsid w:val="00A1217B"/>
    <w:rsid w:val="00AE7237"/>
    <w:rsid w:val="00B32BCA"/>
    <w:rsid w:val="00BC50E4"/>
    <w:rsid w:val="00C82C04"/>
    <w:rsid w:val="00C854C8"/>
    <w:rsid w:val="00CA6D90"/>
    <w:rsid w:val="00D62004"/>
    <w:rsid w:val="00DD0019"/>
    <w:rsid w:val="00E22741"/>
    <w:rsid w:val="00E70F58"/>
    <w:rsid w:val="00EE3800"/>
    <w:rsid w:val="00F05BAF"/>
    <w:rsid w:val="00F5541A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rsid w:val="009D5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290"/>
    <w:rPr>
      <w:sz w:val="24"/>
    </w:rPr>
  </w:style>
  <w:style w:type="paragraph" w:styleId="Footer">
    <w:name w:val="footer"/>
    <w:basedOn w:val="Normal"/>
    <w:link w:val="FooterChar"/>
    <w:uiPriority w:val="99"/>
    <w:rsid w:val="009D5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0"/>
    <w:rPr>
      <w:sz w:val="24"/>
    </w:rPr>
  </w:style>
  <w:style w:type="paragraph" w:styleId="BalloonText">
    <w:name w:val="Balloon Text"/>
    <w:basedOn w:val="Normal"/>
    <w:link w:val="BalloonTextChar"/>
    <w:rsid w:val="00AE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2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60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rsid w:val="009D5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290"/>
    <w:rPr>
      <w:sz w:val="24"/>
    </w:rPr>
  </w:style>
  <w:style w:type="paragraph" w:styleId="Footer">
    <w:name w:val="footer"/>
    <w:basedOn w:val="Normal"/>
    <w:link w:val="FooterChar"/>
    <w:uiPriority w:val="99"/>
    <w:rsid w:val="009D5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0"/>
    <w:rPr>
      <w:sz w:val="24"/>
    </w:rPr>
  </w:style>
  <w:style w:type="paragraph" w:styleId="BalloonText">
    <w:name w:val="Balloon Text"/>
    <w:basedOn w:val="Normal"/>
    <w:link w:val="BalloonTextChar"/>
    <w:rsid w:val="00AE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2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6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epts.washington.edu/labweb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D907-143D-4BFF-82EF-79B3965D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4459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senn</cp:lastModifiedBy>
  <cp:revision>3</cp:revision>
  <cp:lastPrinted>2014-08-05T19:52:00Z</cp:lastPrinted>
  <dcterms:created xsi:type="dcterms:W3CDTF">2014-08-06T22:52:00Z</dcterms:created>
  <dcterms:modified xsi:type="dcterms:W3CDTF">2014-08-06T23:05:00Z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-1415997684</vt:i4>
  </property>
</Properties>
</file>