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922856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>325 9</w:t>
            </w:r>
            <w:r w:rsidRPr="00574A2A">
              <w:rPr>
                <w:b/>
                <w:sz w:val="22"/>
                <w:vertAlign w:val="superscript"/>
              </w:rPr>
              <w:t>th</w:t>
            </w:r>
            <w:r w:rsidRPr="00574A2A">
              <w:rPr>
                <w:b/>
                <w:sz w:val="22"/>
              </w:rPr>
              <w:t xml:space="preserve"> </w:t>
            </w:r>
            <w:r w:rsidR="003C4983" w:rsidRPr="00574A2A">
              <w:rPr>
                <w:b/>
                <w:sz w:val="22"/>
              </w:rPr>
              <w:t>Ave</w:t>
            </w:r>
            <w:r w:rsidRPr="00574A2A">
              <w:rPr>
                <w:b/>
                <w:sz w:val="22"/>
              </w:rPr>
              <w:t>. Seattle, WA,  9810</w:t>
            </w:r>
            <w:r w:rsidR="00C854C8" w:rsidRPr="00574A2A">
              <w:rPr>
                <w:b/>
                <w:sz w:val="22"/>
              </w:rPr>
              <w:t>4</w:t>
            </w:r>
          </w:p>
          <w:p w:rsidR="00F05BAF" w:rsidRPr="00574A2A" w:rsidRDefault="00F05BAF" w:rsidP="00F5541A">
            <w:pPr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>Original Effective Date:</w:t>
            </w:r>
          </w:p>
          <w:p w:rsidR="00F05BAF" w:rsidRPr="00574A2A" w:rsidRDefault="00F05BAF" w:rsidP="00444724">
            <w:pPr>
              <w:jc w:val="both"/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 xml:space="preserve"> </w:t>
            </w:r>
            <w:r w:rsidR="00ED69E4">
              <w:rPr>
                <w:b/>
                <w:sz w:val="22"/>
              </w:rPr>
              <w:t>August 1</w:t>
            </w:r>
            <w:r w:rsidR="00444724">
              <w:rPr>
                <w:b/>
                <w:sz w:val="22"/>
              </w:rPr>
              <w:t>,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 xml:space="preserve">Number: </w:t>
            </w:r>
          </w:p>
          <w:p w:rsidR="00F05BAF" w:rsidRPr="00574A2A" w:rsidRDefault="00444724" w:rsidP="00F5541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1401-</w:t>
            </w:r>
            <w:r w:rsidR="003B1352">
              <w:rPr>
                <w:b/>
                <w:sz w:val="22"/>
              </w:rPr>
              <w:t>2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b/>
                <w:sz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>Revision Effective Date:</w:t>
            </w:r>
          </w:p>
          <w:p w:rsidR="00F05BAF" w:rsidRPr="003B1352" w:rsidRDefault="003B1352" w:rsidP="00F5541A">
            <w:pPr>
              <w:jc w:val="both"/>
              <w:rPr>
                <w:sz w:val="22"/>
              </w:rPr>
            </w:pPr>
            <w:r>
              <w:rPr>
                <w:sz w:val="22"/>
              </w:rPr>
              <w:t>2/1/14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Default="00F05BAF" w:rsidP="00F5541A">
            <w:pPr>
              <w:jc w:val="both"/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 xml:space="preserve">Pages: </w:t>
            </w:r>
          </w:p>
          <w:p w:rsidR="00EA58CF" w:rsidRPr="00574A2A" w:rsidRDefault="00474C17" w:rsidP="00F5541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bookmarkStart w:id="0" w:name="_GoBack"/>
            <w:bookmarkEnd w:id="0"/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4A7F21" w:rsidRDefault="00F05BAF" w:rsidP="0064249A">
            <w:pPr>
              <w:rPr>
                <w:b/>
                <w:sz w:val="28"/>
                <w:szCs w:val="28"/>
              </w:rPr>
            </w:pPr>
            <w:r w:rsidRPr="00574A2A">
              <w:rPr>
                <w:b/>
                <w:sz w:val="22"/>
              </w:rPr>
              <w:t>TITLE</w:t>
            </w:r>
            <w:r w:rsidRPr="004A7F21">
              <w:rPr>
                <w:b/>
                <w:sz w:val="28"/>
                <w:szCs w:val="28"/>
              </w:rPr>
              <w:t xml:space="preserve">:  </w:t>
            </w:r>
            <w:r w:rsidR="00444724" w:rsidRPr="004A7F21">
              <w:rPr>
                <w:b/>
                <w:sz w:val="28"/>
                <w:szCs w:val="28"/>
              </w:rPr>
              <w:t>QSE:  Suppliers and Supply Management</w:t>
            </w:r>
          </w:p>
          <w:p w:rsidR="00444724" w:rsidRPr="00574A2A" w:rsidRDefault="00444724" w:rsidP="0064249A">
            <w:pPr>
              <w:rPr>
                <w:b/>
                <w:sz w:val="22"/>
              </w:rPr>
            </w:pPr>
            <w:r w:rsidRPr="004A7F21">
              <w:rPr>
                <w:b/>
                <w:sz w:val="28"/>
                <w:szCs w:val="28"/>
              </w:rPr>
              <w:t xml:space="preserve">              Quality Policy:  Supplier Selection and Qualification</w:t>
            </w:r>
          </w:p>
        </w:tc>
      </w:tr>
    </w:tbl>
    <w:p w:rsidR="00574A2A" w:rsidRDefault="00444724" w:rsidP="00574A2A">
      <w:pPr>
        <w:tabs>
          <w:tab w:val="left" w:pos="930"/>
        </w:tabs>
        <w:rPr>
          <w:b/>
          <w:sz w:val="22"/>
        </w:rPr>
      </w:pPr>
      <w:r>
        <w:rPr>
          <w:b/>
          <w:sz w:val="22"/>
        </w:rPr>
        <w:t>Policy:</w:t>
      </w:r>
    </w:p>
    <w:p w:rsidR="00444724" w:rsidRDefault="00444724" w:rsidP="00574A2A">
      <w:pPr>
        <w:tabs>
          <w:tab w:val="left" w:pos="930"/>
        </w:tabs>
        <w:rPr>
          <w:b/>
          <w:sz w:val="22"/>
        </w:rPr>
      </w:pPr>
    </w:p>
    <w:p w:rsidR="00444724" w:rsidRDefault="00474EC8" w:rsidP="00574A2A">
      <w:pPr>
        <w:tabs>
          <w:tab w:val="left" w:pos="930"/>
        </w:tabs>
        <w:rPr>
          <w:sz w:val="22"/>
        </w:rPr>
      </w:pPr>
      <w:r>
        <w:rPr>
          <w:sz w:val="22"/>
        </w:rPr>
        <w:t xml:space="preserve">Harborview Medical Center Transfusion Service has defined requirements and established criteria that must be met by the vendors who </w:t>
      </w:r>
      <w:r w:rsidR="00EB5D5F">
        <w:rPr>
          <w:sz w:val="22"/>
        </w:rPr>
        <w:t xml:space="preserve">are selected to </w:t>
      </w:r>
      <w:r>
        <w:rPr>
          <w:sz w:val="22"/>
        </w:rPr>
        <w:t xml:space="preserve">provide critical services, products, and </w:t>
      </w:r>
      <w:r w:rsidR="003B1352">
        <w:rPr>
          <w:sz w:val="22"/>
        </w:rPr>
        <w:t>supplies used by the TSL.</w:t>
      </w:r>
    </w:p>
    <w:p w:rsidR="00474EC8" w:rsidRDefault="00474EC8" w:rsidP="00574A2A">
      <w:pPr>
        <w:tabs>
          <w:tab w:val="left" w:pos="930"/>
        </w:tabs>
        <w:rPr>
          <w:sz w:val="22"/>
        </w:rPr>
      </w:pPr>
    </w:p>
    <w:p w:rsidR="00474EC8" w:rsidRDefault="00474EC8" w:rsidP="00574A2A">
      <w:pPr>
        <w:tabs>
          <w:tab w:val="left" w:pos="930"/>
        </w:tabs>
        <w:rPr>
          <w:b/>
          <w:sz w:val="22"/>
        </w:rPr>
      </w:pPr>
      <w:r w:rsidRPr="00474EC8">
        <w:rPr>
          <w:b/>
          <w:sz w:val="22"/>
        </w:rPr>
        <w:t>Purpose:</w:t>
      </w:r>
    </w:p>
    <w:p w:rsidR="00474EC8" w:rsidRDefault="00474EC8" w:rsidP="00574A2A">
      <w:pPr>
        <w:tabs>
          <w:tab w:val="left" w:pos="930"/>
        </w:tabs>
        <w:rPr>
          <w:b/>
          <w:sz w:val="22"/>
        </w:rPr>
      </w:pPr>
    </w:p>
    <w:p w:rsidR="00474EC8" w:rsidRDefault="00474EC8" w:rsidP="00574A2A">
      <w:pPr>
        <w:tabs>
          <w:tab w:val="left" w:pos="930"/>
        </w:tabs>
        <w:rPr>
          <w:sz w:val="22"/>
        </w:rPr>
      </w:pPr>
      <w:r>
        <w:rPr>
          <w:sz w:val="22"/>
        </w:rPr>
        <w:t>To provide direction for the processes and procedures used to select and monitor the provision of critical services, products, and supplies.</w:t>
      </w:r>
    </w:p>
    <w:p w:rsidR="00474EC8" w:rsidRDefault="00474EC8" w:rsidP="00574A2A">
      <w:pPr>
        <w:tabs>
          <w:tab w:val="left" w:pos="930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7960"/>
      </w:tblGrid>
      <w:tr w:rsidR="00922856" w:rsidRPr="00415EA9" w:rsidTr="00922856">
        <w:tc>
          <w:tcPr>
            <w:tcW w:w="2516" w:type="dxa"/>
          </w:tcPr>
          <w:p w:rsidR="00922856" w:rsidRPr="004F50FB" w:rsidRDefault="00922856" w:rsidP="00415EA9">
            <w:pPr>
              <w:tabs>
                <w:tab w:val="left" w:pos="930"/>
              </w:tabs>
              <w:rPr>
                <w:b/>
                <w:sz w:val="22"/>
              </w:rPr>
            </w:pPr>
            <w:r w:rsidRPr="004F50FB">
              <w:rPr>
                <w:b/>
                <w:sz w:val="22"/>
              </w:rPr>
              <w:t>Vendor Category</w:t>
            </w:r>
          </w:p>
        </w:tc>
        <w:tc>
          <w:tcPr>
            <w:tcW w:w="7960" w:type="dxa"/>
          </w:tcPr>
          <w:p w:rsidR="00EA58CF" w:rsidRPr="004F50FB" w:rsidRDefault="00922856" w:rsidP="00415EA9">
            <w:pPr>
              <w:tabs>
                <w:tab w:val="left" w:pos="930"/>
              </w:tabs>
              <w:rPr>
                <w:b/>
                <w:sz w:val="22"/>
              </w:rPr>
            </w:pPr>
            <w:r w:rsidRPr="004F50FB">
              <w:rPr>
                <w:b/>
                <w:sz w:val="22"/>
              </w:rPr>
              <w:t>Qualifying Requirements</w:t>
            </w:r>
            <w:r w:rsidR="00EA58CF">
              <w:rPr>
                <w:b/>
                <w:sz w:val="22"/>
              </w:rPr>
              <w:t xml:space="preserve"> for Vendors</w:t>
            </w:r>
          </w:p>
        </w:tc>
      </w:tr>
      <w:tr w:rsidR="00922856" w:rsidRPr="00415EA9" w:rsidTr="00633E75">
        <w:tc>
          <w:tcPr>
            <w:tcW w:w="2516" w:type="dxa"/>
          </w:tcPr>
          <w:p w:rsidR="00922856" w:rsidRPr="002531EC" w:rsidRDefault="00922856" w:rsidP="00415EA9">
            <w:pPr>
              <w:tabs>
                <w:tab w:val="left" w:pos="930"/>
              </w:tabs>
              <w:rPr>
                <w:b/>
                <w:sz w:val="22"/>
              </w:rPr>
            </w:pPr>
            <w:r w:rsidRPr="002531EC">
              <w:rPr>
                <w:b/>
                <w:sz w:val="22"/>
              </w:rPr>
              <w:t>Reagent, Instrument,</w:t>
            </w:r>
            <w:r w:rsidR="009B78D6" w:rsidRPr="002531EC">
              <w:rPr>
                <w:b/>
                <w:sz w:val="22"/>
              </w:rPr>
              <w:t xml:space="preserve"> Equipment,</w:t>
            </w:r>
            <w:r w:rsidRPr="002531EC">
              <w:rPr>
                <w:b/>
                <w:sz w:val="22"/>
              </w:rPr>
              <w:t xml:space="preserve"> and Consumable Suppliers</w:t>
            </w:r>
          </w:p>
        </w:tc>
        <w:tc>
          <w:tcPr>
            <w:tcW w:w="7960" w:type="dxa"/>
          </w:tcPr>
          <w:p w:rsidR="00922856" w:rsidRDefault="00922856" w:rsidP="00922856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Provide materials</w:t>
            </w:r>
            <w:r w:rsidR="009B78D6">
              <w:rPr>
                <w:sz w:val="22"/>
              </w:rPr>
              <w:t xml:space="preserve"> and equipment that meet applicable FDA req</w:t>
            </w:r>
            <w:r>
              <w:rPr>
                <w:sz w:val="22"/>
              </w:rPr>
              <w:t>uirements.</w:t>
            </w:r>
          </w:p>
          <w:p w:rsidR="00922856" w:rsidRDefault="00922856" w:rsidP="00922856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Be able to supply products at a level that meets the needs of the department.</w:t>
            </w:r>
          </w:p>
          <w:p w:rsidR="00922856" w:rsidRDefault="00922856" w:rsidP="00922856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Ship products</w:t>
            </w:r>
            <w:r w:rsidR="009B78D6">
              <w:rPr>
                <w:sz w:val="22"/>
              </w:rPr>
              <w:t>/equipment</w:t>
            </w:r>
            <w:r>
              <w:rPr>
                <w:sz w:val="22"/>
              </w:rPr>
              <w:t xml:space="preserve"> appropriately.</w:t>
            </w:r>
          </w:p>
          <w:p w:rsidR="00922856" w:rsidRDefault="00922856" w:rsidP="00922856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Supply training and support as needed.</w:t>
            </w:r>
          </w:p>
          <w:p w:rsidR="00922856" w:rsidRDefault="00922856" w:rsidP="00922856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Provide written instructions for use of the products</w:t>
            </w:r>
            <w:r w:rsidR="009B78D6">
              <w:rPr>
                <w:sz w:val="22"/>
              </w:rPr>
              <w:t>/equipment</w:t>
            </w:r>
            <w:r>
              <w:rPr>
                <w:sz w:val="22"/>
              </w:rPr>
              <w:t xml:space="preserve"> supp</w:t>
            </w:r>
            <w:r w:rsidR="009B78D6">
              <w:rPr>
                <w:sz w:val="22"/>
              </w:rPr>
              <w:t>l</w:t>
            </w:r>
            <w:r>
              <w:rPr>
                <w:sz w:val="22"/>
              </w:rPr>
              <w:t>ied.</w:t>
            </w:r>
          </w:p>
          <w:p w:rsidR="00922856" w:rsidRDefault="00922856" w:rsidP="00922856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Provide directions for handling and storage of products</w:t>
            </w:r>
            <w:r w:rsidR="009B78D6">
              <w:rPr>
                <w:sz w:val="22"/>
              </w:rPr>
              <w:t>/equipment.</w:t>
            </w:r>
          </w:p>
          <w:p w:rsidR="00922856" w:rsidRDefault="00922856" w:rsidP="00922856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Provide Material Safety Data Sheets (MSDS) where applicable.</w:t>
            </w:r>
          </w:p>
          <w:p w:rsidR="00922856" w:rsidRPr="00415EA9" w:rsidRDefault="00922856" w:rsidP="00415EA9">
            <w:pPr>
              <w:tabs>
                <w:tab w:val="left" w:pos="930"/>
              </w:tabs>
              <w:rPr>
                <w:sz w:val="22"/>
              </w:rPr>
            </w:pPr>
          </w:p>
        </w:tc>
      </w:tr>
      <w:tr w:rsidR="00922856" w:rsidRPr="00415EA9" w:rsidTr="00AE5687">
        <w:tc>
          <w:tcPr>
            <w:tcW w:w="2516" w:type="dxa"/>
          </w:tcPr>
          <w:p w:rsidR="00922856" w:rsidRPr="002531EC" w:rsidRDefault="00922856" w:rsidP="00415EA9">
            <w:pPr>
              <w:tabs>
                <w:tab w:val="left" w:pos="930"/>
              </w:tabs>
              <w:rPr>
                <w:b/>
                <w:sz w:val="22"/>
              </w:rPr>
            </w:pPr>
            <w:r w:rsidRPr="002531EC">
              <w:rPr>
                <w:b/>
                <w:sz w:val="22"/>
              </w:rPr>
              <w:t>Blood Suppliers and Reference/Consultation Services</w:t>
            </w:r>
          </w:p>
        </w:tc>
        <w:tc>
          <w:tcPr>
            <w:tcW w:w="7960" w:type="dxa"/>
          </w:tcPr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Be FDA/CBER-licensed and meet FDA requirements.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Be AABB accredited and meet AABB requirements.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Be CLIA compliant.</w:t>
            </w:r>
          </w:p>
          <w:p w:rsidR="003B1352" w:rsidRPr="00074DFE" w:rsidRDefault="003B1352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 w:rsidRPr="00074DFE">
              <w:rPr>
                <w:sz w:val="22"/>
              </w:rPr>
              <w:t>Maintains a program utilizing measures documented to reduce the risk of TRALI.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Be able to supply products or services at a level that meets the needs of the department.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Provide delivery services that are cost-effective, reliable, timely, and frequent enough to meet the department needs.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Ship products appropriately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 xml:space="preserve">Reports reference </w:t>
            </w:r>
            <w:r w:rsidR="00EB5D5F">
              <w:rPr>
                <w:sz w:val="22"/>
              </w:rPr>
              <w:t xml:space="preserve">testing results promptly by fax </w:t>
            </w:r>
            <w:r>
              <w:rPr>
                <w:sz w:val="22"/>
              </w:rPr>
              <w:t>in a timely manner.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Has a billing department that provides timely billing and crediting.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 w:rsidRPr="00922856">
              <w:rPr>
                <w:sz w:val="22"/>
              </w:rPr>
              <w:t>Has competitive pricing that is comparable to other blood suppliers.</w:t>
            </w:r>
          </w:p>
          <w:p w:rsidR="00922856" w:rsidRDefault="00922856" w:rsidP="00922856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 xml:space="preserve">Provides timely </w:t>
            </w:r>
            <w:proofErr w:type="gramStart"/>
            <w:r>
              <w:rPr>
                <w:sz w:val="22"/>
              </w:rPr>
              <w:t>notification when changes affecting the safety of blood products are</w:t>
            </w:r>
            <w:proofErr w:type="gramEnd"/>
            <w:r>
              <w:rPr>
                <w:sz w:val="22"/>
              </w:rPr>
              <w:t xml:space="preserve"> discovered, including look-back and recall.</w:t>
            </w:r>
          </w:p>
          <w:p w:rsidR="00EA58CF" w:rsidRPr="00922856" w:rsidRDefault="00EA58CF" w:rsidP="00EA58CF">
            <w:pPr>
              <w:pStyle w:val="ListParagraph"/>
              <w:tabs>
                <w:tab w:val="left" w:pos="930"/>
              </w:tabs>
              <w:ind w:left="360"/>
              <w:rPr>
                <w:sz w:val="22"/>
              </w:rPr>
            </w:pPr>
          </w:p>
        </w:tc>
      </w:tr>
      <w:tr w:rsidR="00EB5D5F" w:rsidRPr="00415EA9" w:rsidTr="00F06546">
        <w:tc>
          <w:tcPr>
            <w:tcW w:w="2516" w:type="dxa"/>
          </w:tcPr>
          <w:p w:rsidR="00EB5D5F" w:rsidRPr="002531EC" w:rsidRDefault="00EB5D5F" w:rsidP="00415EA9">
            <w:pPr>
              <w:tabs>
                <w:tab w:val="left" w:pos="930"/>
              </w:tabs>
              <w:rPr>
                <w:b/>
                <w:sz w:val="22"/>
              </w:rPr>
            </w:pPr>
            <w:r w:rsidRPr="002531EC">
              <w:rPr>
                <w:b/>
                <w:sz w:val="22"/>
              </w:rPr>
              <w:t>Transportation</w:t>
            </w:r>
          </w:p>
        </w:tc>
        <w:tc>
          <w:tcPr>
            <w:tcW w:w="7960" w:type="dxa"/>
          </w:tcPr>
          <w:p w:rsidR="00EB5D5F" w:rsidRDefault="00EB5D5F" w:rsidP="00922856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Provide 24/7 availability.</w:t>
            </w:r>
          </w:p>
          <w:p w:rsidR="00EB5D5F" w:rsidRDefault="00EB5D5F" w:rsidP="00922856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Meet Stat timelines for delivery and pick-up.</w:t>
            </w:r>
          </w:p>
          <w:p w:rsidR="00EB5D5F" w:rsidRDefault="00EB5D5F" w:rsidP="00922856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Provide courteous service.</w:t>
            </w:r>
          </w:p>
          <w:p w:rsidR="00EA58CF" w:rsidRPr="00EA58CF" w:rsidRDefault="00EB5D5F" w:rsidP="00EA58CF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sz w:val="22"/>
              </w:rPr>
            </w:pPr>
            <w:r w:rsidRPr="00EB5D5F">
              <w:rPr>
                <w:sz w:val="22"/>
              </w:rPr>
              <w:t>Provide timely billing and crediting.</w:t>
            </w:r>
          </w:p>
        </w:tc>
      </w:tr>
    </w:tbl>
    <w:p w:rsidR="00EA58CF" w:rsidRDefault="00EA58CF" w:rsidP="00574A2A">
      <w:pPr>
        <w:tabs>
          <w:tab w:val="left" w:pos="930"/>
        </w:tabs>
        <w:rPr>
          <w:b/>
          <w:sz w:val="22"/>
        </w:rPr>
      </w:pPr>
      <w:r w:rsidRPr="00EA58CF">
        <w:rPr>
          <w:b/>
          <w:sz w:val="22"/>
        </w:rPr>
        <w:t>References</w:t>
      </w:r>
    </w:p>
    <w:p w:rsidR="00EA58CF" w:rsidRPr="00EA58CF" w:rsidRDefault="00EA58CF" w:rsidP="00574A2A">
      <w:pPr>
        <w:tabs>
          <w:tab w:val="left" w:pos="930"/>
        </w:tabs>
        <w:rPr>
          <w:sz w:val="22"/>
        </w:rPr>
      </w:pPr>
      <w:r>
        <w:rPr>
          <w:sz w:val="22"/>
        </w:rPr>
        <w:t>AABB Standards for Blood Banks and Transfusion Services, Current Edition</w:t>
      </w:r>
    </w:p>
    <w:sectPr w:rsidR="00EA58CF" w:rsidRPr="00EA58CF" w:rsidSect="00EA58C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5F" w:rsidRDefault="00EB5D5F" w:rsidP="00EB5D5F">
      <w:r>
        <w:separator/>
      </w:r>
    </w:p>
  </w:endnote>
  <w:endnote w:type="continuationSeparator" w:id="0">
    <w:p w:rsidR="00EB5D5F" w:rsidRDefault="00EB5D5F" w:rsidP="00EB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00609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A58CF" w:rsidRDefault="00EA58CF">
            <w:pPr>
              <w:pStyle w:val="Footer"/>
              <w:jc w:val="right"/>
            </w:pPr>
            <w:r>
              <w:t xml:space="preserve">Page </w:t>
            </w:r>
            <w:r w:rsidR="008D2856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D2856">
              <w:rPr>
                <w:b/>
                <w:szCs w:val="24"/>
              </w:rPr>
              <w:fldChar w:fldCharType="separate"/>
            </w:r>
            <w:r w:rsidR="003B1352">
              <w:rPr>
                <w:b/>
                <w:noProof/>
              </w:rPr>
              <w:t>2</w:t>
            </w:r>
            <w:r w:rsidR="008D2856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8D2856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D2856">
              <w:rPr>
                <w:b/>
                <w:szCs w:val="24"/>
              </w:rPr>
              <w:fldChar w:fldCharType="separate"/>
            </w:r>
            <w:r w:rsidR="00474C17">
              <w:rPr>
                <w:b/>
                <w:noProof/>
              </w:rPr>
              <w:t>1</w:t>
            </w:r>
            <w:r w:rsidR="008D2856">
              <w:rPr>
                <w:b/>
                <w:szCs w:val="24"/>
              </w:rPr>
              <w:fldChar w:fldCharType="end"/>
            </w:r>
          </w:p>
        </w:sdtContent>
      </w:sdt>
    </w:sdtContent>
  </w:sdt>
  <w:p w:rsidR="00EA58CF" w:rsidRPr="00EA58CF" w:rsidRDefault="00EA58CF">
    <w:pPr>
      <w:pStyle w:val="Footer"/>
      <w:rPr>
        <w:sz w:val="22"/>
      </w:rPr>
    </w:pPr>
    <w:r w:rsidRPr="00EA58CF">
      <w:rPr>
        <w:sz w:val="22"/>
      </w:rPr>
      <w:t>Transfusion Service Laboratory</w:t>
    </w:r>
  </w:p>
  <w:p w:rsidR="00EA58CF" w:rsidRPr="00EA58CF" w:rsidRDefault="00EA58CF">
    <w:pPr>
      <w:pStyle w:val="Footer"/>
      <w:rPr>
        <w:sz w:val="22"/>
      </w:rPr>
    </w:pPr>
    <w:r w:rsidRPr="00EA58CF">
      <w:rPr>
        <w:sz w:val="22"/>
      </w:rPr>
      <w:t>Harborview Medical Center, 325 Ninth Ave. 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5F" w:rsidRDefault="00EB5D5F" w:rsidP="00EB5D5F">
      <w:r>
        <w:separator/>
      </w:r>
    </w:p>
  </w:footnote>
  <w:footnote w:type="continuationSeparator" w:id="0">
    <w:p w:rsidR="00EB5D5F" w:rsidRDefault="00EB5D5F" w:rsidP="00EB5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CF" w:rsidRPr="00EA58CF" w:rsidRDefault="00EA58CF">
    <w:pPr>
      <w:pStyle w:val="Header"/>
      <w:rPr>
        <w:sz w:val="22"/>
      </w:rPr>
    </w:pPr>
    <w:r w:rsidRPr="00EA58CF">
      <w:rPr>
        <w:sz w:val="22"/>
      </w:rPr>
      <w:t>Quality Policy:  Supplier Selection and Qualification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AD8"/>
    <w:multiLevelType w:val="hybridMultilevel"/>
    <w:tmpl w:val="28325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7C6F3A"/>
    <w:multiLevelType w:val="hybridMultilevel"/>
    <w:tmpl w:val="93FE1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697E32"/>
    <w:multiLevelType w:val="hybridMultilevel"/>
    <w:tmpl w:val="1B2CD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36285E"/>
    <w:multiLevelType w:val="hybridMultilevel"/>
    <w:tmpl w:val="CB76E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606B4"/>
    <w:rsid w:val="00074DFE"/>
    <w:rsid w:val="001E0ADB"/>
    <w:rsid w:val="002531EC"/>
    <w:rsid w:val="003B1352"/>
    <w:rsid w:val="003C4983"/>
    <w:rsid w:val="00415EA9"/>
    <w:rsid w:val="00444724"/>
    <w:rsid w:val="00474C17"/>
    <w:rsid w:val="00474EC8"/>
    <w:rsid w:val="004A7F21"/>
    <w:rsid w:val="004F50FB"/>
    <w:rsid w:val="004F7F56"/>
    <w:rsid w:val="00574A2A"/>
    <w:rsid w:val="0064249A"/>
    <w:rsid w:val="008D2856"/>
    <w:rsid w:val="00922856"/>
    <w:rsid w:val="009B78D6"/>
    <w:rsid w:val="009D7D81"/>
    <w:rsid w:val="00BB2158"/>
    <w:rsid w:val="00BC5627"/>
    <w:rsid w:val="00C53D82"/>
    <w:rsid w:val="00C82C04"/>
    <w:rsid w:val="00C854C8"/>
    <w:rsid w:val="00D10921"/>
    <w:rsid w:val="00DE09F9"/>
    <w:rsid w:val="00EA58CF"/>
    <w:rsid w:val="00EB5D5F"/>
    <w:rsid w:val="00ED69E4"/>
    <w:rsid w:val="00F05BAF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22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2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856"/>
    <w:pPr>
      <w:ind w:left="720"/>
      <w:contextualSpacing/>
    </w:pPr>
  </w:style>
  <w:style w:type="paragraph" w:styleId="Header">
    <w:name w:val="header"/>
    <w:basedOn w:val="Normal"/>
    <w:link w:val="HeaderChar"/>
    <w:rsid w:val="00EB5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5D5F"/>
    <w:rPr>
      <w:sz w:val="24"/>
      <w:szCs w:val="22"/>
    </w:rPr>
  </w:style>
  <w:style w:type="paragraph" w:styleId="Footer">
    <w:name w:val="footer"/>
    <w:basedOn w:val="Normal"/>
    <w:link w:val="FooterChar"/>
    <w:uiPriority w:val="99"/>
    <w:rsid w:val="00EB5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D5F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22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2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856"/>
    <w:pPr>
      <w:ind w:left="720"/>
      <w:contextualSpacing/>
    </w:pPr>
  </w:style>
  <w:style w:type="paragraph" w:styleId="Header">
    <w:name w:val="header"/>
    <w:basedOn w:val="Normal"/>
    <w:link w:val="HeaderChar"/>
    <w:rsid w:val="00EB5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5D5F"/>
    <w:rPr>
      <w:sz w:val="24"/>
      <w:szCs w:val="22"/>
    </w:rPr>
  </w:style>
  <w:style w:type="paragraph" w:styleId="Footer">
    <w:name w:val="footer"/>
    <w:basedOn w:val="Normal"/>
    <w:link w:val="FooterChar"/>
    <w:uiPriority w:val="99"/>
    <w:rsid w:val="00EB5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D5F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2341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3</cp:revision>
  <cp:lastPrinted>2014-02-03T19:41:00Z</cp:lastPrinted>
  <dcterms:created xsi:type="dcterms:W3CDTF">2014-02-03T19:21:00Z</dcterms:created>
  <dcterms:modified xsi:type="dcterms:W3CDTF">2014-02-03T19:41:00Z</dcterms:modified>
</cp:coreProperties>
</file>