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FC6366" w:rsidP="00F05BAF">
      <w:pPr>
        <w:jc w:val="both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325 9</w:t>
            </w:r>
            <w:r w:rsidRPr="00574A2A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cs="Arial"/>
                <w:b/>
                <w:sz w:val="22"/>
                <w:szCs w:val="22"/>
              </w:rPr>
              <w:t>Ave</w:t>
            </w:r>
            <w:r w:rsidRPr="00574A2A">
              <w:rPr>
                <w:rFonts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4F766D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August</w:t>
            </w:r>
            <w:r w:rsidR="00F05BAF" w:rsidRPr="00574A2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F05BAF" w:rsidRPr="00574A2A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="00F05BAF" w:rsidRPr="00574A2A">
              <w:rPr>
                <w:rFonts w:cs="Arial"/>
                <w:b/>
                <w:sz w:val="22"/>
                <w:szCs w:val="22"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DD69A3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1701</w:t>
            </w:r>
            <w:r w:rsidR="00B82DC3">
              <w:rPr>
                <w:rFonts w:cs="Arial"/>
                <w:b/>
                <w:sz w:val="22"/>
                <w:szCs w:val="22"/>
              </w:rPr>
              <w:t>-</w:t>
            </w:r>
            <w:r w:rsidR="00D44D47">
              <w:rPr>
                <w:rFonts w:cs="Arial"/>
                <w:b/>
                <w:sz w:val="22"/>
                <w:szCs w:val="22"/>
              </w:rPr>
              <w:t>3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>Revision Effective Date:</w:t>
            </w:r>
          </w:p>
          <w:p w:rsidR="00F05BAF" w:rsidRPr="00FC6366" w:rsidRDefault="00D44D47" w:rsidP="00F5541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8D2245">
              <w:rPr>
                <w:rFonts w:cs="Arial"/>
                <w:sz w:val="22"/>
                <w:szCs w:val="22"/>
              </w:rPr>
              <w:t>/1/14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Pages: </w:t>
            </w:r>
          </w:p>
          <w:p w:rsidR="00A8294A" w:rsidRPr="00574A2A" w:rsidRDefault="007913FD" w:rsidP="00F5541A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806B76" w:rsidRDefault="00F05BAF" w:rsidP="0064249A">
            <w:pPr>
              <w:rPr>
                <w:rFonts w:cs="Arial"/>
                <w:b/>
                <w:sz w:val="28"/>
                <w:szCs w:val="28"/>
              </w:rPr>
            </w:pPr>
            <w:r w:rsidRPr="00574A2A">
              <w:rPr>
                <w:rFonts w:cs="Arial"/>
                <w:b/>
                <w:sz w:val="22"/>
                <w:szCs w:val="22"/>
              </w:rPr>
              <w:t xml:space="preserve">TITLE:  </w:t>
            </w:r>
            <w:r w:rsidR="00E90A8A" w:rsidRPr="00806B76">
              <w:rPr>
                <w:rFonts w:cs="Arial"/>
                <w:b/>
                <w:sz w:val="28"/>
                <w:szCs w:val="28"/>
              </w:rPr>
              <w:t>QSE:  Nonconforming Events</w:t>
            </w:r>
          </w:p>
          <w:p w:rsidR="00B82DC3" w:rsidRPr="00574A2A" w:rsidRDefault="00B82DC3" w:rsidP="0064249A">
            <w:pPr>
              <w:rPr>
                <w:rFonts w:cs="Arial"/>
                <w:b/>
                <w:sz w:val="22"/>
                <w:szCs w:val="22"/>
              </w:rPr>
            </w:pPr>
            <w:r w:rsidRPr="00806B76">
              <w:rPr>
                <w:rFonts w:cs="Arial"/>
                <w:b/>
                <w:sz w:val="28"/>
                <w:szCs w:val="28"/>
              </w:rPr>
              <w:t xml:space="preserve">              Quality Policy:  Occurrence Management</w:t>
            </w:r>
          </w:p>
        </w:tc>
      </w:tr>
    </w:tbl>
    <w:p w:rsidR="00D44D47" w:rsidRDefault="00D44D47" w:rsidP="00574A2A">
      <w:pPr>
        <w:rPr>
          <w:b/>
          <w:sz w:val="22"/>
          <w:szCs w:val="22"/>
        </w:rPr>
      </w:pPr>
    </w:p>
    <w:p w:rsidR="00B82DC3" w:rsidRDefault="00B82DC3" w:rsidP="00574A2A">
      <w:pPr>
        <w:rPr>
          <w:sz w:val="22"/>
          <w:szCs w:val="22"/>
        </w:rPr>
      </w:pPr>
      <w:r w:rsidRPr="00E615F6">
        <w:rPr>
          <w:b/>
          <w:sz w:val="22"/>
          <w:szCs w:val="22"/>
        </w:rPr>
        <w:t>Policy</w:t>
      </w:r>
    </w:p>
    <w:p w:rsidR="00B82DC3" w:rsidRDefault="00B82DC3" w:rsidP="00574A2A">
      <w:pPr>
        <w:rPr>
          <w:sz w:val="22"/>
          <w:szCs w:val="22"/>
        </w:rPr>
      </w:pPr>
      <w:r>
        <w:rPr>
          <w:sz w:val="22"/>
          <w:szCs w:val="22"/>
        </w:rPr>
        <w:t>The Harborview Medical Center</w:t>
      </w:r>
      <w:r w:rsidR="00C36291">
        <w:rPr>
          <w:sz w:val="22"/>
          <w:szCs w:val="22"/>
        </w:rPr>
        <w:t xml:space="preserve"> Transfusion Service identifies, investigates, and implements corrective action for all events with potential adverse outcomes and has established processes and procedures to document</w:t>
      </w:r>
      <w:r w:rsidR="00A1237F">
        <w:rPr>
          <w:sz w:val="22"/>
          <w:szCs w:val="22"/>
        </w:rPr>
        <w:t xml:space="preserve"> or provide for</w:t>
      </w:r>
      <w:r w:rsidR="00D44D47">
        <w:rPr>
          <w:sz w:val="22"/>
          <w:szCs w:val="22"/>
        </w:rPr>
        <w:t xml:space="preserve"> the following</w:t>
      </w:r>
      <w:r w:rsidR="00C36291">
        <w:rPr>
          <w:sz w:val="22"/>
          <w:szCs w:val="22"/>
        </w:rPr>
        <w:t>:</w:t>
      </w:r>
    </w:p>
    <w:p w:rsidR="00C36291" w:rsidRPr="00D44D47" w:rsidRDefault="00C36291" w:rsidP="00D44D4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Incidents</w:t>
      </w:r>
      <w:r w:rsidR="00A1237F">
        <w:rPr>
          <w:sz w:val="22"/>
          <w:szCs w:val="22"/>
        </w:rPr>
        <w:t>, errors, near-misses, sentinel events</w:t>
      </w:r>
      <w:r w:rsidR="00D44D47">
        <w:rPr>
          <w:sz w:val="22"/>
          <w:szCs w:val="22"/>
        </w:rPr>
        <w:t>, or unexpected occurrences</w:t>
      </w:r>
    </w:p>
    <w:p w:rsidR="00C36291" w:rsidRDefault="00C36291" w:rsidP="00C3629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Customer complaints</w:t>
      </w:r>
    </w:p>
    <w:p w:rsidR="00A1237F" w:rsidRPr="008D2245" w:rsidRDefault="00A1237F" w:rsidP="00C36291">
      <w:pPr>
        <w:numPr>
          <w:ilvl w:val="0"/>
          <w:numId w:val="1"/>
        </w:numPr>
        <w:rPr>
          <w:sz w:val="22"/>
          <w:szCs w:val="22"/>
        </w:rPr>
      </w:pPr>
      <w:r w:rsidRPr="008D2245">
        <w:rPr>
          <w:sz w:val="22"/>
          <w:szCs w:val="22"/>
        </w:rPr>
        <w:t>Anonymous staff reporting of quality or safety concerns that have not been addressed by management.</w:t>
      </w:r>
    </w:p>
    <w:p w:rsidR="00C36291" w:rsidRPr="008D2245" w:rsidRDefault="00C36291" w:rsidP="00C36291">
      <w:pPr>
        <w:rPr>
          <w:sz w:val="22"/>
          <w:szCs w:val="22"/>
        </w:rPr>
      </w:pPr>
    </w:p>
    <w:p w:rsidR="00C36291" w:rsidRPr="008D2245" w:rsidRDefault="00C36291" w:rsidP="00C36291">
      <w:pPr>
        <w:rPr>
          <w:sz w:val="22"/>
          <w:szCs w:val="22"/>
        </w:rPr>
      </w:pPr>
      <w:r w:rsidRPr="008D2245">
        <w:rPr>
          <w:b/>
          <w:sz w:val="22"/>
          <w:szCs w:val="22"/>
        </w:rPr>
        <w:t>Purpose</w:t>
      </w:r>
    </w:p>
    <w:p w:rsidR="00C36291" w:rsidRPr="008D2245" w:rsidRDefault="00C36291" w:rsidP="00C36291">
      <w:pPr>
        <w:rPr>
          <w:sz w:val="22"/>
          <w:szCs w:val="22"/>
        </w:rPr>
      </w:pPr>
      <w:r w:rsidRPr="008D2245">
        <w:rPr>
          <w:sz w:val="22"/>
          <w:szCs w:val="22"/>
        </w:rPr>
        <w:t>To provide direction for the processes and procedures to:</w:t>
      </w:r>
    </w:p>
    <w:p w:rsidR="00C36291" w:rsidRPr="008D2245" w:rsidRDefault="00C36291" w:rsidP="00C36291">
      <w:pPr>
        <w:numPr>
          <w:ilvl w:val="0"/>
          <w:numId w:val="2"/>
        </w:numPr>
        <w:rPr>
          <w:sz w:val="22"/>
          <w:szCs w:val="22"/>
        </w:rPr>
      </w:pPr>
      <w:r w:rsidRPr="008D2245">
        <w:rPr>
          <w:sz w:val="22"/>
          <w:szCs w:val="22"/>
        </w:rPr>
        <w:t>Reduce risk to patients and personnel by the effective investigation of incidents and occurrences.</w:t>
      </w:r>
    </w:p>
    <w:p w:rsidR="00C36291" w:rsidRPr="008D2245" w:rsidRDefault="00C36291" w:rsidP="00C36291">
      <w:pPr>
        <w:numPr>
          <w:ilvl w:val="0"/>
          <w:numId w:val="2"/>
        </w:numPr>
        <w:rPr>
          <w:sz w:val="22"/>
          <w:szCs w:val="22"/>
        </w:rPr>
      </w:pPr>
      <w:r w:rsidRPr="008D2245">
        <w:rPr>
          <w:sz w:val="22"/>
          <w:szCs w:val="22"/>
        </w:rPr>
        <w:t>Improve processes and prevent re-occurrences by using the information obtained from these investigations.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5755"/>
        <w:gridCol w:w="2537"/>
      </w:tblGrid>
      <w:tr w:rsidR="00E615F6" w:rsidRPr="008D2245" w:rsidTr="00A1237F">
        <w:tc>
          <w:tcPr>
            <w:tcW w:w="2178" w:type="dxa"/>
          </w:tcPr>
          <w:p w:rsidR="00E615F6" w:rsidRPr="008D2245" w:rsidRDefault="00E615F6" w:rsidP="00C36291">
            <w:pPr>
              <w:rPr>
                <w:b/>
                <w:sz w:val="22"/>
                <w:szCs w:val="22"/>
              </w:rPr>
            </w:pPr>
            <w:r w:rsidRPr="008D2245"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5760" w:type="dxa"/>
          </w:tcPr>
          <w:p w:rsidR="00E615F6" w:rsidRPr="008D2245" w:rsidRDefault="00E615F6" w:rsidP="00C36291">
            <w:pPr>
              <w:rPr>
                <w:b/>
                <w:sz w:val="22"/>
                <w:szCs w:val="22"/>
              </w:rPr>
            </w:pPr>
            <w:r w:rsidRPr="008D2245">
              <w:rPr>
                <w:b/>
                <w:sz w:val="22"/>
                <w:szCs w:val="22"/>
              </w:rPr>
              <w:t>Responsibility</w:t>
            </w:r>
          </w:p>
        </w:tc>
        <w:tc>
          <w:tcPr>
            <w:tcW w:w="2538" w:type="dxa"/>
          </w:tcPr>
          <w:p w:rsidR="00E615F6" w:rsidRPr="008D2245" w:rsidRDefault="00FC6366" w:rsidP="00C36291">
            <w:pPr>
              <w:rPr>
                <w:b/>
                <w:sz w:val="22"/>
                <w:szCs w:val="22"/>
              </w:rPr>
            </w:pPr>
            <w:r w:rsidRPr="008D2245">
              <w:rPr>
                <w:b/>
                <w:sz w:val="22"/>
                <w:szCs w:val="22"/>
              </w:rPr>
              <w:t xml:space="preserve">Related </w:t>
            </w:r>
            <w:r w:rsidR="00E615F6" w:rsidRPr="008D2245">
              <w:rPr>
                <w:b/>
                <w:sz w:val="22"/>
                <w:szCs w:val="22"/>
              </w:rPr>
              <w:t>Documents</w:t>
            </w:r>
          </w:p>
        </w:tc>
      </w:tr>
      <w:tr w:rsidR="00E615F6" w:rsidRPr="008D2245" w:rsidTr="00A1237F">
        <w:tc>
          <w:tcPr>
            <w:tcW w:w="2178" w:type="dxa"/>
          </w:tcPr>
          <w:p w:rsidR="00E615F6" w:rsidRPr="008D2245" w:rsidRDefault="00E615F6" w:rsidP="00E57BF0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 xml:space="preserve">Medical Director and </w:t>
            </w:r>
            <w:r w:rsidR="00E57BF0" w:rsidRPr="008D2245">
              <w:rPr>
                <w:sz w:val="22"/>
                <w:szCs w:val="22"/>
              </w:rPr>
              <w:t xml:space="preserve">Transfusion Service </w:t>
            </w:r>
            <w:r w:rsidRPr="008D2245">
              <w:rPr>
                <w:sz w:val="22"/>
                <w:szCs w:val="22"/>
              </w:rPr>
              <w:t>Manager</w:t>
            </w:r>
          </w:p>
        </w:tc>
        <w:tc>
          <w:tcPr>
            <w:tcW w:w="5760" w:type="dxa"/>
          </w:tcPr>
          <w:p w:rsidR="00E615F6" w:rsidRPr="008D2245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Establish categories of incidents and occurrences.</w:t>
            </w:r>
          </w:p>
          <w:p w:rsidR="00E615F6" w:rsidRPr="008D2245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Establish the level of investigation appropriate for different categories.</w:t>
            </w:r>
          </w:p>
          <w:p w:rsidR="00E615F6" w:rsidRPr="008D2245" w:rsidRDefault="00E615F6" w:rsidP="00C30A5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Review reports, assessing data for trends.</w:t>
            </w:r>
          </w:p>
          <w:p w:rsidR="00E57BF0" w:rsidRPr="008D2245" w:rsidRDefault="00E615F6" w:rsidP="00A1237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Initiate corrective action</w:t>
            </w:r>
          </w:p>
        </w:tc>
        <w:tc>
          <w:tcPr>
            <w:tcW w:w="2538" w:type="dxa"/>
          </w:tcPr>
          <w:p w:rsidR="00380E33" w:rsidRPr="008D2245" w:rsidRDefault="00E615F6" w:rsidP="00C3629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Quality Improvement Monitor Form</w:t>
            </w:r>
          </w:p>
          <w:p w:rsidR="00380E33" w:rsidRPr="008D2245" w:rsidRDefault="00380E33" w:rsidP="00FC636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Specimen Rejection Form</w:t>
            </w:r>
          </w:p>
        </w:tc>
      </w:tr>
      <w:tr w:rsidR="00E615F6" w:rsidRPr="008D2245" w:rsidTr="00A1237F">
        <w:tc>
          <w:tcPr>
            <w:tcW w:w="2178" w:type="dxa"/>
          </w:tcPr>
          <w:p w:rsidR="00E615F6" w:rsidRPr="008D2245" w:rsidRDefault="00E615F6" w:rsidP="00C36291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Clinical department personnel involved in occurrences</w:t>
            </w:r>
          </w:p>
        </w:tc>
        <w:tc>
          <w:tcPr>
            <w:tcW w:w="5760" w:type="dxa"/>
          </w:tcPr>
          <w:p w:rsidR="00E615F6" w:rsidRPr="008D2245" w:rsidRDefault="00E615F6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Participate in the investigation of occurrences and the development of corrective actions.</w:t>
            </w:r>
          </w:p>
        </w:tc>
        <w:tc>
          <w:tcPr>
            <w:tcW w:w="2538" w:type="dxa"/>
          </w:tcPr>
          <w:p w:rsidR="00E615F6" w:rsidRPr="008D2245" w:rsidRDefault="00E615F6" w:rsidP="00C36291">
            <w:pPr>
              <w:rPr>
                <w:sz w:val="22"/>
                <w:szCs w:val="22"/>
              </w:rPr>
            </w:pPr>
          </w:p>
        </w:tc>
      </w:tr>
      <w:tr w:rsidR="00E615F6" w:rsidRPr="008D2245" w:rsidTr="00A1237F">
        <w:tc>
          <w:tcPr>
            <w:tcW w:w="2178" w:type="dxa"/>
          </w:tcPr>
          <w:p w:rsidR="00E615F6" w:rsidRPr="008D2245" w:rsidRDefault="00E57BF0" w:rsidP="00C36291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TS Manager</w:t>
            </w:r>
            <w:r w:rsidR="00624401" w:rsidRPr="008D2245">
              <w:rPr>
                <w:sz w:val="22"/>
                <w:szCs w:val="22"/>
              </w:rPr>
              <w:t xml:space="preserve"> and Quality Coordinator</w:t>
            </w:r>
          </w:p>
        </w:tc>
        <w:tc>
          <w:tcPr>
            <w:tcW w:w="5760" w:type="dxa"/>
          </w:tcPr>
          <w:p w:rsidR="00E615F6" w:rsidRPr="008D2245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Establish systems to allow the efficient and effective tracking, reporting, and investigation of occurrences.</w:t>
            </w:r>
          </w:p>
          <w:p w:rsidR="00E57BF0" w:rsidRPr="008D2245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Prepare reports for executive management</w:t>
            </w:r>
          </w:p>
          <w:p w:rsidR="00E57BF0" w:rsidRPr="008D2245" w:rsidRDefault="00E57BF0" w:rsidP="00C30A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538" w:type="dxa"/>
          </w:tcPr>
          <w:p w:rsidR="008D2245" w:rsidRDefault="008D2245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Policy:  Process Improvement</w:t>
            </w:r>
          </w:p>
          <w:p w:rsidR="00A1237F" w:rsidRPr="008D2245" w:rsidRDefault="008D2245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the QIM Form</w:t>
            </w:r>
          </w:p>
          <w:p w:rsidR="00A1237F" w:rsidRPr="008D2245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PSN</w:t>
            </w:r>
          </w:p>
          <w:p w:rsidR="00E615F6" w:rsidRPr="008D2245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Annual Quality Report</w:t>
            </w:r>
          </w:p>
        </w:tc>
      </w:tr>
      <w:tr w:rsidR="00E57BF0" w:rsidRPr="008D2245" w:rsidTr="00A1237F">
        <w:tc>
          <w:tcPr>
            <w:tcW w:w="2178" w:type="dxa"/>
          </w:tcPr>
          <w:p w:rsidR="00E57BF0" w:rsidRPr="008D2245" w:rsidRDefault="00E57BF0" w:rsidP="00C36291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Laboratory Personnel</w:t>
            </w:r>
          </w:p>
        </w:tc>
        <w:tc>
          <w:tcPr>
            <w:tcW w:w="5760" w:type="dxa"/>
          </w:tcPr>
          <w:p w:rsidR="00E57BF0" w:rsidRPr="008D2245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Identify incidents and occurrences.</w:t>
            </w:r>
          </w:p>
          <w:p w:rsidR="007D6054" w:rsidRPr="008D2245" w:rsidRDefault="007D6054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 xml:space="preserve">Notify Manager  immediately of any sentinel event </w:t>
            </w:r>
          </w:p>
          <w:p w:rsidR="00E57BF0" w:rsidRPr="008D2245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Take remedial action as appropriate.</w:t>
            </w:r>
          </w:p>
          <w:p w:rsidR="00E57BF0" w:rsidRPr="008D2245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Report incidents and occurrences.</w:t>
            </w:r>
          </w:p>
          <w:p w:rsidR="00E57BF0" w:rsidRPr="008D2245" w:rsidRDefault="00E57BF0" w:rsidP="00C30A5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Identify opportunities for improvement.</w:t>
            </w:r>
          </w:p>
          <w:p w:rsidR="008D2245" w:rsidRPr="008D2245" w:rsidRDefault="00A1237F" w:rsidP="008D224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Report quality or safety con</w:t>
            </w:r>
            <w:r w:rsidR="008D2245">
              <w:rPr>
                <w:sz w:val="22"/>
                <w:szCs w:val="22"/>
              </w:rPr>
              <w:t>cerns per SOP.</w:t>
            </w:r>
          </w:p>
          <w:p w:rsidR="00FC6366" w:rsidRPr="008D2245" w:rsidRDefault="00A1237F" w:rsidP="008D224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Use anonymous r</w:t>
            </w:r>
            <w:r w:rsidR="00D44D47" w:rsidRPr="008D2245">
              <w:rPr>
                <w:sz w:val="22"/>
                <w:szCs w:val="22"/>
              </w:rPr>
              <w:t>eporting process if safety or quality</w:t>
            </w:r>
            <w:r w:rsidRPr="008D2245">
              <w:rPr>
                <w:sz w:val="22"/>
                <w:szCs w:val="22"/>
              </w:rPr>
              <w:t xml:space="preserve"> </w:t>
            </w:r>
            <w:r w:rsidR="00D44D47" w:rsidRPr="008D2245">
              <w:rPr>
                <w:sz w:val="22"/>
                <w:szCs w:val="22"/>
              </w:rPr>
              <w:t xml:space="preserve">concerns </w:t>
            </w:r>
            <w:r w:rsidRPr="008D2245">
              <w:rPr>
                <w:sz w:val="22"/>
                <w:szCs w:val="22"/>
              </w:rPr>
              <w:t xml:space="preserve"> have been reported to management but are not being addressed</w:t>
            </w:r>
          </w:p>
        </w:tc>
        <w:tc>
          <w:tcPr>
            <w:tcW w:w="2538" w:type="dxa"/>
          </w:tcPr>
          <w:p w:rsidR="008D2245" w:rsidRDefault="008D2245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the QIM Form</w:t>
            </w:r>
          </w:p>
          <w:p w:rsidR="00A1237F" w:rsidRPr="008D2245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QIM</w:t>
            </w:r>
          </w:p>
          <w:p w:rsidR="00A1237F" w:rsidRPr="008D2245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PSN</w:t>
            </w:r>
          </w:p>
          <w:p w:rsidR="00E57BF0" w:rsidRPr="008D2245" w:rsidRDefault="00A1237F" w:rsidP="00A1237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 xml:space="preserve">Anonymous </w:t>
            </w:r>
            <w:r w:rsidR="00AC11CE" w:rsidRPr="008D2245">
              <w:rPr>
                <w:sz w:val="22"/>
                <w:szCs w:val="22"/>
              </w:rPr>
              <w:t>Communication of Concerns</w:t>
            </w:r>
          </w:p>
        </w:tc>
      </w:tr>
    </w:tbl>
    <w:p w:rsidR="00C36291" w:rsidRPr="008D2245" w:rsidRDefault="00C36291" w:rsidP="00C3629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6025"/>
        <w:gridCol w:w="2267"/>
      </w:tblGrid>
      <w:tr w:rsidR="005364FD" w:rsidRPr="008D2245" w:rsidTr="00C30A59">
        <w:tc>
          <w:tcPr>
            <w:tcW w:w="2178" w:type="dxa"/>
          </w:tcPr>
          <w:p w:rsidR="005364FD" w:rsidRPr="008D2245" w:rsidRDefault="00FC6366" w:rsidP="00C36291">
            <w:pPr>
              <w:rPr>
                <w:b/>
                <w:sz w:val="22"/>
                <w:szCs w:val="22"/>
              </w:rPr>
            </w:pPr>
            <w:r w:rsidRPr="008D2245">
              <w:rPr>
                <w:b/>
                <w:sz w:val="22"/>
                <w:szCs w:val="22"/>
              </w:rPr>
              <w:t>Quality Element</w:t>
            </w:r>
          </w:p>
        </w:tc>
        <w:tc>
          <w:tcPr>
            <w:tcW w:w="6030" w:type="dxa"/>
          </w:tcPr>
          <w:p w:rsidR="005364FD" w:rsidRPr="008D2245" w:rsidRDefault="00FC6366" w:rsidP="00C36291">
            <w:pPr>
              <w:rPr>
                <w:b/>
                <w:sz w:val="22"/>
                <w:szCs w:val="22"/>
              </w:rPr>
            </w:pPr>
            <w:r w:rsidRPr="008D2245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</w:tcPr>
          <w:p w:rsidR="005364FD" w:rsidRPr="008D2245" w:rsidRDefault="00FC6366" w:rsidP="00C36291">
            <w:pPr>
              <w:rPr>
                <w:b/>
                <w:sz w:val="22"/>
                <w:szCs w:val="22"/>
              </w:rPr>
            </w:pPr>
            <w:r w:rsidRPr="008D2245">
              <w:rPr>
                <w:b/>
                <w:sz w:val="22"/>
                <w:szCs w:val="22"/>
              </w:rPr>
              <w:t>Related</w:t>
            </w:r>
            <w:r w:rsidR="005364FD" w:rsidRPr="008D2245">
              <w:rPr>
                <w:b/>
                <w:sz w:val="22"/>
                <w:szCs w:val="22"/>
              </w:rPr>
              <w:t xml:space="preserve"> Documents</w:t>
            </w:r>
          </w:p>
        </w:tc>
      </w:tr>
      <w:tr w:rsidR="005364FD" w:rsidRPr="008D2245" w:rsidTr="00C30A59">
        <w:tc>
          <w:tcPr>
            <w:tcW w:w="2178" w:type="dxa"/>
          </w:tcPr>
          <w:p w:rsidR="005364FD" w:rsidRPr="008D2245" w:rsidRDefault="005364FD" w:rsidP="00C36291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Investigation and documentation</w:t>
            </w:r>
          </w:p>
        </w:tc>
        <w:tc>
          <w:tcPr>
            <w:tcW w:w="6030" w:type="dxa"/>
          </w:tcPr>
          <w:p w:rsidR="005364FD" w:rsidRPr="008D2245" w:rsidRDefault="005364FD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All occurrences are:</w:t>
            </w:r>
          </w:p>
          <w:p w:rsidR="0005061B" w:rsidRPr="008D2245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Documented</w:t>
            </w:r>
          </w:p>
          <w:p w:rsidR="0005061B" w:rsidRPr="008D2245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Investigate as appropriate.</w:t>
            </w:r>
          </w:p>
          <w:p w:rsidR="0005061B" w:rsidRPr="008D2245" w:rsidRDefault="0005061B" w:rsidP="00C30A5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Categorized.</w:t>
            </w:r>
          </w:p>
          <w:p w:rsidR="0005061B" w:rsidRPr="008D2245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Results of investigations are reported, including any corrective action taken.</w:t>
            </w:r>
          </w:p>
          <w:p w:rsidR="0005061B" w:rsidRPr="008D2245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Records or occurrences are retained according to facility policy.</w:t>
            </w:r>
          </w:p>
          <w:p w:rsidR="0005061B" w:rsidRPr="008D2245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 xml:space="preserve">All </w:t>
            </w:r>
            <w:proofErr w:type="gramStart"/>
            <w:r w:rsidRPr="008D2245">
              <w:rPr>
                <w:sz w:val="22"/>
                <w:szCs w:val="22"/>
              </w:rPr>
              <w:t>serious,</w:t>
            </w:r>
            <w:proofErr w:type="gramEnd"/>
            <w:r w:rsidRPr="008D2245">
              <w:rPr>
                <w:sz w:val="22"/>
                <w:szCs w:val="22"/>
              </w:rPr>
              <w:t xml:space="preserve"> or potentially serious events are investigated in a systematic process, such as a root cause analysis.</w:t>
            </w:r>
          </w:p>
          <w:p w:rsidR="0005061B" w:rsidRPr="008D2245" w:rsidRDefault="0005061B" w:rsidP="00C30A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364FD" w:rsidRPr="008D2245" w:rsidRDefault="00FC6366" w:rsidP="00FC636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Quality Policy:  Process Improvement</w:t>
            </w:r>
          </w:p>
        </w:tc>
      </w:tr>
      <w:tr w:rsidR="005364FD" w:rsidRPr="008D2245" w:rsidTr="00C30A59">
        <w:tc>
          <w:tcPr>
            <w:tcW w:w="2178" w:type="dxa"/>
          </w:tcPr>
          <w:p w:rsidR="005364FD" w:rsidRPr="008D2245" w:rsidRDefault="0005061B" w:rsidP="00C36291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Reporting occurrences</w:t>
            </w:r>
          </w:p>
        </w:tc>
        <w:tc>
          <w:tcPr>
            <w:tcW w:w="6030" w:type="dxa"/>
          </w:tcPr>
          <w:p w:rsidR="0005061B" w:rsidRPr="008D2245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Occurrences are reported, including any corrective action taken.</w:t>
            </w:r>
          </w:p>
          <w:p w:rsidR="0005061B" w:rsidRPr="008D2245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Any patient safety issue is reported via the Patient Safety Network reporting system.</w:t>
            </w:r>
          </w:p>
          <w:p w:rsidR="0005061B" w:rsidRPr="008D2245" w:rsidRDefault="0005061B" w:rsidP="00C30A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All Biologic Product Deviations are reported to FDA as required.</w:t>
            </w:r>
          </w:p>
          <w:p w:rsidR="005364FD" w:rsidRPr="008D2245" w:rsidRDefault="005364FD" w:rsidP="00C362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364FD" w:rsidRPr="008D2245" w:rsidRDefault="00380E33" w:rsidP="00FC6366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FDA Biological Deviation Reporting</w:t>
            </w:r>
          </w:p>
        </w:tc>
      </w:tr>
      <w:tr w:rsidR="005364FD" w:rsidRPr="008D2245" w:rsidTr="00C30A59">
        <w:tc>
          <w:tcPr>
            <w:tcW w:w="2178" w:type="dxa"/>
          </w:tcPr>
          <w:p w:rsidR="005364FD" w:rsidRPr="008D2245" w:rsidRDefault="0005061B" w:rsidP="00C36291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Review</w:t>
            </w:r>
          </w:p>
        </w:tc>
        <w:tc>
          <w:tcPr>
            <w:tcW w:w="6030" w:type="dxa"/>
          </w:tcPr>
          <w:p w:rsidR="005364FD" w:rsidRPr="008D2245" w:rsidRDefault="0005061B" w:rsidP="00C36291">
            <w:p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Reports of occurrences are:</w:t>
            </w:r>
          </w:p>
          <w:p w:rsidR="005B3D96" w:rsidRPr="008D2245" w:rsidRDefault="005B3D96" w:rsidP="00C30A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Reviewed at regular intervals by management.</w:t>
            </w:r>
          </w:p>
          <w:p w:rsidR="005B3D96" w:rsidRPr="008D2245" w:rsidRDefault="005B3D96" w:rsidP="00C30A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D2245">
              <w:rPr>
                <w:sz w:val="22"/>
                <w:szCs w:val="22"/>
              </w:rPr>
              <w:t>Used to identify opportunities for education and improvement.</w:t>
            </w:r>
          </w:p>
        </w:tc>
        <w:tc>
          <w:tcPr>
            <w:tcW w:w="2268" w:type="dxa"/>
          </w:tcPr>
          <w:p w:rsidR="005364FD" w:rsidRPr="008D2245" w:rsidRDefault="005364FD" w:rsidP="00C36291">
            <w:pPr>
              <w:rPr>
                <w:sz w:val="22"/>
                <w:szCs w:val="22"/>
              </w:rPr>
            </w:pPr>
          </w:p>
        </w:tc>
      </w:tr>
    </w:tbl>
    <w:p w:rsidR="00E57BF0" w:rsidRPr="008D2245" w:rsidRDefault="00E57BF0" w:rsidP="00C36291">
      <w:pPr>
        <w:rPr>
          <w:sz w:val="22"/>
          <w:szCs w:val="22"/>
        </w:rPr>
      </w:pPr>
    </w:p>
    <w:p w:rsidR="00C36291" w:rsidRPr="008D2245" w:rsidRDefault="00C36291" w:rsidP="00574A2A">
      <w:pPr>
        <w:rPr>
          <w:b/>
          <w:sz w:val="22"/>
          <w:szCs w:val="22"/>
        </w:rPr>
      </w:pPr>
    </w:p>
    <w:p w:rsidR="00C36291" w:rsidRPr="008D2245" w:rsidRDefault="008D2245" w:rsidP="00574A2A">
      <w:pPr>
        <w:rPr>
          <w:b/>
          <w:sz w:val="22"/>
          <w:szCs w:val="22"/>
        </w:rPr>
      </w:pPr>
      <w:r w:rsidRPr="008D2245">
        <w:rPr>
          <w:b/>
          <w:sz w:val="22"/>
          <w:szCs w:val="22"/>
        </w:rPr>
        <w:t>Reference</w:t>
      </w:r>
    </w:p>
    <w:p w:rsidR="00380E33" w:rsidRPr="008D2245" w:rsidRDefault="00380E33" w:rsidP="00574A2A">
      <w:pPr>
        <w:rPr>
          <w:sz w:val="22"/>
          <w:szCs w:val="22"/>
        </w:rPr>
      </w:pPr>
    </w:p>
    <w:p w:rsidR="00380E33" w:rsidRPr="00B82DC3" w:rsidRDefault="00380E33" w:rsidP="00574A2A">
      <w:pPr>
        <w:rPr>
          <w:sz w:val="22"/>
          <w:szCs w:val="22"/>
        </w:rPr>
      </w:pPr>
      <w:r w:rsidRPr="008D2245">
        <w:rPr>
          <w:sz w:val="22"/>
          <w:szCs w:val="22"/>
        </w:rPr>
        <w:t>AABB Standards for Blood Banks and Transfusion Services, Current Edition</w:t>
      </w:r>
    </w:p>
    <w:p w:rsidR="00B82DC3" w:rsidRDefault="00B82DC3" w:rsidP="00574A2A"/>
    <w:p w:rsidR="00B82DC3" w:rsidRPr="00574A2A" w:rsidRDefault="00B82DC3" w:rsidP="00574A2A"/>
    <w:p w:rsidR="00574A2A" w:rsidRPr="00574A2A" w:rsidRDefault="00574A2A" w:rsidP="00574A2A">
      <w:pPr>
        <w:tabs>
          <w:tab w:val="left" w:pos="930"/>
        </w:tabs>
        <w:rPr>
          <w:rFonts w:cs="Arial"/>
          <w:b/>
        </w:rPr>
      </w:pPr>
    </w:p>
    <w:sectPr w:rsidR="00574A2A" w:rsidRPr="00574A2A" w:rsidSect="00A1237F">
      <w:headerReference w:type="default" r:id="rId10"/>
      <w:footerReference w:type="default" r:id="rId11"/>
      <w:pgSz w:w="12240" w:h="15840"/>
      <w:pgMar w:top="547" w:right="907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16" w:rsidRDefault="00B76216" w:rsidP="00E57BF0">
      <w:r>
        <w:separator/>
      </w:r>
    </w:p>
  </w:endnote>
  <w:endnote w:type="continuationSeparator" w:id="0">
    <w:p w:rsidR="00B76216" w:rsidRDefault="00B76216" w:rsidP="00E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4A" w:rsidRDefault="00A8294A">
    <w:pPr>
      <w:pStyle w:val="Footer"/>
      <w:jc w:val="right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291BFD">
      <w:rPr>
        <w:b/>
        <w:noProof/>
      </w:rPr>
      <w:t>2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291BFD">
      <w:rPr>
        <w:b/>
        <w:noProof/>
      </w:rPr>
      <w:t>2</w:t>
    </w:r>
    <w:r>
      <w:rPr>
        <w:b/>
        <w:szCs w:val="24"/>
      </w:rPr>
      <w:fldChar w:fldCharType="end"/>
    </w:r>
  </w:p>
  <w:p w:rsidR="00A8294A" w:rsidRPr="00A8294A" w:rsidRDefault="00A8294A">
    <w:pPr>
      <w:pStyle w:val="Footer"/>
      <w:rPr>
        <w:sz w:val="22"/>
        <w:szCs w:val="22"/>
      </w:rPr>
    </w:pPr>
    <w:r w:rsidRPr="00A8294A">
      <w:rPr>
        <w:sz w:val="22"/>
        <w:szCs w:val="22"/>
      </w:rPr>
      <w:t>Transfusion Service Laboratory</w:t>
    </w:r>
  </w:p>
  <w:p w:rsidR="00A8294A" w:rsidRPr="00A8294A" w:rsidRDefault="00A8294A">
    <w:pPr>
      <w:pStyle w:val="Footer"/>
      <w:rPr>
        <w:sz w:val="22"/>
        <w:szCs w:val="22"/>
      </w:rPr>
    </w:pPr>
    <w:r w:rsidRPr="00A8294A">
      <w:rPr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16" w:rsidRDefault="00B76216" w:rsidP="00E57BF0">
      <w:r>
        <w:separator/>
      </w:r>
    </w:p>
  </w:footnote>
  <w:footnote w:type="continuationSeparator" w:id="0">
    <w:p w:rsidR="00B76216" w:rsidRDefault="00B76216" w:rsidP="00E5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F0" w:rsidRPr="00E57BF0" w:rsidRDefault="00E57BF0">
    <w:pPr>
      <w:pStyle w:val="Header"/>
      <w:rPr>
        <w:sz w:val="22"/>
        <w:szCs w:val="22"/>
      </w:rPr>
    </w:pPr>
    <w:r w:rsidRPr="00E57BF0">
      <w:rPr>
        <w:sz w:val="22"/>
        <w:szCs w:val="22"/>
      </w:rPr>
      <w:t>Quality Policy:  Occurrence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B9C"/>
    <w:multiLevelType w:val="hybridMultilevel"/>
    <w:tmpl w:val="E7BC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93662"/>
    <w:multiLevelType w:val="hybridMultilevel"/>
    <w:tmpl w:val="6854D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8C6C59"/>
    <w:multiLevelType w:val="hybridMultilevel"/>
    <w:tmpl w:val="C1E01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203ED2"/>
    <w:multiLevelType w:val="hybridMultilevel"/>
    <w:tmpl w:val="48A8B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45F70"/>
    <w:multiLevelType w:val="hybridMultilevel"/>
    <w:tmpl w:val="4B3CB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374C4"/>
    <w:multiLevelType w:val="hybridMultilevel"/>
    <w:tmpl w:val="A2A8A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AC3257"/>
    <w:multiLevelType w:val="hybridMultilevel"/>
    <w:tmpl w:val="05060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061B"/>
    <w:rsid w:val="00206D14"/>
    <w:rsid w:val="00291BFD"/>
    <w:rsid w:val="0031372F"/>
    <w:rsid w:val="00380E33"/>
    <w:rsid w:val="003B4C7C"/>
    <w:rsid w:val="003C4983"/>
    <w:rsid w:val="004F766D"/>
    <w:rsid w:val="00517F6A"/>
    <w:rsid w:val="005364FD"/>
    <w:rsid w:val="00574A2A"/>
    <w:rsid w:val="005B3D96"/>
    <w:rsid w:val="005E1C71"/>
    <w:rsid w:val="00624401"/>
    <w:rsid w:val="0064249A"/>
    <w:rsid w:val="007913FD"/>
    <w:rsid w:val="007D6054"/>
    <w:rsid w:val="00806B76"/>
    <w:rsid w:val="008D2245"/>
    <w:rsid w:val="00A1237F"/>
    <w:rsid w:val="00A4492D"/>
    <w:rsid w:val="00A8294A"/>
    <w:rsid w:val="00A90472"/>
    <w:rsid w:val="00AA401C"/>
    <w:rsid w:val="00AC11CE"/>
    <w:rsid w:val="00B76216"/>
    <w:rsid w:val="00B82DC3"/>
    <w:rsid w:val="00B900B7"/>
    <w:rsid w:val="00B9161A"/>
    <w:rsid w:val="00C20933"/>
    <w:rsid w:val="00C30A59"/>
    <w:rsid w:val="00C36291"/>
    <w:rsid w:val="00C45BA5"/>
    <w:rsid w:val="00C82C04"/>
    <w:rsid w:val="00C854C8"/>
    <w:rsid w:val="00CB1BE0"/>
    <w:rsid w:val="00CF0217"/>
    <w:rsid w:val="00D44D47"/>
    <w:rsid w:val="00DD69A3"/>
    <w:rsid w:val="00E57BF0"/>
    <w:rsid w:val="00E615F6"/>
    <w:rsid w:val="00E90A8A"/>
    <w:rsid w:val="00F05BAF"/>
    <w:rsid w:val="00F5541A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7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BF0"/>
    <w:rPr>
      <w:sz w:val="24"/>
    </w:rPr>
  </w:style>
  <w:style w:type="paragraph" w:styleId="Footer">
    <w:name w:val="footer"/>
    <w:basedOn w:val="Normal"/>
    <w:link w:val="FooterChar"/>
    <w:uiPriority w:val="99"/>
    <w:rsid w:val="00E57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F0"/>
    <w:rPr>
      <w:sz w:val="24"/>
    </w:rPr>
  </w:style>
  <w:style w:type="paragraph" w:styleId="BalloonText">
    <w:name w:val="Balloon Text"/>
    <w:basedOn w:val="Normal"/>
    <w:link w:val="BalloonTextChar"/>
    <w:rsid w:val="00FC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7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BF0"/>
    <w:rPr>
      <w:sz w:val="24"/>
    </w:rPr>
  </w:style>
  <w:style w:type="paragraph" w:styleId="Footer">
    <w:name w:val="footer"/>
    <w:basedOn w:val="Normal"/>
    <w:link w:val="FooterChar"/>
    <w:uiPriority w:val="99"/>
    <w:rsid w:val="00E57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F0"/>
    <w:rPr>
      <w:sz w:val="24"/>
    </w:rPr>
  </w:style>
  <w:style w:type="paragraph" w:styleId="BalloonText">
    <w:name w:val="Balloon Text"/>
    <w:basedOn w:val="Normal"/>
    <w:link w:val="BalloonTextChar"/>
    <w:rsid w:val="00FC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3221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2014-01-10T20:05:00Z</cp:lastPrinted>
  <dcterms:created xsi:type="dcterms:W3CDTF">2014-01-10T20:00:00Z</dcterms:created>
  <dcterms:modified xsi:type="dcterms:W3CDTF">2014-01-10T20:05:00Z</dcterms:modified>
</cp:coreProperties>
</file>