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E" w:rsidRDefault="00B66313" w:rsidP="0096679E">
      <w:pPr>
        <w:spacing w:before="60" w:after="60" w:line="260" w:lineRule="exact"/>
        <w:ind w:left="-36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D428E">
        <w:rPr>
          <w:rFonts w:ascii="Arial" w:hAnsi="Arial" w:cs="Arial"/>
          <w:b/>
          <w:sz w:val="22"/>
          <w:szCs w:val="22"/>
        </w:rPr>
        <w:t>Purpose:</w:t>
      </w:r>
      <w:r w:rsidRPr="003D428E">
        <w:rPr>
          <w:rFonts w:ascii="Arial" w:hAnsi="Arial" w:cs="Arial"/>
          <w:sz w:val="22"/>
          <w:szCs w:val="22"/>
        </w:rPr>
        <w:t xml:space="preserve"> </w:t>
      </w:r>
      <w:r w:rsidRPr="003D428E">
        <w:rPr>
          <w:rFonts w:ascii="Arial" w:hAnsi="Arial" w:cs="Arial"/>
          <w:sz w:val="22"/>
          <w:szCs w:val="22"/>
        </w:rPr>
        <w:tab/>
      </w:r>
    </w:p>
    <w:p w:rsidR="00B66313" w:rsidRPr="003D428E" w:rsidRDefault="00B66313" w:rsidP="0096679E">
      <w:pPr>
        <w:spacing w:before="60" w:after="60" w:line="260" w:lineRule="exact"/>
        <w:ind w:left="-360"/>
        <w:rPr>
          <w:rFonts w:ascii="Arial" w:hAnsi="Arial" w:cs="Arial"/>
          <w:sz w:val="22"/>
          <w:szCs w:val="22"/>
          <w:lang w:val="en-GB"/>
        </w:rPr>
      </w:pPr>
      <w:r w:rsidRPr="003D428E">
        <w:rPr>
          <w:rFonts w:ascii="Arial" w:hAnsi="Arial" w:cs="Arial"/>
          <w:sz w:val="22"/>
          <w:szCs w:val="22"/>
        </w:rPr>
        <w:t xml:space="preserve">This procedure provides instructions for </w:t>
      </w:r>
      <w:r w:rsidR="00594BC7" w:rsidRPr="003D428E">
        <w:rPr>
          <w:rFonts w:ascii="Arial" w:hAnsi="Arial" w:cs="Arial"/>
          <w:sz w:val="22"/>
          <w:szCs w:val="22"/>
        </w:rPr>
        <w:t>immediat</w:t>
      </w:r>
      <w:r w:rsidR="0096679E">
        <w:rPr>
          <w:rFonts w:ascii="Arial" w:hAnsi="Arial" w:cs="Arial"/>
          <w:sz w:val="22"/>
          <w:szCs w:val="22"/>
        </w:rPr>
        <w:t xml:space="preserve">e spin crossmatch to detect ABO </w:t>
      </w:r>
      <w:r w:rsidR="00594BC7" w:rsidRPr="003D428E">
        <w:rPr>
          <w:rFonts w:ascii="Arial" w:hAnsi="Arial" w:cs="Arial"/>
          <w:sz w:val="22"/>
          <w:szCs w:val="22"/>
        </w:rPr>
        <w:t>inc</w:t>
      </w:r>
      <w:r w:rsidR="00DD46D0">
        <w:rPr>
          <w:rFonts w:ascii="Arial" w:hAnsi="Arial" w:cs="Arial"/>
          <w:sz w:val="22"/>
          <w:szCs w:val="22"/>
        </w:rPr>
        <w:t>ompatibility when the computer</w:t>
      </w:r>
      <w:r w:rsidR="00594BC7" w:rsidRPr="003D428E">
        <w:rPr>
          <w:rFonts w:ascii="Arial" w:hAnsi="Arial" w:cs="Arial"/>
          <w:sz w:val="22"/>
          <w:szCs w:val="22"/>
        </w:rPr>
        <w:t xml:space="preserve"> crossmatch is not available.</w:t>
      </w:r>
    </w:p>
    <w:p w:rsidR="00087142" w:rsidRPr="00B02E5D" w:rsidRDefault="00087142" w:rsidP="0096679E">
      <w:pPr>
        <w:spacing w:before="60" w:after="60" w:line="260" w:lineRule="exact"/>
        <w:ind w:left="-360"/>
        <w:rPr>
          <w:rFonts w:ascii="Arial" w:hAnsi="Arial" w:cs="Arial"/>
          <w:sz w:val="16"/>
          <w:szCs w:val="16"/>
          <w:lang w:val="en-GB"/>
        </w:rPr>
      </w:pPr>
    </w:p>
    <w:p w:rsidR="00B66313" w:rsidRPr="003D428E" w:rsidRDefault="00B66313" w:rsidP="0096679E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-360"/>
        <w:rPr>
          <w:rFonts w:ascii="Arial" w:hAnsi="Arial" w:cs="Arial"/>
          <w:b/>
          <w:kern w:val="0"/>
          <w:sz w:val="22"/>
          <w:szCs w:val="22"/>
        </w:rPr>
      </w:pPr>
      <w:r w:rsidRPr="003D428E">
        <w:rPr>
          <w:rFonts w:ascii="Arial" w:hAnsi="Arial" w:cs="Arial"/>
          <w:b/>
          <w:kern w:val="0"/>
          <w:sz w:val="22"/>
          <w:szCs w:val="22"/>
        </w:rPr>
        <w:t xml:space="preserve">Procedure: </w:t>
      </w:r>
    </w:p>
    <w:tbl>
      <w:tblPr>
        <w:tblW w:w="10276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61"/>
        <w:gridCol w:w="6280"/>
        <w:gridCol w:w="3235"/>
      </w:tblGrid>
      <w:tr w:rsidR="003E0E63" w:rsidRPr="003D428E" w:rsidTr="0096679E">
        <w:trPr>
          <w:cantSplit/>
          <w:trHeight w:val="395"/>
        </w:trPr>
        <w:tc>
          <w:tcPr>
            <w:tcW w:w="761" w:type="dxa"/>
            <w:textDirection w:val="btLr"/>
            <w:vAlign w:val="center"/>
          </w:tcPr>
          <w:p w:rsidR="003E0E63" w:rsidRPr="003D428E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0" w:type="dxa"/>
            <w:vAlign w:val="center"/>
          </w:tcPr>
          <w:p w:rsidR="003E0E63" w:rsidRPr="003D428E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235" w:type="dxa"/>
          </w:tcPr>
          <w:p w:rsidR="003E0E63" w:rsidRPr="003D428E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66313" w:rsidRPr="003D428E" w:rsidTr="0096679E">
        <w:tblPrEx>
          <w:tblCellMar>
            <w:left w:w="108" w:type="dxa"/>
            <w:right w:w="108" w:type="dxa"/>
          </w:tblCellMar>
        </w:tblPrEx>
        <w:trPr>
          <w:cantSplit/>
          <w:trHeight w:val="623"/>
        </w:trPr>
        <w:tc>
          <w:tcPr>
            <w:tcW w:w="761" w:type="dxa"/>
            <w:tcMar>
              <w:left w:w="115" w:type="dxa"/>
              <w:right w:w="115" w:type="dxa"/>
            </w:tcMar>
          </w:tcPr>
          <w:p w:rsidR="00B66313" w:rsidRPr="003D428E" w:rsidRDefault="00B66313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</w:tcPr>
          <w:p w:rsidR="00B66313" w:rsidRPr="003D428E" w:rsidRDefault="00B66313" w:rsidP="003D428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3D428E">
              <w:rPr>
                <w:rFonts w:ascii="Arial" w:hAnsi="Arial" w:cs="Arial"/>
                <w:sz w:val="22"/>
                <w:szCs w:val="22"/>
              </w:rPr>
              <w:t>Confirm sample acceptability.</w:t>
            </w:r>
          </w:p>
          <w:p w:rsidR="00B66313" w:rsidRPr="003D428E" w:rsidRDefault="00B66313" w:rsidP="00A51770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Mar>
              <w:left w:w="115" w:type="dxa"/>
              <w:right w:w="115" w:type="dxa"/>
            </w:tcMar>
          </w:tcPr>
          <w:p w:rsidR="00B66313" w:rsidRPr="003D428E" w:rsidRDefault="00902BE9" w:rsidP="003D428E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 Acceptance Evaluation</w:t>
            </w:r>
          </w:p>
        </w:tc>
      </w:tr>
      <w:tr w:rsidR="00306AAB" w:rsidRPr="003D428E" w:rsidTr="0096679E">
        <w:tblPrEx>
          <w:tblCellMar>
            <w:left w:w="108" w:type="dxa"/>
            <w:right w:w="108" w:type="dxa"/>
          </w:tblCellMar>
        </w:tblPrEx>
        <w:trPr>
          <w:cantSplit/>
          <w:trHeight w:val="926"/>
        </w:trPr>
        <w:tc>
          <w:tcPr>
            <w:tcW w:w="761" w:type="dxa"/>
            <w:tcMar>
              <w:left w:w="115" w:type="dxa"/>
              <w:right w:w="115" w:type="dxa"/>
            </w:tcMar>
          </w:tcPr>
          <w:p w:rsidR="00306AAB" w:rsidRPr="003D428E" w:rsidRDefault="00306AA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6280" w:type="dxa"/>
            <w:tcBorders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183EB4" w:rsidRPr="003D428E" w:rsidRDefault="00183EB4" w:rsidP="003D428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 each donor unit to be tested:</w:t>
            </w:r>
          </w:p>
          <w:p w:rsidR="00306AAB" w:rsidRPr="003D428E" w:rsidRDefault="00306AAB" w:rsidP="003D428E">
            <w:pPr>
              <w:pStyle w:val="Header"/>
              <w:numPr>
                <w:ilvl w:val="1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tubes.</w:t>
            </w:r>
          </w:p>
          <w:p w:rsidR="00306AAB" w:rsidRPr="003D428E" w:rsidRDefault="00306AAB" w:rsidP="003D428E">
            <w:pPr>
              <w:pStyle w:val="Header"/>
              <w:numPr>
                <w:ilvl w:val="1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the rack.</w:t>
            </w:r>
          </w:p>
        </w:tc>
        <w:tc>
          <w:tcPr>
            <w:tcW w:w="3235" w:type="dxa"/>
            <w:tcBorders>
              <w:left w:val="single" w:sz="4" w:space="0" w:color="auto"/>
              <w:bottom w:val="nil"/>
            </w:tcBorders>
            <w:tcMar>
              <w:left w:w="115" w:type="dxa"/>
              <w:right w:w="115" w:type="dxa"/>
            </w:tcMar>
          </w:tcPr>
          <w:p w:rsidR="00306AAB" w:rsidRPr="003D428E" w:rsidRDefault="00306AAB" w:rsidP="003D428E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kern w:val="0"/>
                <w:sz w:val="22"/>
                <w:szCs w:val="22"/>
              </w:rPr>
              <w:t xml:space="preserve">Labeling Tubes </w:t>
            </w:r>
            <w:r w:rsidR="00902BE9">
              <w:rPr>
                <w:rFonts w:ascii="Arial" w:hAnsi="Arial" w:cs="Arial"/>
                <w:kern w:val="0"/>
                <w:sz w:val="22"/>
                <w:szCs w:val="22"/>
              </w:rPr>
              <w:t>for Manual Bench Testing</w:t>
            </w:r>
          </w:p>
          <w:p w:rsidR="00306AAB" w:rsidRPr="003D428E" w:rsidRDefault="00902BE9" w:rsidP="003D428E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Manual Bench Set Up</w:t>
            </w:r>
          </w:p>
        </w:tc>
      </w:tr>
      <w:tr w:rsidR="00B66313" w:rsidRPr="003D428E" w:rsidTr="0096679E">
        <w:trPr>
          <w:trHeight w:val="482"/>
        </w:trPr>
        <w:tc>
          <w:tcPr>
            <w:tcW w:w="761" w:type="dxa"/>
            <w:tcMar>
              <w:left w:w="115" w:type="dxa"/>
              <w:right w:w="115" w:type="dxa"/>
            </w:tcMar>
          </w:tcPr>
          <w:p w:rsidR="00B66313" w:rsidRPr="003D428E" w:rsidRDefault="00667931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</w:tcPr>
          <w:p w:rsidR="00B66313" w:rsidRPr="003D428E" w:rsidRDefault="00F80A1F" w:rsidP="003D428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kern w:val="0"/>
                <w:sz w:val="22"/>
                <w:szCs w:val="22"/>
              </w:rPr>
              <w:t>Prepare a 3-5</w:t>
            </w:r>
            <w:r w:rsidR="00594BC7" w:rsidRPr="003D428E">
              <w:rPr>
                <w:rFonts w:ascii="Arial" w:hAnsi="Arial" w:cs="Arial"/>
                <w:kern w:val="0"/>
                <w:sz w:val="22"/>
                <w:szCs w:val="22"/>
              </w:rPr>
              <w:t>%</w:t>
            </w:r>
            <w:r w:rsidRPr="003D428E">
              <w:rPr>
                <w:rFonts w:ascii="Arial" w:hAnsi="Arial" w:cs="Arial"/>
                <w:kern w:val="0"/>
                <w:sz w:val="22"/>
                <w:szCs w:val="22"/>
              </w:rPr>
              <w:t xml:space="preserve"> cell suspension of donor cells</w:t>
            </w:r>
            <w:r w:rsidR="00594BC7" w:rsidRPr="003D428E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3235" w:type="dxa"/>
            <w:tcMar>
              <w:left w:w="115" w:type="dxa"/>
              <w:right w:w="115" w:type="dxa"/>
            </w:tcMar>
            <w:vAlign w:val="center"/>
          </w:tcPr>
          <w:p w:rsidR="00B66313" w:rsidRPr="003D428E" w:rsidRDefault="00902BE9" w:rsidP="003D428E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Preparation of </w:t>
            </w:r>
            <w:r w:rsidR="00F80A1F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="00594BC7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Red Cell Suspension </w:t>
            </w:r>
          </w:p>
        </w:tc>
      </w:tr>
      <w:tr w:rsidR="00594BC7" w:rsidRPr="003D428E" w:rsidTr="0096679E">
        <w:trPr>
          <w:trHeight w:val="577"/>
        </w:trPr>
        <w:tc>
          <w:tcPr>
            <w:tcW w:w="761" w:type="dxa"/>
            <w:tcMar>
              <w:left w:w="115" w:type="dxa"/>
              <w:right w:w="115" w:type="dxa"/>
            </w:tcMar>
          </w:tcPr>
          <w:p w:rsidR="00594BC7" w:rsidRPr="003D428E" w:rsidRDefault="00A51770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</w:tcPr>
          <w:p w:rsidR="00594BC7" w:rsidRPr="003D428E" w:rsidRDefault="00594BC7" w:rsidP="003D428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2 drops patient plasma/serum to each crossmatch tube.</w:t>
            </w:r>
          </w:p>
        </w:tc>
        <w:tc>
          <w:tcPr>
            <w:tcW w:w="3235" w:type="dxa"/>
            <w:tcMar>
              <w:left w:w="115" w:type="dxa"/>
              <w:right w:w="115" w:type="dxa"/>
            </w:tcMar>
          </w:tcPr>
          <w:p w:rsidR="00594BC7" w:rsidRPr="003D428E" w:rsidRDefault="00594BC7" w:rsidP="003D42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66313" w:rsidRPr="003D428E" w:rsidTr="0096679E">
        <w:trPr>
          <w:trHeight w:val="700"/>
        </w:trPr>
        <w:tc>
          <w:tcPr>
            <w:tcW w:w="761" w:type="dxa"/>
            <w:tcMar>
              <w:left w:w="115" w:type="dxa"/>
              <w:right w:w="115" w:type="dxa"/>
            </w:tcMar>
          </w:tcPr>
          <w:p w:rsidR="00B66313" w:rsidRPr="003D428E" w:rsidRDefault="00A51770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</w:tcPr>
          <w:p w:rsidR="00B66313" w:rsidRPr="0096679E" w:rsidRDefault="00594BC7" w:rsidP="0096679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1 drop </w:t>
            </w:r>
            <w:r w:rsidR="00F80A1F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% suspension of the donor red cells to corresponding tube.</w:t>
            </w:r>
          </w:p>
        </w:tc>
        <w:tc>
          <w:tcPr>
            <w:tcW w:w="3235" w:type="dxa"/>
            <w:tcMar>
              <w:left w:w="115" w:type="dxa"/>
              <w:right w:w="115" w:type="dxa"/>
            </w:tcMar>
          </w:tcPr>
          <w:p w:rsidR="00B66313" w:rsidRPr="003D428E" w:rsidRDefault="00B66313" w:rsidP="003D42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66313" w:rsidRPr="003D428E" w:rsidTr="0096679E">
        <w:trPr>
          <w:trHeight w:val="865"/>
        </w:trPr>
        <w:tc>
          <w:tcPr>
            <w:tcW w:w="761" w:type="dxa"/>
            <w:tcMar>
              <w:left w:w="115" w:type="dxa"/>
              <w:right w:w="115" w:type="dxa"/>
            </w:tcMar>
          </w:tcPr>
          <w:p w:rsidR="00B66313" w:rsidRPr="003D428E" w:rsidRDefault="00A51770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</w:tcPr>
          <w:p w:rsidR="00B66313" w:rsidRPr="003D428E" w:rsidRDefault="00B66313" w:rsidP="003D428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3D428E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B66313" w:rsidRPr="003D428E" w:rsidRDefault="00B66313" w:rsidP="003D428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3235" w:type="dxa"/>
            <w:tcMar>
              <w:left w:w="115" w:type="dxa"/>
              <w:right w:w="115" w:type="dxa"/>
            </w:tcMar>
          </w:tcPr>
          <w:p w:rsidR="00B66313" w:rsidRPr="003D428E" w:rsidRDefault="00B66313" w:rsidP="003D428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66313" w:rsidRPr="003D428E" w:rsidTr="0096679E">
        <w:trPr>
          <w:trHeight w:val="911"/>
        </w:trPr>
        <w:tc>
          <w:tcPr>
            <w:tcW w:w="761" w:type="dxa"/>
            <w:tcMar>
              <w:left w:w="115" w:type="dxa"/>
              <w:right w:w="115" w:type="dxa"/>
            </w:tcMar>
          </w:tcPr>
          <w:p w:rsidR="00B66313" w:rsidRPr="003D428E" w:rsidRDefault="001F53F4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6280" w:type="dxa"/>
            <w:tcMar>
              <w:left w:w="115" w:type="dxa"/>
              <w:right w:w="115" w:type="dxa"/>
            </w:tcMar>
          </w:tcPr>
          <w:p w:rsidR="00B66313" w:rsidRPr="003D428E" w:rsidRDefault="00B66313" w:rsidP="003D428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B66313" w:rsidRPr="003D428E" w:rsidRDefault="00B97888" w:rsidP="003D428E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="00B66313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esuspend the cells</w:t>
            </w:r>
            <w:r w:rsidR="00DB2BF7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and</w:t>
            </w:r>
          </w:p>
          <w:p w:rsidR="00B66313" w:rsidRPr="003D428E" w:rsidRDefault="00B97888" w:rsidP="003D428E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="00B66313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ead macroscopically and record results</w:t>
            </w:r>
            <w:r w:rsidR="00B66313" w:rsidRPr="003D428E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3235" w:type="dxa"/>
            <w:tcMar>
              <w:left w:w="115" w:type="dxa"/>
              <w:right w:w="115" w:type="dxa"/>
            </w:tcMar>
          </w:tcPr>
          <w:p w:rsidR="00B66313" w:rsidRPr="003D428E" w:rsidRDefault="00B66313" w:rsidP="003D428E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3D428E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3D428E">
              <w:rPr>
                <w:rFonts w:ascii="Arial" w:hAnsi="Arial" w:cs="Arial"/>
                <w:kern w:val="0"/>
                <w:sz w:val="22"/>
                <w:szCs w:val="22"/>
              </w:rPr>
              <w:t xml:space="preserve"> and Gradi</w:t>
            </w:r>
            <w:r w:rsidR="00B97888" w:rsidRPr="003D428E">
              <w:rPr>
                <w:rFonts w:ascii="Arial" w:hAnsi="Arial" w:cs="Arial"/>
                <w:kern w:val="0"/>
                <w:sz w:val="22"/>
                <w:szCs w:val="22"/>
              </w:rPr>
              <w:t>ng Tube Hemagglutination Reactions</w:t>
            </w:r>
          </w:p>
        </w:tc>
      </w:tr>
    </w:tbl>
    <w:p w:rsidR="00BD3BF7" w:rsidRDefault="00BD3BF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p w:rsidR="00653D87" w:rsidRPr="003D428E" w:rsidRDefault="00653D87" w:rsidP="00471C00">
      <w:pPr>
        <w:pStyle w:val="Header"/>
        <w:tabs>
          <w:tab w:val="clear" w:pos="4320"/>
          <w:tab w:val="clear" w:pos="8640"/>
        </w:tabs>
        <w:spacing w:before="60" w:after="60" w:line="22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pPr w:leftFromText="180" w:rightFromText="180" w:vertAnchor="text" w:tblpX="-245" w:tblpY="1"/>
        <w:tblOverlap w:val="never"/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"/>
        <w:gridCol w:w="2322"/>
        <w:gridCol w:w="2672"/>
        <w:gridCol w:w="2019"/>
        <w:gridCol w:w="7"/>
        <w:gridCol w:w="2628"/>
      </w:tblGrid>
      <w:tr w:rsidR="00F6414C" w:rsidRPr="003D428E" w:rsidTr="0096679E"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F6414C" w:rsidRPr="003D428E" w:rsidRDefault="00F6414C" w:rsidP="0096679E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F6414C" w:rsidRPr="003D428E" w:rsidRDefault="00F6414C" w:rsidP="0096679E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F6414C" w:rsidRPr="003D428E" w:rsidRDefault="00F6414C" w:rsidP="0096679E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94BC7" w:rsidRPr="003D428E" w:rsidTr="0096679E">
        <w:trPr>
          <w:cantSplit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594BC7" w:rsidRPr="003D428E" w:rsidRDefault="001F53F4" w:rsidP="0096679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7020" w:type="dxa"/>
            <w:gridSpan w:val="4"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sz w:val="22"/>
                <w:szCs w:val="22"/>
              </w:rPr>
              <w:t>Consult the following table to interpret the compatibility test result.</w:t>
            </w:r>
          </w:p>
        </w:tc>
        <w:tc>
          <w:tcPr>
            <w:tcW w:w="2635" w:type="dxa"/>
            <w:gridSpan w:val="2"/>
            <w:vMerge w:val="restart"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spacing w:before="60" w:after="6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4BC7" w:rsidRPr="003D428E" w:rsidTr="0096679E">
        <w:trPr>
          <w:trHeight w:val="342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329" w:type="dxa"/>
            <w:gridSpan w:val="2"/>
            <w:tcMar>
              <w:left w:w="115" w:type="dxa"/>
              <w:right w:w="115" w:type="dxa"/>
            </w:tcMar>
            <w:vAlign w:val="center"/>
          </w:tcPr>
          <w:p w:rsidR="00594BC7" w:rsidRPr="003D428E" w:rsidRDefault="00594BC7" w:rsidP="0096679E">
            <w:pPr>
              <w:pStyle w:val="Heading9"/>
              <w:tabs>
                <w:tab w:val="clear" w:pos="1260"/>
              </w:tabs>
              <w:spacing w:before="60" w:after="60" w:line="220" w:lineRule="exac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3D428E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If the IS results show</w:t>
            </w:r>
          </w:p>
        </w:tc>
        <w:tc>
          <w:tcPr>
            <w:tcW w:w="2672" w:type="dxa"/>
            <w:tcMar>
              <w:left w:w="115" w:type="dxa"/>
              <w:right w:w="115" w:type="dxa"/>
            </w:tcMar>
            <w:vAlign w:val="center"/>
          </w:tcPr>
          <w:p w:rsidR="00594BC7" w:rsidRPr="003D428E" w:rsidRDefault="00594BC7" w:rsidP="0096679E">
            <w:pPr>
              <w:pStyle w:val="Heading9"/>
              <w:tabs>
                <w:tab w:val="clear" w:pos="1260"/>
              </w:tabs>
              <w:spacing w:before="60" w:after="60" w:line="220" w:lineRule="exac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  <w:r w:rsidRPr="003D428E">
              <w:rPr>
                <w:rFonts w:ascii="Arial" w:hAnsi="Arial" w:cs="Arial"/>
                <w:bCs/>
                <w:sz w:val="22"/>
                <w:szCs w:val="22"/>
              </w:rPr>
              <w:t>Then</w:t>
            </w:r>
          </w:p>
        </w:tc>
        <w:tc>
          <w:tcPr>
            <w:tcW w:w="2019" w:type="dxa"/>
            <w:tcMar>
              <w:left w:w="115" w:type="dxa"/>
              <w:right w:w="115" w:type="dxa"/>
            </w:tcMar>
            <w:vAlign w:val="center"/>
          </w:tcPr>
          <w:p w:rsidR="00594BC7" w:rsidRPr="003D428E" w:rsidRDefault="00594BC7" w:rsidP="0096679E">
            <w:pPr>
              <w:pStyle w:val="Heading9"/>
              <w:tabs>
                <w:tab w:val="clear" w:pos="126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3D428E">
              <w:rPr>
                <w:rFonts w:ascii="Arial" w:hAnsi="Arial" w:cs="Arial"/>
                <w:bCs/>
                <w:sz w:val="22"/>
                <w:szCs w:val="22"/>
              </w:rPr>
              <w:t>Report the crossmatch as</w:t>
            </w:r>
          </w:p>
        </w:tc>
        <w:tc>
          <w:tcPr>
            <w:tcW w:w="2635" w:type="dxa"/>
            <w:gridSpan w:val="2"/>
            <w:vMerge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  <w:tr w:rsidR="00594BC7" w:rsidRPr="003D428E" w:rsidTr="0096679E">
        <w:trPr>
          <w:trHeight w:val="544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329" w:type="dxa"/>
            <w:gridSpan w:val="2"/>
            <w:tcMar>
              <w:left w:w="115" w:type="dxa"/>
              <w:right w:w="115" w:type="dxa"/>
            </w:tcMar>
          </w:tcPr>
          <w:p w:rsidR="00594BC7" w:rsidRPr="003D428E" w:rsidRDefault="003D428E" w:rsidP="0096679E">
            <w:pPr>
              <w:pStyle w:val="Heading9"/>
              <w:numPr>
                <w:ilvl w:val="0"/>
                <w:numId w:val="26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 w:val="0"/>
                <w:sz w:val="22"/>
                <w:szCs w:val="22"/>
              </w:rPr>
              <w:t>No</w:t>
            </w:r>
            <w:r w:rsidR="00594BC7" w:rsidRPr="003D428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="00594BC7" w:rsidRPr="003D428E">
              <w:rPr>
                <w:rFonts w:ascii="Arial" w:hAnsi="Arial" w:cs="Arial"/>
                <w:b w:val="0"/>
                <w:sz w:val="22"/>
                <w:szCs w:val="22"/>
              </w:rPr>
              <w:t xml:space="preserve">hemolysis </w:t>
            </w:r>
            <w:r w:rsidR="00594BC7" w:rsidRPr="003D428E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proofErr w:type="gramEnd"/>
            <w:r w:rsidR="00594BC7" w:rsidRPr="003D42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94BC7" w:rsidRPr="003D428E">
              <w:rPr>
                <w:rFonts w:ascii="Arial" w:hAnsi="Arial" w:cs="Arial"/>
                <w:b w:val="0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594BC7" w:rsidRPr="003D428E">
              <w:rPr>
                <w:rFonts w:ascii="Arial" w:hAnsi="Arial" w:cs="Arial"/>
                <w:b w:val="0"/>
                <w:sz w:val="22"/>
                <w:szCs w:val="22"/>
              </w:rPr>
              <w:t>gglutination</w:t>
            </w:r>
          </w:p>
        </w:tc>
        <w:tc>
          <w:tcPr>
            <w:tcW w:w="2672" w:type="dxa"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pStyle w:val="Heading9"/>
              <w:numPr>
                <w:ilvl w:val="0"/>
                <w:numId w:val="26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D428E">
              <w:rPr>
                <w:rFonts w:ascii="Arial" w:hAnsi="Arial" w:cs="Arial"/>
                <w:b w:val="0"/>
                <w:bCs/>
                <w:sz w:val="22"/>
                <w:szCs w:val="22"/>
              </w:rPr>
              <w:t>Serologic incompatibility was not present or was undetected.</w:t>
            </w:r>
          </w:p>
        </w:tc>
        <w:tc>
          <w:tcPr>
            <w:tcW w:w="2019" w:type="dxa"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pStyle w:val="Heading9"/>
              <w:numPr>
                <w:ilvl w:val="0"/>
                <w:numId w:val="26"/>
              </w:numPr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3D428E">
              <w:rPr>
                <w:rFonts w:ascii="Arial" w:hAnsi="Arial" w:cs="Arial"/>
                <w:b w:val="0"/>
                <w:bCs/>
                <w:sz w:val="22"/>
                <w:szCs w:val="22"/>
              </w:rPr>
              <w:t>Compatible</w:t>
            </w:r>
          </w:p>
        </w:tc>
        <w:tc>
          <w:tcPr>
            <w:tcW w:w="2635" w:type="dxa"/>
            <w:gridSpan w:val="2"/>
            <w:vMerge/>
            <w:tcMar>
              <w:left w:w="115" w:type="dxa"/>
              <w:right w:w="115" w:type="dxa"/>
            </w:tcMar>
          </w:tcPr>
          <w:p w:rsidR="00594BC7" w:rsidRPr="003D428E" w:rsidRDefault="00594BC7" w:rsidP="0096679E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14C" w:rsidRPr="003D428E" w:rsidTr="0096679E">
        <w:trPr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6414C" w:rsidRPr="003D428E" w:rsidRDefault="001F53F4" w:rsidP="0096679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7020" w:type="dxa"/>
            <w:gridSpan w:val="4"/>
            <w:tcMar>
              <w:left w:w="115" w:type="dxa"/>
              <w:right w:w="115" w:type="dxa"/>
            </w:tcMar>
          </w:tcPr>
          <w:p w:rsidR="00F6414C" w:rsidRPr="003D428E" w:rsidRDefault="00F6414C" w:rsidP="0096679E">
            <w:pPr>
              <w:numPr>
                <w:ilvl w:val="0"/>
                <w:numId w:val="24"/>
              </w:num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z w:val="22"/>
                <w:szCs w:val="22"/>
                <w:lang w:val="en-GB"/>
              </w:rPr>
              <w:t xml:space="preserve">Identify and resolve any </w:t>
            </w:r>
            <w:r w:rsidR="00A51770" w:rsidRPr="003D428E">
              <w:rPr>
                <w:rFonts w:ascii="Arial" w:hAnsi="Arial" w:cs="Arial"/>
                <w:sz w:val="22"/>
                <w:szCs w:val="22"/>
                <w:lang w:val="en-GB"/>
              </w:rPr>
              <w:t xml:space="preserve">hemolysis, agglutination, </w:t>
            </w:r>
            <w:r w:rsidRPr="003D428E">
              <w:rPr>
                <w:rFonts w:ascii="Arial" w:hAnsi="Arial" w:cs="Arial"/>
                <w:sz w:val="22"/>
                <w:szCs w:val="22"/>
                <w:lang w:val="en-GB"/>
              </w:rPr>
              <w:t>discrepancy or disparity</w:t>
            </w:r>
            <w:r w:rsidR="00A51770" w:rsidRPr="003D428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635" w:type="dxa"/>
            <w:gridSpan w:val="2"/>
            <w:tcMar>
              <w:left w:w="115" w:type="dxa"/>
              <w:right w:w="115" w:type="dxa"/>
            </w:tcMar>
          </w:tcPr>
          <w:p w:rsidR="00F6414C" w:rsidRPr="003D428E" w:rsidRDefault="00F6414C" w:rsidP="0096679E">
            <w:p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34B2C" w:rsidRPr="003D428E" w:rsidTr="0096679E">
        <w:trPr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434B2C" w:rsidRPr="003D428E" w:rsidRDefault="00434B2C" w:rsidP="0096679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7020" w:type="dxa"/>
            <w:gridSpan w:val="4"/>
            <w:tcMar>
              <w:left w:w="115" w:type="dxa"/>
              <w:right w:w="115" w:type="dxa"/>
            </w:tcMar>
          </w:tcPr>
          <w:p w:rsidR="00434B2C" w:rsidRPr="003D428E" w:rsidRDefault="00434B2C" w:rsidP="0096679E">
            <w:pPr>
              <w:numPr>
                <w:ilvl w:val="0"/>
                <w:numId w:val="24"/>
              </w:num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z w:val="22"/>
                <w:szCs w:val="22"/>
                <w:lang w:val="en-GB"/>
              </w:rPr>
              <w:t>Confirm ABO/Rh of patient and donor.</w:t>
            </w:r>
          </w:p>
          <w:p w:rsidR="00434B2C" w:rsidRPr="003D428E" w:rsidRDefault="00434B2C" w:rsidP="0096679E">
            <w:pPr>
              <w:numPr>
                <w:ilvl w:val="0"/>
                <w:numId w:val="24"/>
              </w:num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z w:val="22"/>
                <w:szCs w:val="22"/>
                <w:lang w:val="en-GB"/>
              </w:rPr>
              <w:t>Repeat with a new cell suspension from a new donor sample.</w:t>
            </w:r>
          </w:p>
          <w:p w:rsidR="00434B2C" w:rsidRPr="003D428E" w:rsidRDefault="00434B2C" w:rsidP="0096679E">
            <w:pPr>
              <w:numPr>
                <w:ilvl w:val="0"/>
                <w:numId w:val="24"/>
              </w:num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z w:val="22"/>
                <w:szCs w:val="22"/>
                <w:lang w:val="en-GB"/>
              </w:rPr>
              <w:t xml:space="preserve">Consider cold antibody that may be present in patient’s plasma, such as P or M. </w:t>
            </w:r>
          </w:p>
        </w:tc>
        <w:tc>
          <w:tcPr>
            <w:tcW w:w="2635" w:type="dxa"/>
            <w:gridSpan w:val="2"/>
            <w:tcMar>
              <w:left w:w="115" w:type="dxa"/>
              <w:right w:w="115" w:type="dxa"/>
            </w:tcMar>
          </w:tcPr>
          <w:p w:rsidR="00434B2C" w:rsidRDefault="00902BE9" w:rsidP="0096679E">
            <w:pPr>
              <w:numPr>
                <w:ilvl w:val="0"/>
                <w:numId w:val="24"/>
              </w:num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ABO Discrepancy</w:t>
            </w:r>
          </w:p>
          <w:p w:rsidR="00902BE9" w:rsidRPr="003D428E" w:rsidRDefault="00902BE9" w:rsidP="0096679E">
            <w:p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 w:line="220" w:lineRule="exact"/>
              <w:ind w:left="28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Resolution</w:t>
            </w:r>
          </w:p>
        </w:tc>
      </w:tr>
      <w:tr w:rsidR="00F6414C" w:rsidRPr="003D428E" w:rsidTr="0096679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6414C" w:rsidRPr="003D428E" w:rsidRDefault="00F6414C" w:rsidP="0096679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1F53F4">
              <w:rPr>
                <w:rFonts w:ascii="Arial" w:hAnsi="Arial" w:cs="Arial"/>
                <w:b/>
                <w:kern w:val="0"/>
                <w:sz w:val="22"/>
                <w:szCs w:val="22"/>
              </w:rPr>
              <w:t>0</w:t>
            </w:r>
          </w:p>
        </w:tc>
        <w:tc>
          <w:tcPr>
            <w:tcW w:w="7020" w:type="dxa"/>
            <w:gridSpan w:val="4"/>
            <w:tcMar>
              <w:left w:w="115" w:type="dxa"/>
              <w:right w:w="115" w:type="dxa"/>
            </w:tcMar>
          </w:tcPr>
          <w:p w:rsidR="00F6414C" w:rsidRPr="003D428E" w:rsidRDefault="00F6414C" w:rsidP="0096679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</w:t>
            </w:r>
          </w:p>
          <w:p w:rsidR="00F6414C" w:rsidRPr="003D428E" w:rsidRDefault="003D428E" w:rsidP="0096679E">
            <w:pPr>
              <w:pStyle w:val="Header"/>
              <w:numPr>
                <w:ilvl w:val="1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="00F6414C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3D428E" w:rsidRDefault="003D428E" w:rsidP="0096679E">
            <w:pPr>
              <w:pStyle w:val="Header"/>
              <w:numPr>
                <w:ilvl w:val="1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F6414C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</w:t>
            </w:r>
          </w:p>
          <w:p w:rsidR="00F6414C" w:rsidRPr="003D428E" w:rsidRDefault="003D428E" w:rsidP="0096679E">
            <w:pPr>
              <w:pStyle w:val="Header"/>
              <w:numPr>
                <w:ilvl w:val="1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</w:t>
            </w:r>
            <w:r w:rsidR="00F6414C" w:rsidRPr="003D428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clerical check.</w:t>
            </w:r>
          </w:p>
        </w:tc>
        <w:tc>
          <w:tcPr>
            <w:tcW w:w="2635" w:type="dxa"/>
            <w:gridSpan w:val="2"/>
            <w:tcMar>
              <w:left w:w="115" w:type="dxa"/>
              <w:right w:w="115" w:type="dxa"/>
            </w:tcMar>
          </w:tcPr>
          <w:p w:rsidR="00F6414C" w:rsidRPr="003D428E" w:rsidRDefault="00F6414C" w:rsidP="0096679E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BD3BF7" w:rsidRDefault="00BD3BF7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</w:pPr>
    </w:p>
    <w:p w:rsidR="0096679E" w:rsidRPr="003D428E" w:rsidRDefault="0096679E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</w:pPr>
    </w:p>
    <w:p w:rsidR="00667931" w:rsidRDefault="004E7407" w:rsidP="0096679E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ind w:hanging="360"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3D428E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96679E">
        <w:rPr>
          <w:rFonts w:ascii="Arial" w:hAnsi="Arial" w:cs="Arial"/>
          <w:spacing w:val="-3"/>
          <w:kern w:val="0"/>
          <w:sz w:val="22"/>
          <w:szCs w:val="22"/>
          <w:lang w:val="en-GB"/>
        </w:rPr>
        <w:t>s</w:t>
      </w:r>
      <w:r w:rsidR="00667931" w:rsidRPr="003D428E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1F53F4" w:rsidRDefault="001F53F4" w:rsidP="0096679E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ind w:hanging="360"/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</w:pPr>
      <w:r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  <w:t>AABB Standards for Blood Banks and Transfusion Services, Current Edition</w:t>
      </w:r>
    </w:p>
    <w:p w:rsidR="001F53F4" w:rsidRPr="001F53F4" w:rsidRDefault="001F53F4" w:rsidP="0096679E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ind w:hanging="360"/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</w:pPr>
      <w:r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  <w:t>AABB Technical Manual</w:t>
      </w:r>
      <w:r w:rsidR="00027ACD"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  <w:t>, Current Edition</w:t>
      </w:r>
    </w:p>
    <w:p w:rsidR="00667931" w:rsidRPr="003D428E" w:rsidRDefault="00667931" w:rsidP="0096679E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ind w:hanging="360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</w:p>
    <w:p w:rsidR="00667931" w:rsidRPr="003D428E" w:rsidRDefault="00667931" w:rsidP="00612D60">
      <w:pPr>
        <w:tabs>
          <w:tab w:val="left" w:pos="-1080"/>
          <w:tab w:val="left" w:pos="-720"/>
          <w:tab w:val="left" w:pos="0"/>
          <w:tab w:val="left" w:pos="1800"/>
        </w:tabs>
        <w:spacing w:before="60" w:after="60" w:line="260" w:lineRule="exact"/>
        <w:rPr>
          <w:rFonts w:ascii="Arial" w:hAnsi="Arial" w:cs="Arial"/>
          <w:sz w:val="22"/>
          <w:szCs w:val="22"/>
          <w:lang w:val="en-GB"/>
        </w:rPr>
      </w:pPr>
    </w:p>
    <w:p w:rsidR="004E7407" w:rsidRPr="003D428E" w:rsidRDefault="004E7407" w:rsidP="00612D60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rPr>
          <w:rFonts w:ascii="Arial" w:hAnsi="Arial" w:cs="Arial"/>
          <w:bCs/>
          <w:spacing w:val="-3"/>
          <w:sz w:val="22"/>
          <w:szCs w:val="22"/>
        </w:rPr>
      </w:pPr>
    </w:p>
    <w:p w:rsidR="00F80A1F" w:rsidRPr="003D428E" w:rsidRDefault="00F80A1F" w:rsidP="00F80A1F">
      <w:pPr>
        <w:tabs>
          <w:tab w:val="left" w:pos="-1440"/>
        </w:tabs>
        <w:spacing w:before="60" w:after="60" w:line="300" w:lineRule="exact"/>
        <w:rPr>
          <w:rFonts w:ascii="Arial" w:hAnsi="Arial" w:cs="Arial"/>
          <w:b/>
          <w:bCs/>
          <w:sz w:val="22"/>
          <w:szCs w:val="22"/>
        </w:rPr>
      </w:pPr>
    </w:p>
    <w:sectPr w:rsidR="00F80A1F" w:rsidRPr="003D428E" w:rsidSect="008E0E8A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08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9C" w:rsidRDefault="00C3579C" w:rsidP="00B66313">
      <w:pPr>
        <w:pStyle w:val="Header"/>
      </w:pPr>
      <w:r>
        <w:separator/>
      </w:r>
    </w:p>
  </w:endnote>
  <w:endnote w:type="continuationSeparator" w:id="0">
    <w:p w:rsidR="00C3579C" w:rsidRDefault="00C3579C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5D" w:rsidRPr="00134892" w:rsidRDefault="00B02E5D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9E" w:rsidRDefault="0096679E" w:rsidP="008E0E8A">
    <w:pPr>
      <w:pStyle w:val="Footer"/>
      <w:tabs>
        <w:tab w:val="clear" w:pos="8640"/>
        <w:tab w:val="right" w:pos="9900"/>
      </w:tabs>
      <w:ind w:left="547" w:hanging="90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</w:t>
    </w:r>
    <w:r w:rsidR="008E0E8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7C1504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7C1504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B02E5D" w:rsidRPr="0096679E" w:rsidRDefault="0096679E" w:rsidP="008E0E8A">
    <w:pPr>
      <w:pStyle w:val="Footer"/>
      <w:ind w:left="547" w:hanging="907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  <w:p w:rsidR="00B02E5D" w:rsidRPr="008141D8" w:rsidRDefault="00B02E5D" w:rsidP="008E0E8A">
    <w:pPr>
      <w:pStyle w:val="Footer"/>
      <w:tabs>
        <w:tab w:val="clear" w:pos="4320"/>
        <w:tab w:val="clear" w:pos="8640"/>
        <w:tab w:val="right" w:pos="9360"/>
      </w:tabs>
      <w:ind w:hanging="90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1348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9C" w:rsidRDefault="00C3579C" w:rsidP="00B66313">
      <w:pPr>
        <w:pStyle w:val="Header"/>
      </w:pPr>
      <w:r>
        <w:separator/>
      </w:r>
    </w:p>
  </w:footnote>
  <w:footnote w:type="continuationSeparator" w:id="0">
    <w:p w:rsidR="00C3579C" w:rsidRDefault="00C3579C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87" w:rsidRDefault="00653D87" w:rsidP="008E0E8A">
    <w:pPr>
      <w:pStyle w:val="Header"/>
      <w:tabs>
        <w:tab w:val="clear" w:pos="4320"/>
        <w:tab w:val="clear" w:pos="8640"/>
        <w:tab w:val="center" w:pos="4680"/>
        <w:tab w:val="right" w:pos="9360"/>
      </w:tabs>
      <w:ind w:hanging="360"/>
      <w:rPr>
        <w:rFonts w:ascii="Arial" w:hAnsi="Arial" w:cs="Arial"/>
        <w:sz w:val="20"/>
      </w:rPr>
    </w:pPr>
  </w:p>
  <w:p w:rsidR="00B02E5D" w:rsidRPr="00653D87" w:rsidRDefault="008E0E8A" w:rsidP="008E0E8A">
    <w:pPr>
      <w:pStyle w:val="Header"/>
      <w:tabs>
        <w:tab w:val="clear" w:pos="4320"/>
        <w:tab w:val="clear" w:pos="8640"/>
        <w:tab w:val="center" w:pos="4680"/>
        <w:tab w:val="right" w:pos="9360"/>
      </w:tabs>
      <w:ind w:hanging="360"/>
      <w:rPr>
        <w:rFonts w:ascii="Arial" w:hAnsi="Arial" w:cs="Arial"/>
        <w:b/>
        <w:sz w:val="22"/>
        <w:szCs w:val="22"/>
      </w:rPr>
    </w:pPr>
    <w:r w:rsidRPr="00653D87">
      <w:rPr>
        <w:rFonts w:ascii="Arial" w:hAnsi="Arial" w:cs="Arial"/>
        <w:b/>
        <w:sz w:val="22"/>
        <w:szCs w:val="22"/>
      </w:rPr>
      <w:t xml:space="preserve">Crossmatch by </w:t>
    </w:r>
    <w:r w:rsidR="00B02E5D" w:rsidRPr="00653D87">
      <w:rPr>
        <w:rFonts w:ascii="Arial" w:hAnsi="Arial" w:cs="Arial"/>
        <w:b/>
        <w:sz w:val="22"/>
        <w:szCs w:val="22"/>
      </w:rPr>
      <w:t xml:space="preserve">Immediate Spin </w:t>
    </w:r>
    <w:r w:rsidRPr="00653D87">
      <w:rPr>
        <w:rFonts w:ascii="Arial" w:hAnsi="Arial" w:cs="Arial"/>
        <w:b/>
        <w:sz w:val="22"/>
        <w:szCs w:val="22"/>
      </w:rPr>
      <w:t>Tube Method</w:t>
    </w:r>
    <w:r w:rsidR="00B02E5D" w:rsidRPr="00653D87">
      <w:rPr>
        <w:rFonts w:ascii="Arial" w:hAnsi="Arial" w:cs="Arial"/>
        <w:b/>
        <w:sz w:val="22"/>
        <w:szCs w:val="22"/>
      </w:rPr>
      <w:tab/>
    </w:r>
    <w:r w:rsidR="00B02E5D" w:rsidRPr="00653D87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5D" w:rsidRDefault="007A214D" w:rsidP="0096679E">
    <w:pPr>
      <w:pStyle w:val="Header"/>
      <w:ind w:hanging="36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15100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6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860"/>
      <w:gridCol w:w="3145"/>
      <w:gridCol w:w="2255"/>
    </w:tblGrid>
    <w:tr w:rsidR="00B02E5D" w:rsidTr="0096679E">
      <w:trPr>
        <w:cantSplit/>
        <w:trHeight w:val="393"/>
      </w:trPr>
      <w:tc>
        <w:tcPr>
          <w:tcW w:w="48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2E5D" w:rsidRPr="00322AAD" w:rsidRDefault="00B02E5D" w:rsidP="00B02E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02E5D" w:rsidRPr="00322AAD" w:rsidRDefault="00B02E5D" w:rsidP="00B02E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B02E5D" w:rsidRPr="00322AAD" w:rsidRDefault="00B02E5D" w:rsidP="00B02E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322AA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22AA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322AA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322AA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22AA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02E5D" w:rsidRPr="00322AAD" w:rsidRDefault="00B02E5D" w:rsidP="00B02E5D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02E5D" w:rsidRDefault="00B02E5D" w:rsidP="00B02E5D">
          <w:pPr>
            <w:rPr>
              <w:b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4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02E5D" w:rsidRPr="00322AAD" w:rsidRDefault="00B02E5D" w:rsidP="00B02E5D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02E5D" w:rsidRPr="00322AAD" w:rsidRDefault="00B02E5D" w:rsidP="00B02E5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1</w:t>
          </w:r>
          <w:r w:rsidRPr="00322AA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322AA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5" w:type="dxa"/>
          <w:tcBorders>
            <w:top w:val="double" w:sz="4" w:space="0" w:color="auto"/>
            <w:left w:val="nil"/>
            <w:bottom w:val="nil"/>
          </w:tcBorders>
        </w:tcPr>
        <w:p w:rsidR="00B02E5D" w:rsidRPr="00322AAD" w:rsidRDefault="00B02E5D" w:rsidP="00B02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02E5D" w:rsidRPr="00322AAD" w:rsidRDefault="00902BE9" w:rsidP="00B02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5312-1</w:t>
          </w:r>
        </w:p>
      </w:tc>
    </w:tr>
    <w:tr w:rsidR="00B02E5D" w:rsidTr="0096679E">
      <w:trPr>
        <w:cantSplit/>
        <w:trHeight w:val="107"/>
      </w:trPr>
      <w:tc>
        <w:tcPr>
          <w:tcW w:w="48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02E5D" w:rsidRDefault="00B02E5D" w:rsidP="00B02E5D">
          <w:pPr>
            <w:rPr>
              <w:b/>
            </w:rPr>
          </w:pPr>
        </w:p>
      </w:tc>
      <w:tc>
        <w:tcPr>
          <w:tcW w:w="31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02E5D" w:rsidRPr="00322AAD" w:rsidRDefault="00B02E5D" w:rsidP="00B02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02E5D" w:rsidRPr="00322AAD" w:rsidRDefault="00B02E5D" w:rsidP="00B02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02E5D" w:rsidRPr="00322AAD" w:rsidRDefault="00B02E5D" w:rsidP="00B02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3788E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B02E5D" w:rsidTr="0096679E">
      <w:trPr>
        <w:cantSplit/>
        <w:trHeight w:val="484"/>
      </w:trPr>
      <w:tc>
        <w:tcPr>
          <w:tcW w:w="10260" w:type="dxa"/>
          <w:gridSpan w:val="3"/>
          <w:tcBorders>
            <w:top w:val="nil"/>
          </w:tcBorders>
          <w:vAlign w:val="center"/>
        </w:tcPr>
        <w:p w:rsidR="00B02E5D" w:rsidRPr="00322AAD" w:rsidRDefault="002112C8" w:rsidP="002112C8">
          <w:pPr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TITLE: </w:t>
          </w:r>
          <w:r w:rsidR="00B02E5D">
            <w:rPr>
              <w:rFonts w:ascii="Arial" w:hAnsi="Arial" w:cs="Arial"/>
              <w:sz w:val="28"/>
            </w:rPr>
            <w:t xml:space="preserve">Crossmatch </w:t>
          </w:r>
          <w:r>
            <w:rPr>
              <w:rFonts w:ascii="Arial" w:hAnsi="Arial" w:cs="Arial"/>
              <w:sz w:val="28"/>
            </w:rPr>
            <w:t>by Immediate Spin Tube Method</w:t>
          </w:r>
        </w:p>
      </w:tc>
    </w:tr>
  </w:tbl>
  <w:p w:rsidR="00B02E5D" w:rsidRPr="003D428E" w:rsidRDefault="00B02E5D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9782A"/>
    <w:multiLevelType w:val="hybridMultilevel"/>
    <w:tmpl w:val="7EF28B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C8356F"/>
    <w:multiLevelType w:val="hybridMultilevel"/>
    <w:tmpl w:val="AC282C5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DE6AB0"/>
    <w:multiLevelType w:val="hybridMultilevel"/>
    <w:tmpl w:val="5E0EA6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AF3A83"/>
    <w:multiLevelType w:val="hybridMultilevel"/>
    <w:tmpl w:val="9BE65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F027C"/>
    <w:multiLevelType w:val="hybridMultilevel"/>
    <w:tmpl w:val="5362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6B1EA2"/>
    <w:multiLevelType w:val="hybridMultilevel"/>
    <w:tmpl w:val="ED569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30223E"/>
    <w:multiLevelType w:val="hybridMultilevel"/>
    <w:tmpl w:val="C8FE46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931729"/>
    <w:multiLevelType w:val="hybridMultilevel"/>
    <w:tmpl w:val="D536F5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</w:abstractNum>
  <w:abstractNum w:abstractNumId="27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0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7"/>
  </w:num>
  <w:num w:numId="5">
    <w:abstractNumId w:val="25"/>
  </w:num>
  <w:num w:numId="6">
    <w:abstractNumId w:val="0"/>
  </w:num>
  <w:num w:numId="7">
    <w:abstractNumId w:val="27"/>
  </w:num>
  <w:num w:numId="8">
    <w:abstractNumId w:val="16"/>
  </w:num>
  <w:num w:numId="9">
    <w:abstractNumId w:val="24"/>
  </w:num>
  <w:num w:numId="10">
    <w:abstractNumId w:val="23"/>
  </w:num>
  <w:num w:numId="11">
    <w:abstractNumId w:val="10"/>
  </w:num>
  <w:num w:numId="12">
    <w:abstractNumId w:val="1"/>
  </w:num>
  <w:num w:numId="13">
    <w:abstractNumId w:val="18"/>
  </w:num>
  <w:num w:numId="14">
    <w:abstractNumId w:val="20"/>
  </w:num>
  <w:num w:numId="15">
    <w:abstractNumId w:val="9"/>
  </w:num>
  <w:num w:numId="16">
    <w:abstractNumId w:val="30"/>
  </w:num>
  <w:num w:numId="17">
    <w:abstractNumId w:val="29"/>
  </w:num>
  <w:num w:numId="18">
    <w:abstractNumId w:val="28"/>
  </w:num>
  <w:num w:numId="19">
    <w:abstractNumId w:val="4"/>
  </w:num>
  <w:num w:numId="20">
    <w:abstractNumId w:val="2"/>
  </w:num>
  <w:num w:numId="21">
    <w:abstractNumId w:val="12"/>
  </w:num>
  <w:num w:numId="22">
    <w:abstractNumId w:val="8"/>
  </w:num>
  <w:num w:numId="23">
    <w:abstractNumId w:val="17"/>
  </w:num>
  <w:num w:numId="24">
    <w:abstractNumId w:val="3"/>
  </w:num>
  <w:num w:numId="25">
    <w:abstractNumId w:val="5"/>
  </w:num>
  <w:num w:numId="26">
    <w:abstractNumId w:val="22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27ACD"/>
    <w:rsid w:val="00087142"/>
    <w:rsid w:val="000E310D"/>
    <w:rsid w:val="000F7A73"/>
    <w:rsid w:val="00102919"/>
    <w:rsid w:val="00114C0B"/>
    <w:rsid w:val="00134892"/>
    <w:rsid w:val="001667D1"/>
    <w:rsid w:val="00183EB4"/>
    <w:rsid w:val="001F4E42"/>
    <w:rsid w:val="001F53F4"/>
    <w:rsid w:val="002112C8"/>
    <w:rsid w:val="002321CE"/>
    <w:rsid w:val="00250442"/>
    <w:rsid w:val="00270000"/>
    <w:rsid w:val="00272B7D"/>
    <w:rsid w:val="00290148"/>
    <w:rsid w:val="002A0739"/>
    <w:rsid w:val="002D567F"/>
    <w:rsid w:val="00306AAB"/>
    <w:rsid w:val="0034598C"/>
    <w:rsid w:val="00386254"/>
    <w:rsid w:val="003A3DB0"/>
    <w:rsid w:val="003D428E"/>
    <w:rsid w:val="003E0E63"/>
    <w:rsid w:val="00434B2C"/>
    <w:rsid w:val="00464447"/>
    <w:rsid w:val="00471C00"/>
    <w:rsid w:val="004C1F87"/>
    <w:rsid w:val="004D6C6B"/>
    <w:rsid w:val="004E7407"/>
    <w:rsid w:val="00531E62"/>
    <w:rsid w:val="00582CB2"/>
    <w:rsid w:val="00594BC7"/>
    <w:rsid w:val="005A297B"/>
    <w:rsid w:val="005B7D2B"/>
    <w:rsid w:val="005D001C"/>
    <w:rsid w:val="00601FA1"/>
    <w:rsid w:val="006048B6"/>
    <w:rsid w:val="00612D60"/>
    <w:rsid w:val="00623D2E"/>
    <w:rsid w:val="006364F1"/>
    <w:rsid w:val="00653D87"/>
    <w:rsid w:val="00666E30"/>
    <w:rsid w:val="00667931"/>
    <w:rsid w:val="00671F9D"/>
    <w:rsid w:val="00700604"/>
    <w:rsid w:val="007840AE"/>
    <w:rsid w:val="007A214D"/>
    <w:rsid w:val="007C1504"/>
    <w:rsid w:val="007D46C6"/>
    <w:rsid w:val="008141D8"/>
    <w:rsid w:val="0083788E"/>
    <w:rsid w:val="008B3FB3"/>
    <w:rsid w:val="008D745D"/>
    <w:rsid w:val="008E0E8A"/>
    <w:rsid w:val="00902BE9"/>
    <w:rsid w:val="0090322A"/>
    <w:rsid w:val="00912BC5"/>
    <w:rsid w:val="00966266"/>
    <w:rsid w:val="0096679E"/>
    <w:rsid w:val="00967E34"/>
    <w:rsid w:val="009A4302"/>
    <w:rsid w:val="009B3C0E"/>
    <w:rsid w:val="00A45BAF"/>
    <w:rsid w:val="00A51770"/>
    <w:rsid w:val="00A767B4"/>
    <w:rsid w:val="00AA1D92"/>
    <w:rsid w:val="00B02E5D"/>
    <w:rsid w:val="00B04063"/>
    <w:rsid w:val="00B10496"/>
    <w:rsid w:val="00B524FD"/>
    <w:rsid w:val="00B54398"/>
    <w:rsid w:val="00B66313"/>
    <w:rsid w:val="00B704DB"/>
    <w:rsid w:val="00B73634"/>
    <w:rsid w:val="00B97888"/>
    <w:rsid w:val="00BB319A"/>
    <w:rsid w:val="00BD3BF7"/>
    <w:rsid w:val="00BF1CC6"/>
    <w:rsid w:val="00C13881"/>
    <w:rsid w:val="00C20E3F"/>
    <w:rsid w:val="00C3131E"/>
    <w:rsid w:val="00C3579C"/>
    <w:rsid w:val="00CA2E02"/>
    <w:rsid w:val="00CA6E57"/>
    <w:rsid w:val="00D31DA2"/>
    <w:rsid w:val="00D31FE5"/>
    <w:rsid w:val="00D84647"/>
    <w:rsid w:val="00DB2BF7"/>
    <w:rsid w:val="00DD46D0"/>
    <w:rsid w:val="00E34391"/>
    <w:rsid w:val="00E9036E"/>
    <w:rsid w:val="00EA5DC2"/>
    <w:rsid w:val="00ED7F8C"/>
    <w:rsid w:val="00F6414C"/>
    <w:rsid w:val="00F80A1F"/>
    <w:rsid w:val="00FB714B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7169">
      <o:colormenu v:ext="edit" fillcolor="#ff9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2"/>
        <o:entry new="6" old="0"/>
        <o:entry new="7" old="6"/>
        <o:entry new="8" old="6"/>
        <o:entry new="9" old="0"/>
        <o:entry new="10" old="0"/>
        <o:entry new="11" old="10"/>
        <o:entry new="12" old="10"/>
        <o:entry new="13" old="1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B3FB3"/>
    <w:rPr>
      <w:rFonts w:ascii="Georgia" w:hAnsi="Georgia"/>
      <w:kern w:val="24"/>
      <w:sz w:val="24"/>
    </w:rPr>
  </w:style>
  <w:style w:type="paragraph" w:styleId="CommentSubject">
    <w:name w:val="annotation subject"/>
    <w:basedOn w:val="CommentText"/>
    <w:next w:val="CommentText"/>
    <w:semiHidden/>
    <w:rsid w:val="003D42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B3FB3"/>
    <w:rPr>
      <w:rFonts w:ascii="Georgia" w:hAnsi="Georgia"/>
      <w:kern w:val="24"/>
      <w:sz w:val="24"/>
    </w:rPr>
  </w:style>
  <w:style w:type="paragraph" w:styleId="CommentSubject">
    <w:name w:val="annotation subject"/>
    <w:basedOn w:val="CommentText"/>
    <w:next w:val="CommentText"/>
    <w:semiHidden/>
    <w:rsid w:val="003D4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1708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subject/>
  <dc:creator>Provincial Blood Coordinating Office</dc:creator>
  <cp:keywords/>
  <dc:description/>
  <cp:lastModifiedBy>Brenda Hayden</cp:lastModifiedBy>
  <cp:revision>4</cp:revision>
  <cp:lastPrinted>2014-11-11T18:00:00Z</cp:lastPrinted>
  <dcterms:created xsi:type="dcterms:W3CDTF">2014-01-15T17:52:00Z</dcterms:created>
  <dcterms:modified xsi:type="dcterms:W3CDTF">2014-11-11T18:00:00Z</dcterms:modified>
</cp:coreProperties>
</file>