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5" w:rsidRPr="001474CA" w:rsidRDefault="00D26485" w:rsidP="009A50D7">
      <w:pPr>
        <w:ind w:left="-1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474CA">
        <w:rPr>
          <w:rFonts w:ascii="Arial" w:hAnsi="Arial" w:cs="Arial"/>
          <w:b/>
          <w:sz w:val="22"/>
          <w:szCs w:val="22"/>
        </w:rPr>
        <w:t>Purpose</w:t>
      </w:r>
    </w:p>
    <w:p w:rsidR="00D26485" w:rsidRDefault="001474CA" w:rsidP="009A50D7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A31F5">
        <w:rPr>
          <w:rFonts w:ascii="Arial" w:hAnsi="Arial" w:cs="Arial"/>
          <w:sz w:val="22"/>
          <w:szCs w:val="22"/>
        </w:rPr>
        <w:t>describe the procedure for printing a label using the Hematrax Blood and Blood Component Stand alone Labeling Application</w:t>
      </w:r>
      <w:r w:rsidR="00C1197D">
        <w:rPr>
          <w:rFonts w:ascii="Arial" w:hAnsi="Arial" w:cs="Arial"/>
          <w:sz w:val="22"/>
          <w:szCs w:val="22"/>
        </w:rPr>
        <w:t xml:space="preserve">, on the </w:t>
      </w:r>
      <w:proofErr w:type="spellStart"/>
      <w:r w:rsidR="00C1197D">
        <w:rPr>
          <w:rFonts w:ascii="Arial" w:hAnsi="Arial" w:cs="Arial"/>
          <w:sz w:val="22"/>
          <w:szCs w:val="22"/>
        </w:rPr>
        <w:t>Digitrax</w:t>
      </w:r>
      <w:proofErr w:type="spellEnd"/>
      <w:r w:rsidR="00C1197D">
        <w:rPr>
          <w:rFonts w:ascii="Arial" w:hAnsi="Arial" w:cs="Arial"/>
          <w:sz w:val="22"/>
          <w:szCs w:val="22"/>
        </w:rPr>
        <w:t xml:space="preserve"> ZM400 printer </w:t>
      </w:r>
      <w:r w:rsidR="00C1197D" w:rsidRPr="00A34AD4">
        <w:rPr>
          <w:rFonts w:ascii="Arial" w:hAnsi="Arial" w:cs="Arial"/>
          <w:sz w:val="22"/>
          <w:szCs w:val="22"/>
        </w:rPr>
        <w:t>used during LIS Downtime.</w:t>
      </w:r>
    </w:p>
    <w:p w:rsidR="007A31F5" w:rsidRDefault="007A31F5" w:rsidP="009A50D7">
      <w:pPr>
        <w:ind w:left="-180"/>
        <w:rPr>
          <w:rFonts w:ascii="Arial" w:hAnsi="Arial" w:cs="Arial"/>
          <w:sz w:val="22"/>
          <w:szCs w:val="22"/>
        </w:rPr>
      </w:pPr>
    </w:p>
    <w:p w:rsidR="00D26485" w:rsidRDefault="00D26485" w:rsidP="009A50D7">
      <w:pPr>
        <w:ind w:left="-180"/>
        <w:rPr>
          <w:rFonts w:ascii="Arial" w:hAnsi="Arial" w:cs="Arial"/>
          <w:sz w:val="22"/>
          <w:szCs w:val="22"/>
        </w:rPr>
      </w:pPr>
      <w:r w:rsidRPr="001474CA">
        <w:rPr>
          <w:rFonts w:ascii="Arial" w:hAnsi="Arial" w:cs="Arial"/>
          <w:b/>
          <w:sz w:val="22"/>
          <w:szCs w:val="22"/>
        </w:rPr>
        <w:t>Method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900"/>
      </w:tblGrid>
      <w:tr w:rsidR="00D26485" w:rsidRPr="006F7AF3" w:rsidTr="009A50D7">
        <w:trPr>
          <w:trHeight w:val="440"/>
        </w:trPr>
        <w:tc>
          <w:tcPr>
            <w:tcW w:w="720" w:type="dxa"/>
            <w:vAlign w:val="center"/>
          </w:tcPr>
          <w:p w:rsidR="00D26485" w:rsidRPr="009A50D7" w:rsidRDefault="00D26485" w:rsidP="009A50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9900" w:type="dxa"/>
            <w:vAlign w:val="center"/>
          </w:tcPr>
          <w:p w:rsidR="00D26485" w:rsidRPr="009A50D7" w:rsidRDefault="00D26485" w:rsidP="009A50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D26485" w:rsidRPr="006F7AF3" w:rsidTr="009A50D7">
        <w:trPr>
          <w:trHeight w:val="530"/>
        </w:trPr>
        <w:tc>
          <w:tcPr>
            <w:tcW w:w="720" w:type="dxa"/>
            <w:vAlign w:val="center"/>
          </w:tcPr>
          <w:p w:rsidR="00D26485" w:rsidRPr="009A50D7" w:rsidRDefault="00D26485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00" w:type="dxa"/>
            <w:vAlign w:val="center"/>
          </w:tcPr>
          <w:p w:rsidR="00D26485" w:rsidRPr="006F7AF3" w:rsidRDefault="00D26485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Log onto Hematrax computer. Log on consists of Tech ID (two initials + 4 numbers) and the password “</w:t>
            </w:r>
            <w:proofErr w:type="spellStart"/>
            <w:r w:rsidRPr="006F7AF3">
              <w:rPr>
                <w:rFonts w:ascii="Arial" w:hAnsi="Arial" w:cs="Arial"/>
                <w:sz w:val="22"/>
                <w:szCs w:val="22"/>
              </w:rPr>
              <w:t>bloodb@nk</w:t>
            </w:r>
            <w:proofErr w:type="spellEnd"/>
            <w:r w:rsidRPr="006F7AF3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D26485" w:rsidRPr="006F7AF3" w:rsidTr="009A50D7">
        <w:trPr>
          <w:trHeight w:val="350"/>
        </w:trPr>
        <w:tc>
          <w:tcPr>
            <w:tcW w:w="720" w:type="dxa"/>
            <w:vAlign w:val="center"/>
          </w:tcPr>
          <w:p w:rsidR="00D26485" w:rsidRPr="009A50D7" w:rsidRDefault="00D26485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00" w:type="dxa"/>
            <w:vAlign w:val="center"/>
          </w:tcPr>
          <w:p w:rsidR="00D26485" w:rsidRPr="006F7AF3" w:rsidRDefault="00D26485" w:rsidP="00D2648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Open window for full face label by using CTRL + U together.</w:t>
            </w:r>
          </w:p>
        </w:tc>
      </w:tr>
      <w:tr w:rsidR="006C62DD" w:rsidRPr="006F7AF3" w:rsidTr="009A50D7">
        <w:trPr>
          <w:trHeight w:val="350"/>
        </w:trPr>
        <w:tc>
          <w:tcPr>
            <w:tcW w:w="720" w:type="dxa"/>
            <w:vAlign w:val="center"/>
          </w:tcPr>
          <w:p w:rsidR="006C62DD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00" w:type="dxa"/>
            <w:vAlign w:val="center"/>
          </w:tcPr>
          <w:p w:rsidR="006C62DD" w:rsidRPr="006F7AF3" w:rsidRDefault="006C62DD" w:rsidP="006C62D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Scan the unit number.</w:t>
            </w:r>
          </w:p>
        </w:tc>
      </w:tr>
      <w:tr w:rsidR="00D26485" w:rsidRPr="006F7AF3" w:rsidTr="009A50D7">
        <w:trPr>
          <w:trHeight w:val="350"/>
        </w:trPr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00" w:type="dxa"/>
            <w:vAlign w:val="center"/>
          </w:tcPr>
          <w:p w:rsidR="00D26485" w:rsidRPr="006F7AF3" w:rsidRDefault="00D26485" w:rsidP="00D2648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Left click on the facility box. Select appropriate supplier from list. Click OK.</w:t>
            </w:r>
          </w:p>
        </w:tc>
      </w:tr>
      <w:tr w:rsidR="00D26485" w:rsidRPr="006F7AF3" w:rsidTr="009A50D7"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00" w:type="dxa"/>
            <w:vAlign w:val="center"/>
          </w:tcPr>
          <w:p w:rsidR="00D26485" w:rsidRPr="006F7AF3" w:rsidRDefault="006C62DD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 xml:space="preserve">Going down to </w:t>
            </w:r>
            <w:r w:rsidR="00D26485" w:rsidRPr="006F7AF3">
              <w:rPr>
                <w:rFonts w:ascii="Arial" w:hAnsi="Arial" w:cs="Arial"/>
                <w:sz w:val="22"/>
                <w:szCs w:val="22"/>
              </w:rPr>
              <w:t>the product donation type field select Volunteer Allogeneic Donation</w:t>
            </w:r>
            <w:r w:rsidRPr="006F7AF3">
              <w:rPr>
                <w:rFonts w:ascii="Arial" w:hAnsi="Arial" w:cs="Arial"/>
                <w:sz w:val="22"/>
                <w:szCs w:val="22"/>
              </w:rPr>
              <w:t xml:space="preserve"> (will be the default)</w:t>
            </w:r>
            <w:r w:rsidR="00D26485" w:rsidRPr="006F7AF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26485" w:rsidRPr="006F7AF3" w:rsidTr="009A50D7">
        <w:trPr>
          <w:trHeight w:val="368"/>
        </w:trPr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00" w:type="dxa"/>
            <w:vAlign w:val="center"/>
          </w:tcPr>
          <w:p w:rsidR="00D26485" w:rsidRPr="006F7AF3" w:rsidRDefault="00D26485" w:rsidP="00EF736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Left click on product field. S</w:t>
            </w:r>
            <w:r w:rsidR="00EF736E">
              <w:rPr>
                <w:rFonts w:ascii="Arial" w:hAnsi="Arial" w:cs="Arial"/>
                <w:sz w:val="22"/>
                <w:szCs w:val="22"/>
              </w:rPr>
              <w:t>elect the ICCBBA Predefined Product</w:t>
            </w:r>
            <w:r w:rsidRPr="006F7AF3">
              <w:rPr>
                <w:rFonts w:ascii="Arial" w:hAnsi="Arial" w:cs="Arial"/>
                <w:sz w:val="22"/>
                <w:szCs w:val="22"/>
              </w:rPr>
              <w:t xml:space="preserve"> Click OK.</w:t>
            </w:r>
          </w:p>
        </w:tc>
      </w:tr>
      <w:tr w:rsidR="00D26485" w:rsidRPr="006F7AF3" w:rsidTr="009A50D7"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00" w:type="dxa"/>
            <w:vAlign w:val="center"/>
          </w:tcPr>
          <w:p w:rsidR="00BF5A19" w:rsidRPr="006F7AF3" w:rsidRDefault="00BF5A19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 xml:space="preserve">In the ICCBBA Product Code field located in the upper left corner, scan the appropriate product bar code or enter the code that corresponds to the product type for label. </w:t>
            </w:r>
          </w:p>
        </w:tc>
      </w:tr>
      <w:tr w:rsidR="00D26485" w:rsidRPr="006F7AF3" w:rsidTr="009A50D7"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900" w:type="dxa"/>
            <w:vAlign w:val="center"/>
          </w:tcPr>
          <w:p w:rsidR="00D26485" w:rsidRPr="006F7AF3" w:rsidRDefault="006C62DD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 xml:space="preserve">Go up to the top right hand corner. </w:t>
            </w:r>
            <w:r w:rsidR="00BF5A19" w:rsidRPr="006F7AF3">
              <w:rPr>
                <w:rFonts w:ascii="Arial" w:hAnsi="Arial" w:cs="Arial"/>
                <w:sz w:val="22"/>
                <w:szCs w:val="22"/>
              </w:rPr>
              <w:t>If this is a divided unit, check the Divided Unit box and enter the aliquot number</w:t>
            </w:r>
            <w:r w:rsidRPr="006F7AF3">
              <w:rPr>
                <w:rFonts w:ascii="Arial" w:hAnsi="Arial" w:cs="Arial"/>
                <w:sz w:val="22"/>
                <w:szCs w:val="22"/>
              </w:rPr>
              <w:t>(s).</w:t>
            </w:r>
          </w:p>
        </w:tc>
      </w:tr>
      <w:tr w:rsidR="00D26485" w:rsidRPr="006F7AF3" w:rsidTr="009A50D7"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900" w:type="dxa"/>
            <w:vAlign w:val="center"/>
          </w:tcPr>
          <w:p w:rsidR="00D26485" w:rsidRPr="006F7AF3" w:rsidRDefault="00BF5A19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 xml:space="preserve">Go to the ABO/Rh box. The </w:t>
            </w:r>
            <w:r w:rsidR="006C62DD" w:rsidRPr="006F7AF3">
              <w:rPr>
                <w:rFonts w:ascii="Arial" w:hAnsi="Arial" w:cs="Arial"/>
                <w:sz w:val="22"/>
                <w:szCs w:val="22"/>
              </w:rPr>
              <w:t xml:space="preserve">Blood Group/Rh Factor </w:t>
            </w:r>
            <w:r w:rsidRPr="006F7AF3">
              <w:rPr>
                <w:rFonts w:ascii="Arial" w:hAnsi="Arial" w:cs="Arial"/>
                <w:sz w:val="22"/>
                <w:szCs w:val="22"/>
              </w:rPr>
              <w:t>drop down menu will allow you to select the blood type for new label.</w:t>
            </w:r>
            <w:r w:rsidR="006C62DD" w:rsidRPr="006F7AF3">
              <w:rPr>
                <w:rFonts w:ascii="Arial" w:hAnsi="Arial" w:cs="Arial"/>
                <w:sz w:val="22"/>
                <w:szCs w:val="22"/>
              </w:rPr>
              <w:t xml:space="preserve"> Click OK.</w:t>
            </w:r>
          </w:p>
        </w:tc>
      </w:tr>
      <w:tr w:rsidR="00D26485" w:rsidRPr="006F7AF3" w:rsidTr="009A50D7">
        <w:tc>
          <w:tcPr>
            <w:tcW w:w="720" w:type="dxa"/>
            <w:vAlign w:val="center"/>
          </w:tcPr>
          <w:p w:rsidR="00D26485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900" w:type="dxa"/>
            <w:vAlign w:val="center"/>
          </w:tcPr>
          <w:p w:rsidR="00EF736E" w:rsidRDefault="006C62DD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Left click on</w:t>
            </w:r>
            <w:r w:rsidR="001474CA" w:rsidRPr="006F7AF3">
              <w:rPr>
                <w:rFonts w:ascii="Arial" w:hAnsi="Arial" w:cs="Arial"/>
                <w:sz w:val="22"/>
                <w:szCs w:val="22"/>
              </w:rPr>
              <w:t xml:space="preserve"> the Date box. Enter the correct new expiration date</w:t>
            </w:r>
            <w:r w:rsidRPr="006F7AF3">
              <w:rPr>
                <w:rFonts w:ascii="Arial" w:hAnsi="Arial" w:cs="Arial"/>
                <w:sz w:val="22"/>
                <w:szCs w:val="22"/>
              </w:rPr>
              <w:t>. The time will default to 23:59 unless the box for time is checked and an alternate time can be entered.</w:t>
            </w:r>
            <w:r w:rsidR="001474CA" w:rsidRPr="006F7A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6485" w:rsidRPr="006F7AF3" w:rsidRDefault="006C62DD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In the special test field verify the attributes if appropriate for unit</w:t>
            </w:r>
            <w:r w:rsidR="001474CA" w:rsidRPr="006F7AF3">
              <w:rPr>
                <w:rFonts w:ascii="Arial" w:hAnsi="Arial" w:cs="Arial"/>
                <w:sz w:val="22"/>
                <w:szCs w:val="22"/>
              </w:rPr>
              <w:t>. Select OK.</w:t>
            </w:r>
          </w:p>
        </w:tc>
      </w:tr>
      <w:tr w:rsidR="006C62DD" w:rsidRPr="006F7AF3" w:rsidTr="009A50D7">
        <w:tc>
          <w:tcPr>
            <w:tcW w:w="720" w:type="dxa"/>
            <w:vAlign w:val="center"/>
          </w:tcPr>
          <w:p w:rsidR="006C62DD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9900" w:type="dxa"/>
            <w:vAlign w:val="center"/>
          </w:tcPr>
          <w:p w:rsidR="006C62DD" w:rsidRDefault="006C62DD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If creating 5 day thawed plasma, select the box fo</w:t>
            </w:r>
            <w:r w:rsidR="00763B4A">
              <w:rPr>
                <w:rFonts w:ascii="Arial" w:hAnsi="Arial" w:cs="Arial"/>
                <w:sz w:val="22"/>
                <w:szCs w:val="22"/>
              </w:rPr>
              <w:t>r Processing Facility to put PSBC</w:t>
            </w:r>
            <w:r w:rsidRPr="006F7AF3">
              <w:rPr>
                <w:rFonts w:ascii="Arial" w:hAnsi="Arial" w:cs="Arial"/>
                <w:sz w:val="22"/>
                <w:szCs w:val="22"/>
              </w:rPr>
              <w:t xml:space="preserve"> license information on the new label. Check box to include FDA license number.</w:t>
            </w:r>
          </w:p>
          <w:p w:rsidR="00763B4A" w:rsidRPr="006F7AF3" w:rsidRDefault="00763B4A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HMC for modifying facility.</w:t>
            </w:r>
          </w:p>
        </w:tc>
      </w:tr>
      <w:tr w:rsidR="006C62DD" w:rsidRPr="006F7AF3" w:rsidTr="009A50D7">
        <w:trPr>
          <w:trHeight w:val="323"/>
        </w:trPr>
        <w:tc>
          <w:tcPr>
            <w:tcW w:w="720" w:type="dxa"/>
            <w:vAlign w:val="center"/>
          </w:tcPr>
          <w:p w:rsidR="006C62DD" w:rsidRPr="009A50D7" w:rsidRDefault="006C62DD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9900" w:type="dxa"/>
            <w:vAlign w:val="center"/>
          </w:tcPr>
          <w:p w:rsidR="006C62DD" w:rsidRPr="006F7AF3" w:rsidRDefault="006478C1" w:rsidP="006478C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34AD4">
              <w:rPr>
                <w:rFonts w:ascii="Arial" w:hAnsi="Arial" w:cs="Arial"/>
                <w:sz w:val="22"/>
                <w:szCs w:val="22"/>
              </w:rPr>
              <w:t>Enter “2” in the “number of labels” box in the lower right of the screen</w:t>
            </w:r>
            <w:r w:rsidR="00976D93" w:rsidRPr="00A34AD4">
              <w:rPr>
                <w:rFonts w:ascii="Arial" w:hAnsi="Arial" w:cs="Arial"/>
                <w:sz w:val="22"/>
                <w:szCs w:val="22"/>
              </w:rPr>
              <w:t>.  One label will be used to label the product, and one label will be affixed to the back of the Downtime Component Preparation Form for that product.</w:t>
            </w:r>
          </w:p>
        </w:tc>
      </w:tr>
      <w:tr w:rsidR="00D26485" w:rsidRPr="006F7AF3" w:rsidTr="009A50D7">
        <w:trPr>
          <w:trHeight w:val="710"/>
        </w:trPr>
        <w:tc>
          <w:tcPr>
            <w:tcW w:w="720" w:type="dxa"/>
            <w:vAlign w:val="center"/>
          </w:tcPr>
          <w:p w:rsidR="00D26485" w:rsidRPr="009A50D7" w:rsidRDefault="001474CA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C62DD" w:rsidRPr="009A50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00" w:type="dxa"/>
            <w:vAlign w:val="center"/>
          </w:tcPr>
          <w:p w:rsidR="00D26485" w:rsidRPr="006F7AF3" w:rsidRDefault="001474CA" w:rsidP="006F7AF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 xml:space="preserve">Print. An extra box may appear to allow you to enter the </w:t>
            </w:r>
            <w:r w:rsidR="00EB4C8C" w:rsidRPr="006F7AF3"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 w:rsidRPr="006F7AF3">
              <w:rPr>
                <w:rFonts w:ascii="Arial" w:hAnsi="Arial" w:cs="Arial"/>
                <w:sz w:val="22"/>
                <w:szCs w:val="22"/>
              </w:rPr>
              <w:t>volume</w:t>
            </w:r>
            <w:r w:rsidR="00EB4C8C" w:rsidRPr="006F7A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F7AF3">
              <w:rPr>
                <w:rFonts w:ascii="Arial" w:hAnsi="Arial" w:cs="Arial"/>
                <w:sz w:val="22"/>
                <w:szCs w:val="22"/>
              </w:rPr>
              <w:t>amount of anticoagulant</w:t>
            </w:r>
            <w:r w:rsidR="00EB4C8C" w:rsidRPr="006F7AF3">
              <w:rPr>
                <w:rFonts w:ascii="Arial" w:hAnsi="Arial" w:cs="Arial"/>
                <w:sz w:val="22"/>
                <w:szCs w:val="22"/>
              </w:rPr>
              <w:t>,</w:t>
            </w:r>
            <w:r w:rsidRPr="006F7AF3">
              <w:rPr>
                <w:rFonts w:ascii="Arial" w:hAnsi="Arial" w:cs="Arial"/>
                <w:sz w:val="22"/>
                <w:szCs w:val="22"/>
              </w:rPr>
              <w:t xml:space="preserve"> and additive volumes as necessary.</w:t>
            </w:r>
          </w:p>
        </w:tc>
      </w:tr>
      <w:tr w:rsidR="00D26485" w:rsidRPr="006F7AF3" w:rsidTr="009A50D7">
        <w:trPr>
          <w:trHeight w:val="350"/>
        </w:trPr>
        <w:tc>
          <w:tcPr>
            <w:tcW w:w="720" w:type="dxa"/>
            <w:vAlign w:val="center"/>
          </w:tcPr>
          <w:p w:rsidR="00D26485" w:rsidRPr="009A50D7" w:rsidRDefault="001474CA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0D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C62DD" w:rsidRPr="009A50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00" w:type="dxa"/>
            <w:vAlign w:val="center"/>
          </w:tcPr>
          <w:p w:rsidR="001474CA" w:rsidRPr="006F7AF3" w:rsidRDefault="001474CA" w:rsidP="001474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F7AF3">
              <w:rPr>
                <w:rFonts w:ascii="Arial" w:hAnsi="Arial" w:cs="Arial"/>
                <w:sz w:val="22"/>
                <w:szCs w:val="22"/>
              </w:rPr>
              <w:t>Close the label window completely before printing any additional labels.</w:t>
            </w:r>
          </w:p>
        </w:tc>
      </w:tr>
      <w:tr w:rsidR="00763B4A" w:rsidRPr="006F7AF3" w:rsidTr="009A50D7">
        <w:trPr>
          <w:trHeight w:val="350"/>
        </w:trPr>
        <w:tc>
          <w:tcPr>
            <w:tcW w:w="720" w:type="dxa"/>
            <w:vAlign w:val="center"/>
          </w:tcPr>
          <w:p w:rsidR="00763B4A" w:rsidRPr="009A50D7" w:rsidRDefault="00763B4A" w:rsidP="006F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9900" w:type="dxa"/>
            <w:vAlign w:val="center"/>
          </w:tcPr>
          <w:p w:rsidR="00763B4A" w:rsidRDefault="00763B4A" w:rsidP="001474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the label accuracy by comparing printed label to original product label with a second tech.</w:t>
            </w:r>
          </w:p>
          <w:p w:rsidR="00763B4A" w:rsidRPr="006F7AF3" w:rsidRDefault="00763B4A" w:rsidP="001474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verification on Label Verification Form.</w:t>
            </w:r>
          </w:p>
        </w:tc>
      </w:tr>
    </w:tbl>
    <w:p w:rsidR="007A31F5" w:rsidRDefault="007A31F5" w:rsidP="009A50D7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88174D" w:rsidRPr="007A31F5" w:rsidRDefault="007A31F5" w:rsidP="009A50D7">
      <w:pPr>
        <w:ind w:left="-180"/>
        <w:rPr>
          <w:rFonts w:ascii="Arial" w:hAnsi="Arial" w:cs="Arial"/>
          <w:sz w:val="22"/>
          <w:szCs w:val="22"/>
        </w:rPr>
      </w:pPr>
      <w:r w:rsidRPr="007A31F5">
        <w:rPr>
          <w:rFonts w:ascii="Arial" w:hAnsi="Arial" w:cs="Arial"/>
          <w:sz w:val="22"/>
          <w:szCs w:val="22"/>
        </w:rPr>
        <w:t xml:space="preserve">Hematrax Blood and Blood Component Stand Alone Labeling </w:t>
      </w:r>
      <w:proofErr w:type="gramStart"/>
      <w:r w:rsidRPr="007A31F5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 xml:space="preserve"> </w:t>
      </w:r>
      <w:r w:rsidR="0088174D">
        <w:rPr>
          <w:rFonts w:ascii="Arial" w:hAnsi="Arial" w:cs="Arial"/>
          <w:sz w:val="22"/>
          <w:szCs w:val="22"/>
        </w:rPr>
        <w:t>Version</w:t>
      </w:r>
      <w:proofErr w:type="gramEnd"/>
      <w:r w:rsidR="0088174D">
        <w:rPr>
          <w:rFonts w:ascii="Arial" w:hAnsi="Arial" w:cs="Arial"/>
          <w:sz w:val="22"/>
          <w:szCs w:val="22"/>
        </w:rPr>
        <w:t xml:space="preserve"> 6.2.1</w:t>
      </w:r>
      <w:r w:rsidR="00FF61BB">
        <w:rPr>
          <w:rFonts w:ascii="Arial" w:hAnsi="Arial" w:cs="Arial"/>
          <w:sz w:val="22"/>
          <w:szCs w:val="22"/>
        </w:rPr>
        <w:t>S</w:t>
      </w:r>
      <w:r w:rsidR="0088174D">
        <w:rPr>
          <w:rFonts w:ascii="Arial" w:hAnsi="Arial" w:cs="Arial"/>
          <w:sz w:val="22"/>
          <w:szCs w:val="22"/>
        </w:rPr>
        <w:t>tandards for Blood Banks and Transfusion Services, Current Edition</w:t>
      </w:r>
      <w:r w:rsidR="009A50D7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ountry-region">
        <w:r w:rsidR="009A50D7">
          <w:rPr>
            <w:rFonts w:ascii="Arial" w:hAnsi="Arial" w:cs="Arial"/>
            <w:sz w:val="22"/>
            <w:szCs w:val="22"/>
          </w:rPr>
          <w:t>America</w:t>
        </w:r>
      </w:smartTag>
      <w:r w:rsidR="009A50D7">
        <w:rPr>
          <w:rFonts w:ascii="Arial" w:hAnsi="Arial" w:cs="Arial"/>
          <w:sz w:val="22"/>
          <w:szCs w:val="22"/>
        </w:rPr>
        <w:t xml:space="preserve">n Association of Blood Banks, </w:t>
      </w:r>
      <w:smartTag w:uri="urn:schemas-microsoft-com:office:smarttags" w:element="place">
        <w:smartTag w:uri="urn:schemas-microsoft-com:office:smarttags" w:element="City">
          <w:r w:rsidR="009A50D7">
            <w:rPr>
              <w:rFonts w:ascii="Arial" w:hAnsi="Arial" w:cs="Arial"/>
              <w:sz w:val="22"/>
              <w:szCs w:val="22"/>
            </w:rPr>
            <w:t>Bethesda</w:t>
          </w:r>
        </w:smartTag>
        <w:r w:rsidR="009A50D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smartTag w:uri="urn:schemas-microsoft-com:office:smarttags" w:element="State">
            <w:r w:rsidR="009A50D7">
              <w:rPr>
                <w:rFonts w:ascii="Arial" w:hAnsi="Arial" w:cs="Arial"/>
                <w:sz w:val="22"/>
                <w:szCs w:val="22"/>
              </w:rPr>
              <w:t>MD</w:t>
            </w:r>
          </w:smartTag>
          <w:r w:rsidR="009A50D7">
            <w:rPr>
              <w:rFonts w:ascii="Arial" w:hAnsi="Arial" w:cs="Arial"/>
              <w:sz w:val="22"/>
              <w:szCs w:val="22"/>
            </w:rPr>
            <w:t>.</w:t>
          </w:r>
        </w:smartTag>
      </w:smartTag>
    </w:p>
    <w:sectPr w:rsidR="0088174D" w:rsidRPr="007A31F5" w:rsidSect="00FF61BB">
      <w:headerReference w:type="first" r:id="rId8"/>
      <w:pgSz w:w="12240" w:h="15840" w:code="1"/>
      <w:pgMar w:top="1440" w:right="720" w:bottom="360" w:left="108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BA" w:rsidRDefault="001411BA">
      <w:r>
        <w:separator/>
      </w:r>
    </w:p>
  </w:endnote>
  <w:endnote w:type="continuationSeparator" w:id="0">
    <w:p w:rsidR="001411BA" w:rsidRDefault="0014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BA" w:rsidRDefault="001411BA">
      <w:r>
        <w:separator/>
      </w:r>
    </w:p>
  </w:footnote>
  <w:footnote w:type="continuationSeparator" w:id="0">
    <w:p w:rsidR="001411BA" w:rsidRDefault="0014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F5" w:rsidRDefault="003872F3" w:rsidP="009A50D7">
    <w:pPr>
      <w:ind w:hanging="18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743700" cy="7524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1BB" w:rsidRDefault="00FF61BB" w:rsidP="009A50D7">
    <w:pPr>
      <w:ind w:hanging="180"/>
      <w:jc w:val="both"/>
    </w:pPr>
  </w:p>
  <w:tbl>
    <w:tblPr>
      <w:tblW w:w="1062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80"/>
      <w:gridCol w:w="3001"/>
      <w:gridCol w:w="2339"/>
    </w:tblGrid>
    <w:tr w:rsidR="007A31F5" w:rsidTr="009A50D7">
      <w:tblPrEx>
        <w:tblCellMar>
          <w:top w:w="0" w:type="dxa"/>
          <w:bottom w:w="0" w:type="dxa"/>
        </w:tblCellMar>
      </w:tblPrEx>
      <w:trPr>
        <w:cantSplit/>
        <w:trHeight w:val="487"/>
      </w:trPr>
      <w:tc>
        <w:tcPr>
          <w:tcW w:w="528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8174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88174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88174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88174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88174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88174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88174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88174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A31F5" w:rsidRPr="0088174D" w:rsidRDefault="007A31F5" w:rsidP="009A50D7">
          <w:pPr>
            <w:ind w:left="299" w:hanging="299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00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A31F5" w:rsidRPr="0088174D" w:rsidRDefault="007A31F5" w:rsidP="005D4340">
          <w:pPr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8174D">
            <w:rPr>
              <w:rFonts w:ascii="Arial" w:hAnsi="Arial" w:cs="Arial"/>
              <w:sz w:val="22"/>
              <w:szCs w:val="22"/>
            </w:rPr>
            <w:t>April</w:t>
          </w:r>
          <w:r w:rsidRPr="0088174D">
            <w:rPr>
              <w:rFonts w:ascii="Arial" w:hAnsi="Arial" w:cs="Arial"/>
              <w:sz w:val="22"/>
              <w:szCs w:val="22"/>
            </w:rPr>
            <w:t xml:space="preserve"> 1</w:t>
          </w:r>
          <w:r w:rsidRPr="0088174D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A50D7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39" w:type="dxa"/>
          <w:tcBorders>
            <w:top w:val="double" w:sz="4" w:space="0" w:color="auto"/>
            <w:left w:val="nil"/>
            <w:bottom w:val="nil"/>
          </w:tcBorders>
        </w:tcPr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A31F5" w:rsidRPr="0088174D" w:rsidRDefault="003E4721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5204</w:t>
          </w:r>
          <w:r w:rsidR="00976D93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7A31F5" w:rsidTr="009A50D7">
      <w:tblPrEx>
        <w:tblCellMar>
          <w:top w:w="0" w:type="dxa"/>
          <w:bottom w:w="0" w:type="dxa"/>
        </w:tblCellMar>
      </w:tblPrEx>
      <w:trPr>
        <w:cantSplit/>
        <w:trHeight w:val="134"/>
      </w:trPr>
      <w:tc>
        <w:tcPr>
          <w:tcW w:w="528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A31F5" w:rsidRPr="0088174D" w:rsidRDefault="007A31F5" w:rsidP="00D26485">
          <w:pPr>
            <w:ind w:left="299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0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A31F5" w:rsidRPr="0088174D" w:rsidRDefault="007A31F5" w:rsidP="005D434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A31F5" w:rsidRPr="00976D93" w:rsidRDefault="00976D93" w:rsidP="005D43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6D93">
            <w:rPr>
              <w:rFonts w:ascii="Arial" w:hAnsi="Arial" w:cs="Arial"/>
              <w:sz w:val="22"/>
              <w:szCs w:val="22"/>
            </w:rPr>
            <w:t>6/30/13</w:t>
          </w:r>
        </w:p>
      </w:tc>
      <w:tc>
        <w:tcPr>
          <w:tcW w:w="233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A31F5" w:rsidRPr="009A50D7" w:rsidRDefault="007A31F5" w:rsidP="005D434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174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9A50D7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7A31F5" w:rsidTr="009A50D7">
      <w:tblPrEx>
        <w:tblCellMar>
          <w:top w:w="0" w:type="dxa"/>
          <w:bottom w:w="0" w:type="dxa"/>
        </w:tblCellMar>
      </w:tblPrEx>
      <w:trPr>
        <w:cantSplit/>
        <w:trHeight w:val="599"/>
      </w:trPr>
      <w:tc>
        <w:tcPr>
          <w:tcW w:w="10620" w:type="dxa"/>
          <w:gridSpan w:val="3"/>
          <w:tcBorders>
            <w:top w:val="nil"/>
          </w:tcBorders>
          <w:vAlign w:val="center"/>
        </w:tcPr>
        <w:p w:rsidR="007A31F5" w:rsidRPr="009A50D7" w:rsidRDefault="007A31F5" w:rsidP="009A50D7">
          <w:pPr>
            <w:ind w:left="299" w:hanging="299"/>
            <w:rPr>
              <w:rFonts w:ascii="Arial" w:hAnsi="Arial" w:cs="Arial"/>
              <w:sz w:val="28"/>
              <w:szCs w:val="28"/>
            </w:rPr>
          </w:pPr>
          <w:r w:rsidRPr="009A50D7">
            <w:rPr>
              <w:rFonts w:ascii="Arial" w:hAnsi="Arial" w:cs="Arial"/>
              <w:sz w:val="28"/>
              <w:szCs w:val="28"/>
            </w:rPr>
            <w:t xml:space="preserve">TITLE:  </w:t>
          </w:r>
          <w:r w:rsidR="002A7FFB">
            <w:rPr>
              <w:rFonts w:ascii="Arial" w:hAnsi="Arial" w:cs="Arial"/>
              <w:sz w:val="28"/>
              <w:szCs w:val="28"/>
            </w:rPr>
            <w:t xml:space="preserve">LIS </w:t>
          </w:r>
          <w:r w:rsidR="00C1197D">
            <w:rPr>
              <w:rFonts w:ascii="Arial" w:hAnsi="Arial" w:cs="Arial"/>
              <w:sz w:val="28"/>
              <w:szCs w:val="28"/>
            </w:rPr>
            <w:t>Downtime—Printing Hematrax Labels</w:t>
          </w:r>
        </w:p>
      </w:tc>
    </w:tr>
  </w:tbl>
  <w:p w:rsidR="007A31F5" w:rsidRDefault="007A31F5" w:rsidP="00D26485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5EFC"/>
    <w:multiLevelType w:val="hybridMultilevel"/>
    <w:tmpl w:val="5E124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5"/>
    <w:rsid w:val="000C53CA"/>
    <w:rsid w:val="00122ED5"/>
    <w:rsid w:val="001411BA"/>
    <w:rsid w:val="001474CA"/>
    <w:rsid w:val="002A7FFB"/>
    <w:rsid w:val="00374D4D"/>
    <w:rsid w:val="003872F3"/>
    <w:rsid w:val="003E4721"/>
    <w:rsid w:val="0040296F"/>
    <w:rsid w:val="0046571D"/>
    <w:rsid w:val="005101A9"/>
    <w:rsid w:val="005D4340"/>
    <w:rsid w:val="006478C1"/>
    <w:rsid w:val="006C62DD"/>
    <w:rsid w:val="006F7AF3"/>
    <w:rsid w:val="00763B4A"/>
    <w:rsid w:val="007A31F5"/>
    <w:rsid w:val="007E5F53"/>
    <w:rsid w:val="007F78DD"/>
    <w:rsid w:val="008215F7"/>
    <w:rsid w:val="0083740C"/>
    <w:rsid w:val="0088174D"/>
    <w:rsid w:val="008A11D0"/>
    <w:rsid w:val="00976D93"/>
    <w:rsid w:val="009A50D7"/>
    <w:rsid w:val="00A34AD4"/>
    <w:rsid w:val="00A549DB"/>
    <w:rsid w:val="00AE6A10"/>
    <w:rsid w:val="00AF7E68"/>
    <w:rsid w:val="00BF5A19"/>
    <w:rsid w:val="00BF6FC1"/>
    <w:rsid w:val="00C1197D"/>
    <w:rsid w:val="00CF273F"/>
    <w:rsid w:val="00D26485"/>
    <w:rsid w:val="00D80E41"/>
    <w:rsid w:val="00EB4C8C"/>
    <w:rsid w:val="00ED16EC"/>
    <w:rsid w:val="00EF736E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6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4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6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4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UWMC</Company>
  <LinksUpToDate>false</LinksUpToDate>
  <CharactersWithSpaces>2383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2</cp:revision>
  <cp:lastPrinted>2013-06-28T20:55:00Z</cp:lastPrinted>
  <dcterms:created xsi:type="dcterms:W3CDTF">2013-12-26T23:24:00Z</dcterms:created>
  <dcterms:modified xsi:type="dcterms:W3CDTF">2013-12-26T23:24:00Z</dcterms:modified>
</cp:coreProperties>
</file>