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91" w:rsidRDefault="00BD1191" w:rsidP="003B6C68">
      <w:pPr>
        <w:pStyle w:val="Header"/>
        <w:tabs>
          <w:tab w:val="clear" w:pos="4320"/>
          <w:tab w:val="clear" w:pos="8640"/>
        </w:tabs>
        <w:ind w:left="-360"/>
        <w:rPr>
          <w:rFonts w:ascii="Arial" w:hAnsi="Arial" w:cs="Arial"/>
          <w:b/>
          <w:bCs/>
          <w:kern w:val="0"/>
          <w:sz w:val="22"/>
          <w:szCs w:val="22"/>
        </w:rPr>
      </w:pPr>
      <w:r w:rsidRPr="003B0CA8">
        <w:rPr>
          <w:rFonts w:ascii="Arial" w:hAnsi="Arial" w:cs="Arial"/>
          <w:b/>
          <w:bCs/>
          <w:kern w:val="0"/>
          <w:sz w:val="22"/>
          <w:szCs w:val="22"/>
        </w:rPr>
        <w:t>Purpose</w:t>
      </w:r>
    </w:p>
    <w:p w:rsidR="00BD1191" w:rsidRDefault="00BD1191" w:rsidP="003B6C68">
      <w:pPr>
        <w:pStyle w:val="Header"/>
        <w:ind w:left="-360"/>
        <w:rPr>
          <w:rFonts w:ascii="Arial" w:hAnsi="Arial" w:cs="Arial"/>
          <w:bCs/>
          <w:kern w:val="0"/>
          <w:sz w:val="22"/>
          <w:szCs w:val="22"/>
        </w:rPr>
      </w:pPr>
      <w:r w:rsidRPr="00A23C38">
        <w:rPr>
          <w:rFonts w:ascii="Arial" w:hAnsi="Arial" w:cs="Arial"/>
          <w:bCs/>
          <w:kern w:val="0"/>
          <w:sz w:val="22"/>
          <w:szCs w:val="22"/>
        </w:rPr>
        <w:t>Use Blood Component Preparation to document production of components</w:t>
      </w:r>
      <w:r>
        <w:rPr>
          <w:rFonts w:ascii="Arial" w:hAnsi="Arial" w:cs="Arial"/>
          <w:bCs/>
          <w:kern w:val="0"/>
          <w:sz w:val="22"/>
          <w:szCs w:val="22"/>
        </w:rPr>
        <w:t xml:space="preserve"> and</w:t>
      </w:r>
      <w:r w:rsidRPr="00A23C38">
        <w:rPr>
          <w:rFonts w:ascii="Arial" w:hAnsi="Arial" w:cs="Arial"/>
          <w:bCs/>
          <w:kern w:val="0"/>
          <w:sz w:val="22"/>
          <w:szCs w:val="22"/>
        </w:rPr>
        <w:t xml:space="preserve"> record the blood product data that results from blood component</w:t>
      </w:r>
      <w:r>
        <w:rPr>
          <w:rFonts w:ascii="Arial" w:hAnsi="Arial" w:cs="Arial"/>
          <w:bCs/>
          <w:kern w:val="0"/>
          <w:sz w:val="22"/>
          <w:szCs w:val="22"/>
        </w:rPr>
        <w:t xml:space="preserve"> </w:t>
      </w:r>
      <w:r w:rsidRPr="00A23C38">
        <w:rPr>
          <w:rFonts w:ascii="Arial" w:hAnsi="Arial" w:cs="Arial"/>
          <w:bCs/>
          <w:kern w:val="0"/>
          <w:sz w:val="22"/>
          <w:szCs w:val="22"/>
        </w:rPr>
        <w:t>preparation.</w:t>
      </w:r>
      <w:r>
        <w:rPr>
          <w:rFonts w:ascii="Arial" w:hAnsi="Arial" w:cs="Arial"/>
          <w:bCs/>
          <w:kern w:val="0"/>
          <w:sz w:val="22"/>
          <w:szCs w:val="22"/>
        </w:rPr>
        <w:t xml:space="preserve"> </w:t>
      </w:r>
    </w:p>
    <w:p w:rsidR="00BD1191" w:rsidRDefault="00BD1191" w:rsidP="003B6C68">
      <w:pPr>
        <w:pStyle w:val="Header"/>
        <w:tabs>
          <w:tab w:val="clear" w:pos="4320"/>
          <w:tab w:val="clear" w:pos="8640"/>
        </w:tabs>
        <w:rPr>
          <w:rFonts w:ascii="Arial" w:hAnsi="Arial" w:cs="Arial"/>
          <w:b/>
          <w:bCs/>
          <w:kern w:val="0"/>
          <w:sz w:val="22"/>
          <w:szCs w:val="22"/>
        </w:rPr>
      </w:pPr>
    </w:p>
    <w:p w:rsidR="00BD1191" w:rsidRPr="004F2BA5" w:rsidRDefault="00BD1191" w:rsidP="003B6C68">
      <w:pPr>
        <w:pStyle w:val="Header"/>
        <w:tabs>
          <w:tab w:val="clear" w:pos="4320"/>
          <w:tab w:val="clear" w:pos="8640"/>
        </w:tabs>
        <w:ind w:hanging="360"/>
        <w:rPr>
          <w:rFonts w:ascii="Arial" w:hAnsi="Arial" w:cs="Arial"/>
          <w:b/>
          <w:bCs/>
          <w:kern w:val="0"/>
          <w:sz w:val="22"/>
          <w:szCs w:val="22"/>
        </w:rPr>
      </w:pPr>
      <w:r>
        <w:rPr>
          <w:rFonts w:ascii="Arial" w:hAnsi="Arial" w:cs="Arial"/>
          <w:b/>
          <w:bCs/>
          <w:kern w:val="0"/>
          <w:sz w:val="22"/>
          <w:szCs w:val="22"/>
        </w:rPr>
        <w:t>Procedure</w:t>
      </w:r>
    </w:p>
    <w:tbl>
      <w:tblPr>
        <w:tblW w:w="10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2497"/>
        <w:gridCol w:w="6924"/>
      </w:tblGrid>
      <w:tr w:rsidR="00BD1191" w:rsidRPr="00E004A7" w:rsidTr="009464BA">
        <w:trPr>
          <w:trHeight w:val="367"/>
        </w:trPr>
        <w:tc>
          <w:tcPr>
            <w:tcW w:w="779" w:type="dxa"/>
            <w:vAlign w:val="center"/>
          </w:tcPr>
          <w:p w:rsidR="00BD1191" w:rsidRPr="00E004A7" w:rsidRDefault="00BD1191" w:rsidP="003B6C68">
            <w:pPr>
              <w:jc w:val="center"/>
              <w:rPr>
                <w:rFonts w:ascii="Arial" w:hAnsi="Arial" w:cs="Arial"/>
                <w:b/>
              </w:rPr>
            </w:pPr>
            <w:r>
              <w:rPr>
                <w:rFonts w:ascii="Arial" w:hAnsi="Arial" w:cs="Arial"/>
                <w:b/>
                <w:sz w:val="22"/>
                <w:szCs w:val="22"/>
              </w:rPr>
              <w:t>Step</w:t>
            </w:r>
          </w:p>
        </w:tc>
        <w:tc>
          <w:tcPr>
            <w:tcW w:w="2497" w:type="dxa"/>
            <w:vAlign w:val="center"/>
          </w:tcPr>
          <w:p w:rsidR="00BD1191" w:rsidRPr="00E004A7" w:rsidRDefault="00BD1191" w:rsidP="003B6C68">
            <w:pPr>
              <w:jc w:val="center"/>
              <w:rPr>
                <w:rFonts w:ascii="Arial" w:hAnsi="Arial" w:cs="Arial"/>
                <w:b/>
              </w:rPr>
            </w:pPr>
            <w:r w:rsidRPr="00E004A7">
              <w:rPr>
                <w:rFonts w:ascii="Arial" w:hAnsi="Arial" w:cs="Arial"/>
                <w:b/>
                <w:sz w:val="22"/>
                <w:szCs w:val="22"/>
              </w:rPr>
              <w:t>Actions</w:t>
            </w:r>
          </w:p>
        </w:tc>
        <w:tc>
          <w:tcPr>
            <w:tcW w:w="6924" w:type="dxa"/>
            <w:vAlign w:val="center"/>
          </w:tcPr>
          <w:p w:rsidR="00BD1191" w:rsidRPr="00E004A7" w:rsidRDefault="00BD1191" w:rsidP="003B6C68">
            <w:pPr>
              <w:jc w:val="center"/>
              <w:rPr>
                <w:rFonts w:ascii="Arial" w:hAnsi="Arial" w:cs="Arial"/>
                <w:b/>
              </w:rPr>
            </w:pPr>
            <w:r w:rsidRPr="00E004A7">
              <w:rPr>
                <w:rFonts w:ascii="Arial" w:hAnsi="Arial" w:cs="Arial"/>
                <w:b/>
                <w:sz w:val="22"/>
                <w:szCs w:val="22"/>
              </w:rPr>
              <w:t>Computer Processes</w:t>
            </w:r>
          </w:p>
        </w:tc>
      </w:tr>
      <w:tr w:rsidR="00BD1191" w:rsidRPr="00E004A7" w:rsidTr="009464BA">
        <w:tc>
          <w:tcPr>
            <w:tcW w:w="779" w:type="dxa"/>
          </w:tcPr>
          <w:p w:rsidR="00BD1191" w:rsidRPr="003B6C68" w:rsidRDefault="00BD1191" w:rsidP="003B6C68">
            <w:pPr>
              <w:jc w:val="center"/>
              <w:rPr>
                <w:rFonts w:ascii="Arial" w:hAnsi="Arial" w:cs="Arial"/>
                <w:b/>
              </w:rPr>
            </w:pPr>
            <w:r w:rsidRPr="003B6C68">
              <w:rPr>
                <w:rFonts w:ascii="Arial" w:hAnsi="Arial" w:cs="Arial"/>
                <w:b/>
                <w:sz w:val="22"/>
                <w:szCs w:val="22"/>
              </w:rPr>
              <w:t>1</w:t>
            </w:r>
          </w:p>
        </w:tc>
        <w:tc>
          <w:tcPr>
            <w:tcW w:w="2497" w:type="dxa"/>
          </w:tcPr>
          <w:p w:rsidR="00BD1191" w:rsidRDefault="00325D29" w:rsidP="00325D29">
            <w:pPr>
              <w:rPr>
                <w:rFonts w:ascii="Arial" w:hAnsi="Arial" w:cs="Arial"/>
                <w:sz w:val="22"/>
                <w:szCs w:val="22"/>
              </w:rPr>
            </w:pPr>
            <w:r>
              <w:rPr>
                <w:rFonts w:ascii="Arial" w:hAnsi="Arial" w:cs="Arial"/>
                <w:sz w:val="22"/>
                <w:szCs w:val="22"/>
              </w:rPr>
              <w:t xml:space="preserve">RBCSP </w:t>
            </w:r>
          </w:p>
          <w:p w:rsidR="00325D29" w:rsidRPr="00E004A7" w:rsidRDefault="00325D29" w:rsidP="00325D29">
            <w:pPr>
              <w:rPr>
                <w:rFonts w:ascii="Arial" w:hAnsi="Arial" w:cs="Arial"/>
              </w:rPr>
            </w:pPr>
            <w:r>
              <w:rPr>
                <w:rFonts w:ascii="Arial" w:hAnsi="Arial" w:cs="Arial"/>
                <w:sz w:val="22"/>
                <w:szCs w:val="22"/>
              </w:rPr>
              <w:t xml:space="preserve">Splitting Red Blood Cell Unit </w:t>
            </w:r>
          </w:p>
        </w:tc>
        <w:tc>
          <w:tcPr>
            <w:tcW w:w="6924" w:type="dxa"/>
          </w:tcPr>
          <w:p w:rsidR="00325D29" w:rsidRDefault="00325D29" w:rsidP="003B6C68">
            <w:pPr>
              <w:pStyle w:val="ListParagraph"/>
              <w:numPr>
                <w:ilvl w:val="0"/>
                <w:numId w:val="41"/>
              </w:numPr>
              <w:rPr>
                <w:rFonts w:ascii="Arial" w:hAnsi="Arial" w:cs="Arial"/>
                <w:sz w:val="22"/>
                <w:szCs w:val="22"/>
              </w:rPr>
            </w:pPr>
            <w:r w:rsidRPr="00325D29">
              <w:rPr>
                <w:rFonts w:ascii="Arial" w:hAnsi="Arial" w:cs="Arial"/>
                <w:sz w:val="22"/>
                <w:szCs w:val="22"/>
              </w:rPr>
              <w:t xml:space="preserve">Select appropriate unit for performing aliquots </w:t>
            </w:r>
          </w:p>
          <w:p w:rsidR="00784FB8" w:rsidRPr="00325D29" w:rsidRDefault="00784FB8" w:rsidP="003B6C68">
            <w:pPr>
              <w:pStyle w:val="ListParagraph"/>
              <w:numPr>
                <w:ilvl w:val="0"/>
                <w:numId w:val="41"/>
              </w:numPr>
              <w:rPr>
                <w:rFonts w:ascii="Arial" w:hAnsi="Arial" w:cs="Arial"/>
                <w:sz w:val="22"/>
                <w:szCs w:val="22"/>
              </w:rPr>
            </w:pPr>
            <w:r>
              <w:rPr>
                <w:rFonts w:ascii="Arial" w:hAnsi="Arial" w:cs="Arial"/>
                <w:sz w:val="22"/>
                <w:szCs w:val="22"/>
              </w:rPr>
              <w:t xml:space="preserve">Document the new bag lot# and transfer set lot# </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Open Blood Component Preparation</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Select look up by component preparation function.</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 xml:space="preserve">Use code </w:t>
            </w:r>
            <w:r w:rsidR="007E00E7">
              <w:rPr>
                <w:rFonts w:ascii="Arial" w:hAnsi="Arial" w:cs="Arial"/>
                <w:sz w:val="22"/>
                <w:szCs w:val="22"/>
              </w:rPr>
              <w:t>(</w:t>
            </w:r>
            <w:r w:rsidR="00325D29">
              <w:rPr>
                <w:rFonts w:ascii="Arial" w:hAnsi="Arial" w:cs="Arial"/>
                <w:sz w:val="22"/>
                <w:szCs w:val="22"/>
              </w:rPr>
              <w:t>RBCSP</w:t>
            </w:r>
            <w:r w:rsidR="007E00E7">
              <w:rPr>
                <w:rFonts w:ascii="Arial" w:hAnsi="Arial" w:cs="Arial"/>
                <w:sz w:val="22"/>
                <w:szCs w:val="22"/>
              </w:rPr>
              <w:t xml:space="preserve">) </w:t>
            </w:r>
            <w:r w:rsidRPr="00E004A7">
              <w:rPr>
                <w:rFonts w:ascii="Arial" w:hAnsi="Arial" w:cs="Arial"/>
                <w:sz w:val="22"/>
                <w:szCs w:val="22"/>
              </w:rPr>
              <w:t xml:space="preserve">for </w:t>
            </w:r>
            <w:r w:rsidR="00325D29">
              <w:rPr>
                <w:rFonts w:ascii="Arial" w:hAnsi="Arial" w:cs="Arial"/>
                <w:sz w:val="22"/>
                <w:szCs w:val="22"/>
              </w:rPr>
              <w:t xml:space="preserve">RBC aliquots/splits </w:t>
            </w:r>
            <w:r w:rsidRPr="00E004A7">
              <w:rPr>
                <w:rFonts w:ascii="Arial" w:hAnsi="Arial" w:cs="Arial"/>
                <w:sz w:val="22"/>
                <w:szCs w:val="22"/>
              </w:rPr>
              <w:t xml:space="preserve">or use search feature to select. </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Tab through date and time if doing processing real time. Adjust date and time if necessary.</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Accept default shift and Tech ID or change if needed. Continue.</w:t>
            </w:r>
          </w:p>
          <w:p w:rsidR="00BD1191" w:rsidRPr="00E004A7" w:rsidRDefault="00B94ACC" w:rsidP="003B6C68">
            <w:pPr>
              <w:pStyle w:val="ListParagraph"/>
              <w:numPr>
                <w:ilvl w:val="0"/>
                <w:numId w:val="41"/>
              </w:numPr>
              <w:rPr>
                <w:rFonts w:ascii="Arial" w:hAnsi="Arial" w:cs="Arial"/>
              </w:rPr>
            </w:pPr>
            <w:r>
              <w:rPr>
                <w:rFonts w:ascii="Arial" w:hAnsi="Arial" w:cs="Arial"/>
                <w:sz w:val="22"/>
                <w:szCs w:val="22"/>
              </w:rPr>
              <w:t>Scan Unit Number.</w:t>
            </w:r>
          </w:p>
          <w:p w:rsidR="00BD1191" w:rsidRPr="00784FB8" w:rsidRDefault="00BD1191" w:rsidP="003B6C68">
            <w:pPr>
              <w:pStyle w:val="ListParagraph"/>
              <w:numPr>
                <w:ilvl w:val="0"/>
                <w:numId w:val="41"/>
              </w:numPr>
              <w:rPr>
                <w:rFonts w:ascii="Arial" w:hAnsi="Arial" w:cs="Arial"/>
              </w:rPr>
            </w:pPr>
            <w:r w:rsidRPr="00E004A7">
              <w:rPr>
                <w:rFonts w:ascii="Arial" w:hAnsi="Arial" w:cs="Arial"/>
                <w:sz w:val="22"/>
                <w:szCs w:val="22"/>
              </w:rPr>
              <w:t>In the right pane of the window, the Unit tab shows data for the unit you select in the left pane. Enter any missing mandatory data for each output and new unit. (Yellow fields are mandatory).</w:t>
            </w:r>
          </w:p>
          <w:p w:rsidR="00784FB8" w:rsidRPr="00E004A7" w:rsidRDefault="00784FB8" w:rsidP="003B6C68">
            <w:pPr>
              <w:pStyle w:val="ListParagraph"/>
              <w:numPr>
                <w:ilvl w:val="0"/>
                <w:numId w:val="41"/>
              </w:numPr>
              <w:rPr>
                <w:rFonts w:ascii="Arial" w:hAnsi="Arial" w:cs="Arial"/>
              </w:rPr>
            </w:pPr>
            <w:r>
              <w:rPr>
                <w:rFonts w:ascii="Arial" w:hAnsi="Arial" w:cs="Arial"/>
                <w:sz w:val="22"/>
                <w:szCs w:val="22"/>
              </w:rPr>
              <w:t xml:space="preserve">Enter the volume for the new unit (BO), the original unit becomes AO and will have the remaining volume updated. </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The lower screen shows the Task Summary and each unit will have detailed Input and Output data. Review the Output new expiration date and time for accuracy.</w:t>
            </w:r>
            <w:r w:rsidR="00784FB8">
              <w:rPr>
                <w:rFonts w:ascii="Arial" w:hAnsi="Arial" w:cs="Arial"/>
                <w:sz w:val="22"/>
                <w:szCs w:val="22"/>
              </w:rPr>
              <w:t xml:space="preserve"> Both units have 24hr expiration from time of component preparation </w:t>
            </w:r>
          </w:p>
          <w:p w:rsidR="006B5D36" w:rsidRPr="006B5D36" w:rsidRDefault="00BD1191" w:rsidP="003B6C68">
            <w:pPr>
              <w:pStyle w:val="ListParagraph"/>
              <w:numPr>
                <w:ilvl w:val="0"/>
                <w:numId w:val="41"/>
              </w:numPr>
              <w:rPr>
                <w:rFonts w:ascii="Arial" w:hAnsi="Arial" w:cs="Arial"/>
              </w:rPr>
            </w:pPr>
            <w:r w:rsidRPr="00E004A7">
              <w:rPr>
                <w:rFonts w:ascii="Arial" w:hAnsi="Arial" w:cs="Arial"/>
                <w:sz w:val="22"/>
                <w:szCs w:val="22"/>
              </w:rPr>
              <w:t xml:space="preserve">Select Save, a confirmatory box will ask if it should file all units, select OK, and the Output/New Units window opens, showing the results of preparation. </w:t>
            </w:r>
          </w:p>
          <w:p w:rsidR="00BD1191" w:rsidRPr="00E004A7" w:rsidRDefault="006B5D36" w:rsidP="003B6C68">
            <w:pPr>
              <w:pStyle w:val="ListParagraph"/>
              <w:numPr>
                <w:ilvl w:val="0"/>
                <w:numId w:val="41"/>
              </w:numPr>
              <w:rPr>
                <w:rFonts w:ascii="Arial" w:hAnsi="Arial" w:cs="Arial"/>
              </w:rPr>
            </w:pPr>
            <w:r>
              <w:rPr>
                <w:rFonts w:ascii="Arial" w:hAnsi="Arial" w:cs="Arial"/>
                <w:sz w:val="22"/>
                <w:szCs w:val="22"/>
              </w:rPr>
              <w:t xml:space="preserve">Select </w:t>
            </w:r>
            <w:r w:rsidR="002533CB" w:rsidRPr="006B5D36">
              <w:rPr>
                <w:rFonts w:ascii="Arial" w:hAnsi="Arial" w:cs="Arial"/>
                <w:sz w:val="22"/>
                <w:szCs w:val="22"/>
              </w:rPr>
              <w:t>Finish</w:t>
            </w:r>
          </w:p>
          <w:p w:rsidR="00BD1191" w:rsidRPr="001D32AA" w:rsidRDefault="00BD1191" w:rsidP="007E00E7">
            <w:pPr>
              <w:pStyle w:val="ListParagraph"/>
              <w:ind w:left="360"/>
              <w:rPr>
                <w:rFonts w:ascii="Arial" w:hAnsi="Arial" w:cs="Arial"/>
                <w:strike/>
              </w:rPr>
            </w:pPr>
          </w:p>
        </w:tc>
      </w:tr>
      <w:tr w:rsidR="00CF2ACD" w:rsidRPr="006B5D36" w:rsidTr="009464BA">
        <w:tc>
          <w:tcPr>
            <w:tcW w:w="779" w:type="dxa"/>
          </w:tcPr>
          <w:p w:rsidR="00CF2ACD" w:rsidRPr="006B5D36" w:rsidRDefault="00325D29" w:rsidP="002B4D8D">
            <w:pPr>
              <w:jc w:val="center"/>
              <w:rPr>
                <w:rFonts w:ascii="Arial" w:hAnsi="Arial" w:cs="Arial"/>
                <w:b/>
                <w:sz w:val="22"/>
                <w:szCs w:val="22"/>
              </w:rPr>
            </w:pPr>
            <w:r w:rsidRPr="006B5D36">
              <w:rPr>
                <w:rFonts w:ascii="Arial" w:hAnsi="Arial" w:cs="Arial"/>
                <w:b/>
                <w:sz w:val="22"/>
                <w:szCs w:val="22"/>
              </w:rPr>
              <w:t>2</w:t>
            </w:r>
          </w:p>
        </w:tc>
        <w:tc>
          <w:tcPr>
            <w:tcW w:w="2497" w:type="dxa"/>
          </w:tcPr>
          <w:p w:rsidR="00CF2ACD" w:rsidRPr="006B5D36" w:rsidRDefault="00325D29" w:rsidP="002B4D8D">
            <w:pPr>
              <w:rPr>
                <w:rFonts w:ascii="Arial" w:hAnsi="Arial" w:cs="Arial"/>
                <w:sz w:val="22"/>
                <w:szCs w:val="22"/>
              </w:rPr>
            </w:pPr>
            <w:r w:rsidRPr="006B5D36">
              <w:rPr>
                <w:rFonts w:ascii="Arial" w:hAnsi="Arial" w:cs="Arial"/>
                <w:sz w:val="22"/>
                <w:szCs w:val="22"/>
              </w:rPr>
              <w:t xml:space="preserve">Blood Label Check </w:t>
            </w:r>
          </w:p>
        </w:tc>
        <w:tc>
          <w:tcPr>
            <w:tcW w:w="6924" w:type="dxa"/>
          </w:tcPr>
          <w:p w:rsidR="00CF2ACD" w:rsidRPr="006B5D36" w:rsidRDefault="00325D29" w:rsidP="00325D29">
            <w:pPr>
              <w:pStyle w:val="ListParagraph"/>
              <w:numPr>
                <w:ilvl w:val="0"/>
                <w:numId w:val="45"/>
              </w:numPr>
              <w:rPr>
                <w:rFonts w:ascii="Arial" w:hAnsi="Arial" w:cs="Arial"/>
                <w:sz w:val="22"/>
                <w:szCs w:val="22"/>
              </w:rPr>
            </w:pPr>
            <w:r w:rsidRPr="006B5D36">
              <w:rPr>
                <w:rFonts w:ascii="Arial" w:hAnsi="Arial" w:cs="Arial"/>
                <w:sz w:val="22"/>
                <w:szCs w:val="22"/>
              </w:rPr>
              <w:t>Perform Blood label check on both labels (AO and BO)</w:t>
            </w:r>
          </w:p>
          <w:p w:rsidR="00325D29" w:rsidRPr="006B5D36" w:rsidRDefault="00325D29" w:rsidP="00325D29">
            <w:pPr>
              <w:pStyle w:val="ListParagraph"/>
              <w:numPr>
                <w:ilvl w:val="0"/>
                <w:numId w:val="45"/>
              </w:numPr>
              <w:rPr>
                <w:rFonts w:ascii="Arial" w:hAnsi="Arial" w:cs="Arial"/>
                <w:sz w:val="22"/>
                <w:szCs w:val="22"/>
              </w:rPr>
            </w:pPr>
            <w:r w:rsidRPr="006B5D36">
              <w:rPr>
                <w:rFonts w:ascii="Arial" w:hAnsi="Arial" w:cs="Arial"/>
                <w:sz w:val="22"/>
                <w:szCs w:val="22"/>
              </w:rPr>
              <w:t xml:space="preserve">Write the ACD volume on the new labels and document verification </w:t>
            </w:r>
          </w:p>
          <w:p w:rsidR="00784FB8" w:rsidRPr="006B5D36" w:rsidRDefault="00784FB8" w:rsidP="00325D29">
            <w:pPr>
              <w:pStyle w:val="ListParagraph"/>
              <w:numPr>
                <w:ilvl w:val="0"/>
                <w:numId w:val="45"/>
              </w:numPr>
              <w:rPr>
                <w:rFonts w:ascii="Arial" w:hAnsi="Arial" w:cs="Arial"/>
                <w:sz w:val="22"/>
                <w:szCs w:val="22"/>
              </w:rPr>
            </w:pPr>
            <w:r w:rsidRPr="006B5D36">
              <w:rPr>
                <w:rFonts w:ascii="Arial" w:hAnsi="Arial" w:cs="Arial"/>
                <w:sz w:val="22"/>
                <w:szCs w:val="22"/>
              </w:rPr>
              <w:t xml:space="preserve">Place the AO label on the original bag of RBC  </w:t>
            </w:r>
          </w:p>
          <w:p w:rsidR="00784FB8" w:rsidRPr="006B5D36" w:rsidRDefault="00784FB8" w:rsidP="00325D29">
            <w:pPr>
              <w:pStyle w:val="ListParagraph"/>
              <w:numPr>
                <w:ilvl w:val="0"/>
                <w:numId w:val="45"/>
              </w:numPr>
              <w:rPr>
                <w:rFonts w:ascii="Arial" w:hAnsi="Arial" w:cs="Arial"/>
                <w:sz w:val="22"/>
                <w:szCs w:val="22"/>
              </w:rPr>
            </w:pPr>
            <w:r w:rsidRPr="006B5D36">
              <w:rPr>
                <w:rFonts w:ascii="Arial" w:hAnsi="Arial" w:cs="Arial"/>
                <w:sz w:val="22"/>
                <w:szCs w:val="22"/>
              </w:rPr>
              <w:t xml:space="preserve">Place the BO label on the new unit/aliquot </w:t>
            </w:r>
          </w:p>
          <w:p w:rsidR="00784FB8" w:rsidRPr="006B5D36" w:rsidRDefault="00784FB8" w:rsidP="00325D29">
            <w:pPr>
              <w:pStyle w:val="ListParagraph"/>
              <w:numPr>
                <w:ilvl w:val="0"/>
                <w:numId w:val="45"/>
              </w:numPr>
              <w:rPr>
                <w:rFonts w:ascii="Arial" w:hAnsi="Arial" w:cs="Arial"/>
                <w:sz w:val="22"/>
                <w:szCs w:val="22"/>
              </w:rPr>
            </w:pPr>
            <w:r w:rsidRPr="006B5D36">
              <w:rPr>
                <w:rFonts w:ascii="Arial" w:hAnsi="Arial" w:cs="Arial"/>
                <w:sz w:val="22"/>
                <w:szCs w:val="22"/>
              </w:rPr>
              <w:t>Both units expire 24hrs after the split process</w:t>
            </w:r>
          </w:p>
        </w:tc>
      </w:tr>
      <w:tr w:rsidR="00784FB8" w:rsidRPr="006B5D36" w:rsidTr="009464BA">
        <w:tc>
          <w:tcPr>
            <w:tcW w:w="779" w:type="dxa"/>
          </w:tcPr>
          <w:p w:rsidR="00784FB8" w:rsidRPr="006B5D36" w:rsidRDefault="00784FB8" w:rsidP="002B4D8D">
            <w:pPr>
              <w:jc w:val="center"/>
              <w:rPr>
                <w:rFonts w:ascii="Arial" w:hAnsi="Arial" w:cs="Arial"/>
                <w:b/>
                <w:sz w:val="22"/>
                <w:szCs w:val="22"/>
              </w:rPr>
            </w:pPr>
            <w:r w:rsidRPr="006B5D36">
              <w:rPr>
                <w:rFonts w:ascii="Arial" w:hAnsi="Arial" w:cs="Arial"/>
                <w:b/>
                <w:sz w:val="22"/>
                <w:szCs w:val="22"/>
              </w:rPr>
              <w:t>3</w:t>
            </w:r>
          </w:p>
        </w:tc>
        <w:tc>
          <w:tcPr>
            <w:tcW w:w="2497" w:type="dxa"/>
          </w:tcPr>
          <w:p w:rsidR="00784FB8" w:rsidRPr="006B5D36" w:rsidRDefault="00784FB8" w:rsidP="002B4D8D">
            <w:pPr>
              <w:rPr>
                <w:rFonts w:ascii="Arial" w:hAnsi="Arial" w:cs="Arial"/>
                <w:sz w:val="22"/>
                <w:szCs w:val="22"/>
              </w:rPr>
            </w:pPr>
            <w:r w:rsidRPr="006B5D36">
              <w:rPr>
                <w:rFonts w:ascii="Arial" w:hAnsi="Arial" w:cs="Arial"/>
                <w:sz w:val="22"/>
                <w:szCs w:val="22"/>
              </w:rPr>
              <w:t xml:space="preserve">Allocation </w:t>
            </w:r>
          </w:p>
        </w:tc>
        <w:tc>
          <w:tcPr>
            <w:tcW w:w="6924" w:type="dxa"/>
          </w:tcPr>
          <w:p w:rsidR="00784FB8" w:rsidRPr="006B5D36" w:rsidRDefault="00784FB8" w:rsidP="00325D29">
            <w:pPr>
              <w:pStyle w:val="ListParagraph"/>
              <w:numPr>
                <w:ilvl w:val="0"/>
                <w:numId w:val="45"/>
              </w:numPr>
              <w:rPr>
                <w:rFonts w:ascii="Arial" w:hAnsi="Arial" w:cs="Arial"/>
                <w:sz w:val="22"/>
                <w:szCs w:val="22"/>
              </w:rPr>
            </w:pPr>
            <w:r w:rsidRPr="006B5D36">
              <w:rPr>
                <w:rFonts w:ascii="Arial" w:hAnsi="Arial" w:cs="Arial"/>
                <w:sz w:val="22"/>
                <w:szCs w:val="22"/>
              </w:rPr>
              <w:t xml:space="preserve">Allocate the correct unit to the patient using the TXM order </w:t>
            </w:r>
          </w:p>
        </w:tc>
      </w:tr>
    </w:tbl>
    <w:p w:rsidR="00BD1191" w:rsidRPr="006B5D36" w:rsidRDefault="00BD1191" w:rsidP="003B6C68">
      <w:pPr>
        <w:pStyle w:val="Header"/>
        <w:tabs>
          <w:tab w:val="clear" w:pos="4320"/>
          <w:tab w:val="clear" w:pos="8640"/>
        </w:tabs>
        <w:rPr>
          <w:rFonts w:ascii="Arial" w:hAnsi="Arial" w:cs="Arial"/>
          <w:b/>
          <w:kern w:val="0"/>
          <w:sz w:val="22"/>
          <w:szCs w:val="22"/>
        </w:rPr>
      </w:pPr>
    </w:p>
    <w:p w:rsidR="00BD1191" w:rsidRPr="006B5D36" w:rsidRDefault="00BD1191" w:rsidP="009464BA">
      <w:pPr>
        <w:pStyle w:val="Header"/>
        <w:tabs>
          <w:tab w:val="clear" w:pos="4320"/>
          <w:tab w:val="clear" w:pos="8640"/>
        </w:tabs>
        <w:ind w:hanging="360"/>
        <w:rPr>
          <w:rFonts w:ascii="Arial" w:hAnsi="Arial" w:cs="Arial"/>
          <w:b/>
          <w:kern w:val="0"/>
          <w:sz w:val="22"/>
          <w:szCs w:val="22"/>
        </w:rPr>
      </w:pPr>
      <w:r w:rsidRPr="006B5D36">
        <w:rPr>
          <w:rFonts w:ascii="Arial" w:hAnsi="Arial" w:cs="Arial"/>
          <w:b/>
          <w:kern w:val="0"/>
          <w:sz w:val="22"/>
          <w:szCs w:val="22"/>
        </w:rPr>
        <w:t>References:</w:t>
      </w:r>
    </w:p>
    <w:p w:rsidR="00BD1191" w:rsidRPr="00784FB8" w:rsidRDefault="00BD1191" w:rsidP="00784FB8">
      <w:pPr>
        <w:pStyle w:val="Header"/>
        <w:tabs>
          <w:tab w:val="clear" w:pos="4320"/>
          <w:tab w:val="clear" w:pos="8640"/>
        </w:tabs>
        <w:ind w:hanging="360"/>
        <w:rPr>
          <w:rFonts w:ascii="Arial" w:hAnsi="Arial" w:cs="Arial"/>
          <w:kern w:val="0"/>
          <w:sz w:val="22"/>
          <w:szCs w:val="22"/>
        </w:rPr>
      </w:pPr>
      <w:r w:rsidRPr="006B5D36">
        <w:rPr>
          <w:rFonts w:ascii="Arial" w:hAnsi="Arial" w:cs="Arial"/>
          <w:kern w:val="0"/>
          <w:sz w:val="22"/>
          <w:szCs w:val="22"/>
        </w:rPr>
        <w:t>Blood Bank User Guide, Misys Laboratory</w:t>
      </w:r>
      <w:r w:rsidR="000608CE">
        <w:rPr>
          <w:rFonts w:ascii="Arial" w:hAnsi="Arial" w:cs="Arial"/>
          <w:kern w:val="0"/>
          <w:sz w:val="22"/>
          <w:szCs w:val="22"/>
        </w:rPr>
        <w:t xml:space="preserve"> V </w:t>
      </w:r>
      <w:bookmarkStart w:id="0" w:name="_GoBack"/>
      <w:bookmarkEnd w:id="0"/>
      <w:r w:rsidR="002533CB" w:rsidRPr="006B5D36">
        <w:rPr>
          <w:rFonts w:ascii="Arial" w:hAnsi="Arial" w:cs="Arial"/>
          <w:kern w:val="0"/>
          <w:sz w:val="22"/>
          <w:szCs w:val="22"/>
        </w:rPr>
        <w:t>7.1</w:t>
      </w:r>
    </w:p>
    <w:sectPr w:rsidR="00BD1191" w:rsidRPr="00784FB8" w:rsidSect="000A01D2">
      <w:headerReference w:type="default" r:id="rId9"/>
      <w:footerReference w:type="default" r:id="rId10"/>
      <w:headerReference w:type="first" r:id="rId11"/>
      <w:pgSz w:w="12240" w:h="15840"/>
      <w:pgMar w:top="1315" w:right="960" w:bottom="1260" w:left="1440" w:header="36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91" w:rsidRDefault="00BD1191" w:rsidP="00E539F9">
      <w:r>
        <w:separator/>
      </w:r>
    </w:p>
  </w:endnote>
  <w:endnote w:type="continuationSeparator" w:id="0">
    <w:p w:rsidR="00BD1191" w:rsidRDefault="00BD119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735673" w:rsidRDefault="00BD1191" w:rsidP="003B6C68">
    <w:pPr>
      <w:pStyle w:val="Footer"/>
      <w:tabs>
        <w:tab w:val="clear" w:pos="9360"/>
      </w:tabs>
      <w:ind w:left="-360"/>
      <w:rPr>
        <w:rFonts w:ascii="Arial" w:hAnsi="Arial" w:cs="Arial"/>
        <w:sz w:val="20"/>
      </w:rPr>
    </w:pPr>
    <w:r w:rsidRPr="00735673">
      <w:rPr>
        <w:rFonts w:ascii="Arial" w:hAnsi="Arial" w:cs="Arial"/>
        <w:sz w:val="20"/>
      </w:rPr>
      <w:t xml:space="preserve">Transfusion Service Laboratory                                                                                               </w:t>
    </w:r>
    <w:r>
      <w:rPr>
        <w:rFonts w:ascii="Arial" w:hAnsi="Arial" w:cs="Arial"/>
        <w:sz w:val="20"/>
      </w:rPr>
      <w:t xml:space="preserve">           </w:t>
    </w:r>
    <w:r w:rsidRPr="00735673">
      <w:rPr>
        <w:rFonts w:ascii="Arial" w:hAnsi="Arial" w:cs="Arial"/>
        <w:sz w:val="20"/>
      </w:rPr>
      <w:t xml:space="preserve"> Page </w:t>
    </w:r>
    <w:r w:rsidR="00334C49" w:rsidRPr="00735673">
      <w:rPr>
        <w:rFonts w:ascii="Arial" w:hAnsi="Arial" w:cs="Arial"/>
        <w:sz w:val="20"/>
      </w:rPr>
      <w:fldChar w:fldCharType="begin"/>
    </w:r>
    <w:r w:rsidRPr="00735673">
      <w:rPr>
        <w:rFonts w:ascii="Arial" w:hAnsi="Arial" w:cs="Arial"/>
        <w:sz w:val="20"/>
      </w:rPr>
      <w:instrText xml:space="preserve"> PAGE </w:instrText>
    </w:r>
    <w:r w:rsidR="00334C49" w:rsidRPr="00735673">
      <w:rPr>
        <w:rFonts w:ascii="Arial" w:hAnsi="Arial" w:cs="Arial"/>
        <w:sz w:val="20"/>
      </w:rPr>
      <w:fldChar w:fldCharType="separate"/>
    </w:r>
    <w:r w:rsidR="000608CE">
      <w:rPr>
        <w:rFonts w:ascii="Arial" w:hAnsi="Arial" w:cs="Arial"/>
        <w:noProof/>
        <w:sz w:val="20"/>
      </w:rPr>
      <w:t>2</w:t>
    </w:r>
    <w:r w:rsidR="00334C49" w:rsidRPr="00735673">
      <w:rPr>
        <w:rFonts w:ascii="Arial" w:hAnsi="Arial" w:cs="Arial"/>
        <w:sz w:val="20"/>
      </w:rPr>
      <w:fldChar w:fldCharType="end"/>
    </w:r>
    <w:r w:rsidRPr="00735673">
      <w:rPr>
        <w:rFonts w:ascii="Arial" w:hAnsi="Arial" w:cs="Arial"/>
        <w:sz w:val="20"/>
      </w:rPr>
      <w:t xml:space="preserve"> of </w:t>
    </w:r>
    <w:r>
      <w:rPr>
        <w:rFonts w:ascii="Arial" w:hAnsi="Arial" w:cs="Arial"/>
        <w:sz w:val="20"/>
      </w:rPr>
      <w:t>2</w:t>
    </w:r>
  </w:p>
  <w:p w:rsidR="00BD1191" w:rsidRPr="003B6C68" w:rsidRDefault="00BD1191" w:rsidP="003B6C68">
    <w:pPr>
      <w:pStyle w:val="Footer"/>
      <w:ind w:left="-360"/>
    </w:pPr>
    <w:smartTag w:uri="urn:schemas-microsoft-com:office:smarttags" w:element="PlaceName">
      <w:smartTag w:uri="urn:schemas-microsoft-com:office:smarttags" w:element="plac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laceName">
        <w:r w:rsidRPr="00735673">
          <w:rPr>
            <w:rFonts w:ascii="Arial" w:hAnsi="Arial" w:cs="Arial"/>
            <w:sz w:val="20"/>
          </w:rPr>
          <w:t>Medical</w:t>
        </w:r>
      </w:smartTag>
      <w:r w:rsidRPr="00735673">
        <w:rPr>
          <w:rFonts w:ascii="Arial" w:hAnsi="Arial" w:cs="Arial"/>
          <w:sz w:val="20"/>
        </w:rPr>
        <w:t xml:space="preserve"> </w:t>
      </w:r>
      <w:smartTag w:uri="urn:schemas-microsoft-com:office:smarttags" w:element="PlaceTyp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address">
      <w:smartTag w:uri="urn:schemas-microsoft-com:office:smarttags" w:element="Street">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City">
        <w:r w:rsidRPr="00735673">
          <w:rPr>
            <w:rFonts w:ascii="Arial" w:hAnsi="Arial" w:cs="Arial"/>
            <w:sz w:val="20"/>
          </w:rPr>
          <w:t>Seattle</w:t>
        </w:r>
      </w:smartTag>
      <w:r w:rsidRPr="00735673">
        <w:rPr>
          <w:rFonts w:ascii="Arial" w:hAnsi="Arial" w:cs="Arial"/>
          <w:sz w:val="20"/>
        </w:rPr>
        <w:t xml:space="preserve">, </w:t>
      </w:r>
      <w:smartTag w:uri="urn:schemas-microsoft-com:office:smarttags" w:element="State">
        <w:r w:rsidRPr="00735673">
          <w:rPr>
            <w:rFonts w:ascii="Arial" w:hAnsi="Arial" w:cs="Arial"/>
            <w:sz w:val="20"/>
          </w:rPr>
          <w:t>WA</w:t>
        </w:r>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91" w:rsidRDefault="00BD1191" w:rsidP="00E539F9">
      <w:r>
        <w:separator/>
      </w:r>
    </w:p>
  </w:footnote>
  <w:footnote w:type="continuationSeparator" w:id="0">
    <w:p w:rsidR="00BD1191" w:rsidRDefault="00BD1191"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3B6C68" w:rsidRDefault="00BD1191" w:rsidP="003B6C68">
    <w:pPr>
      <w:pStyle w:val="Header"/>
      <w:ind w:hanging="36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0A01D2" w:rsidRDefault="00257AC0" w:rsidP="000A01D2">
    <w:pPr>
      <w:ind w:left="-480" w:firstLine="120"/>
      <w:jc w:val="both"/>
      <w:rPr>
        <w:sz w:val="16"/>
        <w:szCs w:val="16"/>
      </w:rPr>
    </w:pPr>
    <w:r>
      <w:rPr>
        <w:rFonts w:ascii="Verdana" w:hAnsi="Verdana"/>
        <w:noProof/>
        <w:color w:val="0082D9"/>
        <w:sz w:val="17"/>
        <w:szCs w:val="17"/>
      </w:rPr>
      <w:drawing>
        <wp:inline distT="0" distB="0" distL="0" distR="0">
          <wp:extent cx="6591300" cy="695325"/>
          <wp:effectExtent l="0" t="0" r="0" b="9525"/>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95325"/>
                  </a:xfrm>
                  <a:prstGeom prst="rect">
                    <a:avLst/>
                  </a:prstGeom>
                  <a:noFill/>
                  <a:ln>
                    <a:noFill/>
                  </a:ln>
                </pic:spPr>
              </pic:pic>
            </a:graphicData>
          </a:graphic>
        </wp:inline>
      </w:drawing>
    </w:r>
  </w:p>
  <w:tbl>
    <w:tblPr>
      <w:tblW w:w="10456" w:type="dxa"/>
      <w:jc w:val="center"/>
      <w:tblInd w:w="-204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343"/>
      <w:gridCol w:w="2760"/>
      <w:gridCol w:w="1353"/>
    </w:tblGrid>
    <w:tr w:rsidR="00BD1191" w:rsidRPr="00E004A7" w:rsidTr="000A01D2">
      <w:trPr>
        <w:cantSplit/>
        <w:trHeight w:val="464"/>
        <w:jc w:val="center"/>
      </w:trPr>
      <w:tc>
        <w:tcPr>
          <w:tcW w:w="6343" w:type="dxa"/>
          <w:vMerge w:val="restart"/>
          <w:tcBorders>
            <w:top w:val="double" w:sz="4" w:space="0" w:color="auto"/>
            <w:bottom w:val="single" w:sz="4" w:space="0" w:color="auto"/>
            <w:right w:val="single" w:sz="4" w:space="0" w:color="auto"/>
          </w:tcBorders>
          <w:vAlign w:val="center"/>
        </w:tcPr>
        <w:p w:rsidR="00BD1191" w:rsidRPr="00E004A7" w:rsidRDefault="00BD1191" w:rsidP="007C6D26">
          <w:pPr>
            <w:rPr>
              <w:rFonts w:ascii="Arial" w:hAnsi="Arial" w:cs="Arial"/>
              <w:b/>
            </w:rPr>
          </w:pPr>
          <w:smartTag w:uri="urn:schemas-microsoft-com:office:smarttags" w:element="PlaceType">
            <w:smartTag w:uri="urn:schemas-microsoft-com:office:smarttags" w:element="place">
              <w:r w:rsidRPr="00E004A7">
                <w:rPr>
                  <w:rFonts w:ascii="Arial" w:hAnsi="Arial" w:cs="Arial"/>
                  <w:b/>
                  <w:sz w:val="22"/>
                  <w:szCs w:val="22"/>
                </w:rPr>
                <w:t>University</w:t>
              </w:r>
            </w:smartTag>
            <w:r w:rsidRPr="00E004A7">
              <w:rPr>
                <w:rFonts w:ascii="Arial" w:hAnsi="Arial" w:cs="Arial"/>
                <w:b/>
                <w:sz w:val="22"/>
                <w:szCs w:val="22"/>
              </w:rPr>
              <w:t xml:space="preserve"> of </w:t>
            </w:r>
            <w:smartTag w:uri="urn:schemas-microsoft-com:office:smarttags" w:element="PostalCode">
              <w:r w:rsidRPr="00E004A7">
                <w:rPr>
                  <w:rFonts w:ascii="Arial" w:hAnsi="Arial" w:cs="Arial"/>
                  <w:b/>
                  <w:sz w:val="22"/>
                  <w:szCs w:val="22"/>
                </w:rPr>
                <w:t>Washington</w:t>
              </w:r>
            </w:smartTag>
          </w:smartTag>
          <w:r w:rsidRPr="00E004A7">
            <w:rPr>
              <w:rFonts w:ascii="Arial" w:hAnsi="Arial" w:cs="Arial"/>
              <w:b/>
              <w:sz w:val="22"/>
              <w:szCs w:val="22"/>
            </w:rPr>
            <w:t xml:space="preserve">, </w:t>
          </w:r>
        </w:p>
        <w:p w:rsidR="00BD1191" w:rsidRPr="00E004A7" w:rsidRDefault="00BD1191" w:rsidP="007C6D26">
          <w:pPr>
            <w:rPr>
              <w:rFonts w:ascii="Arial" w:hAnsi="Arial" w:cs="Arial"/>
              <w:b/>
            </w:rPr>
          </w:pPr>
          <w:smartTag w:uri="urn:schemas-microsoft-com:office:smarttags" w:element="PostalCode">
            <w:smartTag w:uri="urn:schemas-microsoft-com:office:smarttags" w:element="PostalCode">
              <w:r w:rsidRPr="00E004A7">
                <w:rPr>
                  <w:rFonts w:ascii="Arial" w:hAnsi="Arial" w:cs="Arial"/>
                  <w:b/>
                  <w:sz w:val="22"/>
                  <w:szCs w:val="22"/>
                </w:rPr>
                <w:t>Harborview</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Medical</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Center</w:t>
              </w:r>
            </w:smartTag>
          </w:smartTag>
        </w:p>
        <w:p w:rsidR="00BD1191" w:rsidRPr="00E004A7" w:rsidRDefault="00BD1191" w:rsidP="007C6D26">
          <w:pPr>
            <w:rPr>
              <w:rFonts w:ascii="Arial" w:hAnsi="Arial" w:cs="Arial"/>
              <w:b/>
            </w:rPr>
          </w:pPr>
          <w:smartTag w:uri="urn:schemas-microsoft-com:office:smarttags" w:element="PostalCode">
            <w:r w:rsidRPr="00E004A7">
              <w:rPr>
                <w:rFonts w:ascii="Arial" w:hAnsi="Arial" w:cs="Arial"/>
                <w:b/>
                <w:sz w:val="22"/>
                <w:szCs w:val="22"/>
              </w:rPr>
              <w:t>325 9</w:t>
            </w:r>
            <w:r w:rsidRPr="00E004A7">
              <w:rPr>
                <w:rFonts w:ascii="Arial" w:hAnsi="Arial" w:cs="Arial"/>
                <w:b/>
                <w:sz w:val="22"/>
                <w:szCs w:val="22"/>
                <w:vertAlign w:val="superscript"/>
              </w:rPr>
              <w:t>th</w:t>
            </w:r>
            <w:r w:rsidRPr="00E004A7">
              <w:rPr>
                <w:rFonts w:ascii="Arial" w:hAnsi="Arial" w:cs="Arial"/>
                <w:b/>
                <w:sz w:val="22"/>
                <w:szCs w:val="22"/>
              </w:rPr>
              <w:t xml:space="preserve"> Ave.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Seattle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WA</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98104</w:t>
            </w:r>
          </w:smartTag>
        </w:p>
        <w:p w:rsidR="00BD1191" w:rsidRPr="00E004A7" w:rsidRDefault="00BD1191" w:rsidP="007C6D26">
          <w:pPr>
            <w:rPr>
              <w:rFonts w:ascii="Arial" w:hAnsi="Arial" w:cs="Arial"/>
              <w:b/>
            </w:rPr>
          </w:pPr>
          <w:r w:rsidRPr="00E004A7">
            <w:rPr>
              <w:rFonts w:ascii="Arial" w:hAnsi="Arial" w:cs="Arial"/>
              <w:b/>
              <w:sz w:val="22"/>
              <w:szCs w:val="22"/>
            </w:rPr>
            <w:t>Transfusion Services Laboratory</w:t>
          </w:r>
        </w:p>
        <w:p w:rsidR="00BD1191" w:rsidRPr="00E004A7" w:rsidRDefault="00BD1191" w:rsidP="007C6D26">
          <w:pPr>
            <w:rPr>
              <w:rFonts w:ascii="Arial" w:hAnsi="Arial" w:cs="Arial"/>
              <w:b/>
            </w:rPr>
          </w:pPr>
          <w:r w:rsidRPr="00E004A7">
            <w:rPr>
              <w:rFonts w:ascii="Arial" w:hAnsi="Arial" w:cs="Arial"/>
              <w:b/>
              <w:sz w:val="22"/>
              <w:szCs w:val="22"/>
            </w:rPr>
            <w:t>Policies and Procedures Manual</w:t>
          </w:r>
        </w:p>
      </w:tc>
      <w:tc>
        <w:tcPr>
          <w:tcW w:w="2760" w:type="dxa"/>
          <w:tcBorders>
            <w:top w:val="double" w:sz="4" w:space="0" w:color="auto"/>
            <w:left w:val="nil"/>
            <w:bottom w:val="nil"/>
            <w:right w:val="single" w:sz="4" w:space="0" w:color="auto"/>
          </w:tcBorders>
        </w:tcPr>
        <w:p w:rsidR="00BD1191" w:rsidRPr="00E004A7" w:rsidRDefault="00BD1191" w:rsidP="007C6D26">
          <w:pPr>
            <w:rPr>
              <w:rFonts w:ascii="Arial" w:hAnsi="Arial" w:cs="Arial"/>
              <w:b/>
            </w:rPr>
          </w:pPr>
          <w:r w:rsidRPr="00E004A7">
            <w:rPr>
              <w:rFonts w:ascii="Arial" w:hAnsi="Arial" w:cs="Arial"/>
              <w:b/>
              <w:sz w:val="22"/>
              <w:szCs w:val="22"/>
            </w:rPr>
            <w:t>Original Effective Date:</w:t>
          </w:r>
        </w:p>
        <w:p w:rsidR="00BD1191" w:rsidRPr="004B3EB3" w:rsidRDefault="00BD1191" w:rsidP="00325D29">
          <w:pPr>
            <w:jc w:val="both"/>
            <w:rPr>
              <w:rFonts w:ascii="Arial" w:hAnsi="Arial" w:cs="Arial"/>
            </w:rPr>
          </w:pPr>
          <w:r w:rsidRPr="00E004A7">
            <w:rPr>
              <w:rFonts w:ascii="Arial" w:hAnsi="Arial" w:cs="Arial"/>
              <w:b/>
              <w:sz w:val="22"/>
              <w:szCs w:val="22"/>
            </w:rPr>
            <w:t xml:space="preserve"> </w:t>
          </w:r>
          <w:r w:rsidR="004B3EB3">
            <w:rPr>
              <w:rFonts w:ascii="Arial" w:hAnsi="Arial" w:cs="Arial"/>
              <w:sz w:val="22"/>
              <w:szCs w:val="22"/>
            </w:rPr>
            <w:t>June 30, 2013</w:t>
          </w:r>
        </w:p>
      </w:tc>
      <w:tc>
        <w:tcPr>
          <w:tcW w:w="1353" w:type="dxa"/>
          <w:tcBorders>
            <w:top w:val="double" w:sz="4" w:space="0" w:color="auto"/>
            <w:left w:val="nil"/>
            <w:bottom w:val="nil"/>
          </w:tcBorders>
        </w:tcPr>
        <w:p w:rsidR="00BD1191" w:rsidRPr="00E004A7" w:rsidRDefault="00BD1191" w:rsidP="007C6D26">
          <w:pPr>
            <w:jc w:val="both"/>
            <w:rPr>
              <w:rFonts w:ascii="Arial" w:hAnsi="Arial" w:cs="Arial"/>
              <w:b/>
            </w:rPr>
          </w:pPr>
          <w:r w:rsidRPr="00E004A7">
            <w:rPr>
              <w:rFonts w:ascii="Arial" w:hAnsi="Arial" w:cs="Arial"/>
              <w:b/>
              <w:sz w:val="22"/>
              <w:szCs w:val="22"/>
            </w:rPr>
            <w:t xml:space="preserve">Number: </w:t>
          </w:r>
        </w:p>
        <w:p w:rsidR="00BD1191" w:rsidRPr="00E004A7" w:rsidRDefault="004B3EB3" w:rsidP="007C6D26">
          <w:pPr>
            <w:jc w:val="both"/>
            <w:rPr>
              <w:rFonts w:ascii="Arial" w:hAnsi="Arial" w:cs="Arial"/>
              <w:b/>
            </w:rPr>
          </w:pPr>
          <w:r>
            <w:rPr>
              <w:rFonts w:ascii="Arial" w:hAnsi="Arial" w:cs="Arial"/>
              <w:b/>
            </w:rPr>
            <w:t>5208-1</w:t>
          </w:r>
        </w:p>
      </w:tc>
    </w:tr>
    <w:tr w:rsidR="00BD1191" w:rsidRPr="00E004A7" w:rsidTr="000A01D2">
      <w:trPr>
        <w:cantSplit/>
        <w:trHeight w:val="128"/>
        <w:jc w:val="center"/>
      </w:trPr>
      <w:tc>
        <w:tcPr>
          <w:tcW w:w="6343" w:type="dxa"/>
          <w:vMerge/>
          <w:tcBorders>
            <w:top w:val="nil"/>
            <w:bottom w:val="single" w:sz="4" w:space="0" w:color="auto"/>
            <w:right w:val="single" w:sz="4" w:space="0" w:color="auto"/>
          </w:tcBorders>
        </w:tcPr>
        <w:p w:rsidR="00BD1191" w:rsidRPr="00E004A7" w:rsidRDefault="00BD1191" w:rsidP="007C6D26">
          <w:pPr>
            <w:rPr>
              <w:rFonts w:ascii="Arial" w:hAnsi="Arial" w:cs="Arial"/>
              <w:b/>
            </w:rPr>
          </w:pPr>
        </w:p>
      </w:tc>
      <w:tc>
        <w:tcPr>
          <w:tcW w:w="2760" w:type="dxa"/>
          <w:tcBorders>
            <w:top w:val="single" w:sz="4" w:space="0" w:color="auto"/>
            <w:left w:val="nil"/>
            <w:bottom w:val="single" w:sz="4" w:space="0" w:color="auto"/>
            <w:right w:val="single" w:sz="4" w:space="0" w:color="auto"/>
          </w:tcBorders>
        </w:tcPr>
        <w:p w:rsidR="00BD1191" w:rsidRPr="00E004A7" w:rsidRDefault="00BD1191" w:rsidP="007C6D26">
          <w:pPr>
            <w:jc w:val="both"/>
            <w:rPr>
              <w:rFonts w:ascii="Arial" w:hAnsi="Arial" w:cs="Arial"/>
              <w:b/>
            </w:rPr>
          </w:pPr>
          <w:r w:rsidRPr="00E004A7">
            <w:rPr>
              <w:rFonts w:ascii="Arial" w:hAnsi="Arial" w:cs="Arial"/>
              <w:b/>
              <w:sz w:val="22"/>
              <w:szCs w:val="22"/>
            </w:rPr>
            <w:t>Revision Effective Date:</w:t>
          </w:r>
        </w:p>
        <w:p w:rsidR="00BD1191" w:rsidRPr="00E004A7" w:rsidRDefault="00BD1191" w:rsidP="007C6D26">
          <w:pPr>
            <w:jc w:val="both"/>
            <w:rPr>
              <w:rFonts w:ascii="Arial" w:hAnsi="Arial" w:cs="Arial"/>
              <w:b/>
            </w:rPr>
          </w:pPr>
        </w:p>
      </w:tc>
      <w:tc>
        <w:tcPr>
          <w:tcW w:w="1353" w:type="dxa"/>
          <w:tcBorders>
            <w:top w:val="single" w:sz="4" w:space="0" w:color="auto"/>
            <w:left w:val="nil"/>
            <w:bottom w:val="single" w:sz="4" w:space="0" w:color="auto"/>
          </w:tcBorders>
        </w:tcPr>
        <w:p w:rsidR="00BD1191" w:rsidRPr="00E004A7" w:rsidRDefault="00BD1191" w:rsidP="007C6D26">
          <w:pPr>
            <w:jc w:val="both"/>
            <w:rPr>
              <w:rFonts w:ascii="Arial" w:hAnsi="Arial" w:cs="Arial"/>
            </w:rPr>
          </w:pPr>
          <w:r w:rsidRPr="00E004A7">
            <w:rPr>
              <w:rFonts w:ascii="Arial" w:hAnsi="Arial" w:cs="Arial"/>
              <w:b/>
              <w:sz w:val="22"/>
              <w:szCs w:val="22"/>
            </w:rPr>
            <w:t xml:space="preserve">Pages: </w:t>
          </w:r>
          <w:r w:rsidR="000608CE">
            <w:rPr>
              <w:rFonts w:ascii="Arial" w:hAnsi="Arial" w:cs="Arial"/>
              <w:sz w:val="22"/>
              <w:szCs w:val="22"/>
            </w:rPr>
            <w:t>1</w:t>
          </w:r>
        </w:p>
      </w:tc>
    </w:tr>
    <w:tr w:rsidR="00BD1191" w:rsidRPr="00E004A7" w:rsidTr="000A01D2">
      <w:trPr>
        <w:cantSplit/>
        <w:trHeight w:val="570"/>
        <w:jc w:val="center"/>
      </w:trPr>
      <w:tc>
        <w:tcPr>
          <w:tcW w:w="10456" w:type="dxa"/>
          <w:gridSpan w:val="3"/>
          <w:tcBorders>
            <w:top w:val="nil"/>
            <w:bottom w:val="double" w:sz="4" w:space="0" w:color="auto"/>
          </w:tcBorders>
          <w:vAlign w:val="center"/>
        </w:tcPr>
        <w:p w:rsidR="00BD1191" w:rsidRPr="003B6C68" w:rsidRDefault="00A156A8" w:rsidP="00325D29">
          <w:pPr>
            <w:rPr>
              <w:rFonts w:ascii="Arial" w:hAnsi="Arial" w:cs="Arial"/>
              <w:sz w:val="28"/>
              <w:szCs w:val="28"/>
            </w:rPr>
          </w:pPr>
          <w:r>
            <w:rPr>
              <w:rFonts w:ascii="Arial" w:hAnsi="Arial" w:cs="Arial"/>
              <w:sz w:val="28"/>
              <w:szCs w:val="28"/>
            </w:rPr>
            <w:t xml:space="preserve">TITLE:   Preparation </w:t>
          </w:r>
          <w:r w:rsidR="00A4755B">
            <w:rPr>
              <w:rFonts w:ascii="Arial" w:hAnsi="Arial" w:cs="Arial"/>
              <w:sz w:val="28"/>
              <w:szCs w:val="28"/>
            </w:rPr>
            <w:t>of RBC S</w:t>
          </w:r>
          <w:r w:rsidR="00325D29">
            <w:rPr>
              <w:rFonts w:ascii="Arial" w:hAnsi="Arial" w:cs="Arial"/>
              <w:sz w:val="28"/>
              <w:szCs w:val="28"/>
            </w:rPr>
            <w:t xml:space="preserve">plits </w:t>
          </w:r>
          <w:r w:rsidR="00A4755B">
            <w:rPr>
              <w:rFonts w:ascii="Arial" w:hAnsi="Arial" w:cs="Arial"/>
              <w:sz w:val="28"/>
              <w:szCs w:val="28"/>
            </w:rPr>
            <w:t>in Sunquest</w:t>
          </w:r>
        </w:p>
      </w:tc>
    </w:tr>
  </w:tbl>
  <w:p w:rsidR="00BD1191" w:rsidRDefault="00BD1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F36"/>
    <w:multiLevelType w:val="hybridMultilevel"/>
    <w:tmpl w:val="880A7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3C71D9"/>
    <w:multiLevelType w:val="hybridMultilevel"/>
    <w:tmpl w:val="EAB84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46DD8"/>
    <w:multiLevelType w:val="hybridMultilevel"/>
    <w:tmpl w:val="B2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40C86"/>
    <w:multiLevelType w:val="hybridMultilevel"/>
    <w:tmpl w:val="301AE5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365346"/>
    <w:multiLevelType w:val="hybridMultilevel"/>
    <w:tmpl w:val="CBD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03D57"/>
    <w:multiLevelType w:val="hybridMultilevel"/>
    <w:tmpl w:val="D408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276CE"/>
    <w:multiLevelType w:val="hybridMultilevel"/>
    <w:tmpl w:val="1778A8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nsid w:val="20A34684"/>
    <w:multiLevelType w:val="hybridMultilevel"/>
    <w:tmpl w:val="3890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123296"/>
    <w:multiLevelType w:val="hybridMultilevel"/>
    <w:tmpl w:val="A23C6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B76751"/>
    <w:multiLevelType w:val="hybridMultilevel"/>
    <w:tmpl w:val="A6FA53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423ACA"/>
    <w:multiLevelType w:val="hybridMultilevel"/>
    <w:tmpl w:val="31FA8AF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76143"/>
    <w:multiLevelType w:val="hybridMultilevel"/>
    <w:tmpl w:val="82E2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4E27ED"/>
    <w:multiLevelType w:val="hybridMultilevel"/>
    <w:tmpl w:val="8D80DB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8FE5494"/>
    <w:multiLevelType w:val="hybridMultilevel"/>
    <w:tmpl w:val="8692FE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6D2CA0"/>
    <w:multiLevelType w:val="hybridMultilevel"/>
    <w:tmpl w:val="F3082F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256599F"/>
    <w:multiLevelType w:val="hybridMultilevel"/>
    <w:tmpl w:val="8442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87068"/>
    <w:multiLevelType w:val="hybridMultilevel"/>
    <w:tmpl w:val="AAB097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5D62092"/>
    <w:multiLevelType w:val="hybridMultilevel"/>
    <w:tmpl w:val="AE546B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825CB0"/>
    <w:multiLevelType w:val="hybridMultilevel"/>
    <w:tmpl w:val="EF82E3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1534529"/>
    <w:multiLevelType w:val="hybridMultilevel"/>
    <w:tmpl w:val="D8362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7B2DAF"/>
    <w:multiLevelType w:val="hybridMultilevel"/>
    <w:tmpl w:val="B45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A06708"/>
    <w:multiLevelType w:val="hybridMultilevel"/>
    <w:tmpl w:val="E6A4D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BD71B8"/>
    <w:multiLevelType w:val="hybridMultilevel"/>
    <w:tmpl w:val="DA8C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55E03"/>
    <w:multiLevelType w:val="hybridMultilevel"/>
    <w:tmpl w:val="28F4A546"/>
    <w:lvl w:ilvl="0" w:tplc="50D0B97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2182E78"/>
    <w:multiLevelType w:val="hybridMultilevel"/>
    <w:tmpl w:val="B6C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0A53C4"/>
    <w:multiLevelType w:val="hybridMultilevel"/>
    <w:tmpl w:val="74DC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0C0B96"/>
    <w:multiLevelType w:val="hybridMultilevel"/>
    <w:tmpl w:val="4130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54558"/>
    <w:multiLevelType w:val="hybridMultilevel"/>
    <w:tmpl w:val="349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CF3E18"/>
    <w:multiLevelType w:val="hybridMultilevel"/>
    <w:tmpl w:val="ACE43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5607CC"/>
    <w:multiLevelType w:val="hybridMultilevel"/>
    <w:tmpl w:val="E74C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B5243B"/>
    <w:multiLevelType w:val="hybridMultilevel"/>
    <w:tmpl w:val="D3A4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013792A"/>
    <w:multiLevelType w:val="hybridMultilevel"/>
    <w:tmpl w:val="3A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F276D"/>
    <w:multiLevelType w:val="hybridMultilevel"/>
    <w:tmpl w:val="7B90C0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69D"/>
    <w:multiLevelType w:val="hybridMultilevel"/>
    <w:tmpl w:val="92205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0062B0"/>
    <w:multiLevelType w:val="hybridMultilevel"/>
    <w:tmpl w:val="7A1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6B15DB"/>
    <w:multiLevelType w:val="hybridMultilevel"/>
    <w:tmpl w:val="5E60F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51300"/>
    <w:multiLevelType w:val="hybridMultilevel"/>
    <w:tmpl w:val="DE085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BC04DD7"/>
    <w:multiLevelType w:val="hybridMultilevel"/>
    <w:tmpl w:val="CAA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E41A86"/>
    <w:multiLevelType w:val="hybridMultilevel"/>
    <w:tmpl w:val="7C28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28"/>
  </w:num>
  <w:num w:numId="4">
    <w:abstractNumId w:val="39"/>
  </w:num>
  <w:num w:numId="5">
    <w:abstractNumId w:val="43"/>
  </w:num>
  <w:num w:numId="6">
    <w:abstractNumId w:val="22"/>
  </w:num>
  <w:num w:numId="7">
    <w:abstractNumId w:val="24"/>
  </w:num>
  <w:num w:numId="8">
    <w:abstractNumId w:val="41"/>
  </w:num>
  <w:num w:numId="9">
    <w:abstractNumId w:val="35"/>
  </w:num>
  <w:num w:numId="10">
    <w:abstractNumId w:val="18"/>
  </w:num>
  <w:num w:numId="11">
    <w:abstractNumId w:val="3"/>
  </w:num>
  <w:num w:numId="12">
    <w:abstractNumId w:val="15"/>
  </w:num>
  <w:num w:numId="13">
    <w:abstractNumId w:val="19"/>
  </w:num>
  <w:num w:numId="14">
    <w:abstractNumId w:val="40"/>
  </w:num>
  <w:num w:numId="15">
    <w:abstractNumId w:val="16"/>
  </w:num>
  <w:num w:numId="16">
    <w:abstractNumId w:val="38"/>
  </w:num>
  <w:num w:numId="17">
    <w:abstractNumId w:val="12"/>
  </w:num>
  <w:num w:numId="18">
    <w:abstractNumId w:val="2"/>
  </w:num>
  <w:num w:numId="19">
    <w:abstractNumId w:val="25"/>
  </w:num>
  <w:num w:numId="20">
    <w:abstractNumId w:val="34"/>
  </w:num>
  <w:num w:numId="21">
    <w:abstractNumId w:val="6"/>
  </w:num>
  <w:num w:numId="22">
    <w:abstractNumId w:val="10"/>
  </w:num>
  <w:num w:numId="23">
    <w:abstractNumId w:val="0"/>
  </w:num>
  <w:num w:numId="24">
    <w:abstractNumId w:val="42"/>
  </w:num>
  <w:num w:numId="25">
    <w:abstractNumId w:val="21"/>
  </w:num>
  <w:num w:numId="26">
    <w:abstractNumId w:val="9"/>
  </w:num>
  <w:num w:numId="27">
    <w:abstractNumId w:val="17"/>
  </w:num>
  <w:num w:numId="28">
    <w:abstractNumId w:val="13"/>
  </w:num>
  <w:num w:numId="29">
    <w:abstractNumId w:val="14"/>
  </w:num>
  <w:num w:numId="30">
    <w:abstractNumId w:val="4"/>
  </w:num>
  <w:num w:numId="31">
    <w:abstractNumId w:val="29"/>
  </w:num>
  <w:num w:numId="32">
    <w:abstractNumId w:val="31"/>
  </w:num>
  <w:num w:numId="33">
    <w:abstractNumId w:val="37"/>
  </w:num>
  <w:num w:numId="34">
    <w:abstractNumId w:val="26"/>
  </w:num>
  <w:num w:numId="35">
    <w:abstractNumId w:val="8"/>
  </w:num>
  <w:num w:numId="36">
    <w:abstractNumId w:val="30"/>
  </w:num>
  <w:num w:numId="37">
    <w:abstractNumId w:val="7"/>
  </w:num>
  <w:num w:numId="38">
    <w:abstractNumId w:val="36"/>
  </w:num>
  <w:num w:numId="39">
    <w:abstractNumId w:val="1"/>
  </w:num>
  <w:num w:numId="40">
    <w:abstractNumId w:val="32"/>
  </w:num>
  <w:num w:numId="41">
    <w:abstractNumId w:val="20"/>
  </w:num>
  <w:num w:numId="42">
    <w:abstractNumId w:val="5"/>
  </w:num>
  <w:num w:numId="43">
    <w:abstractNumId w:val="23"/>
  </w:num>
  <w:num w:numId="44">
    <w:abstractNumId w:val="3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11D3C"/>
    <w:rsid w:val="00015CF7"/>
    <w:rsid w:val="0003006C"/>
    <w:rsid w:val="00042196"/>
    <w:rsid w:val="00057968"/>
    <w:rsid w:val="000608CE"/>
    <w:rsid w:val="000628FD"/>
    <w:rsid w:val="000644BB"/>
    <w:rsid w:val="0008052B"/>
    <w:rsid w:val="000A01D2"/>
    <w:rsid w:val="000C1599"/>
    <w:rsid w:val="000C350A"/>
    <w:rsid w:val="000D1122"/>
    <w:rsid w:val="000D3AA8"/>
    <w:rsid w:val="000D61D0"/>
    <w:rsid w:val="000E2BD9"/>
    <w:rsid w:val="000F6254"/>
    <w:rsid w:val="00116256"/>
    <w:rsid w:val="00116AD2"/>
    <w:rsid w:val="001626D4"/>
    <w:rsid w:val="00163954"/>
    <w:rsid w:val="001675B9"/>
    <w:rsid w:val="001675E3"/>
    <w:rsid w:val="001810FE"/>
    <w:rsid w:val="00195C6B"/>
    <w:rsid w:val="001B010E"/>
    <w:rsid w:val="001B6274"/>
    <w:rsid w:val="001C1A58"/>
    <w:rsid w:val="001D32AA"/>
    <w:rsid w:val="001D3478"/>
    <w:rsid w:val="001F008B"/>
    <w:rsid w:val="001F0DD8"/>
    <w:rsid w:val="00230B8B"/>
    <w:rsid w:val="00235054"/>
    <w:rsid w:val="002359B1"/>
    <w:rsid w:val="00247DFF"/>
    <w:rsid w:val="002509DC"/>
    <w:rsid w:val="00252AEF"/>
    <w:rsid w:val="002533CB"/>
    <w:rsid w:val="002560DF"/>
    <w:rsid w:val="00257AC0"/>
    <w:rsid w:val="00265E94"/>
    <w:rsid w:val="00282F47"/>
    <w:rsid w:val="0028748B"/>
    <w:rsid w:val="00290707"/>
    <w:rsid w:val="002975BE"/>
    <w:rsid w:val="002B4D8D"/>
    <w:rsid w:val="002E093D"/>
    <w:rsid w:val="002F6978"/>
    <w:rsid w:val="003054B1"/>
    <w:rsid w:val="00325D29"/>
    <w:rsid w:val="003260AA"/>
    <w:rsid w:val="00334C49"/>
    <w:rsid w:val="0035411D"/>
    <w:rsid w:val="00384BC1"/>
    <w:rsid w:val="003B0CA8"/>
    <w:rsid w:val="003B6C68"/>
    <w:rsid w:val="003C23C5"/>
    <w:rsid w:val="003D4D69"/>
    <w:rsid w:val="003D6B55"/>
    <w:rsid w:val="003E7609"/>
    <w:rsid w:val="003F431B"/>
    <w:rsid w:val="00403EE6"/>
    <w:rsid w:val="0040504C"/>
    <w:rsid w:val="00406B52"/>
    <w:rsid w:val="0046398A"/>
    <w:rsid w:val="004772D0"/>
    <w:rsid w:val="00481216"/>
    <w:rsid w:val="00490E5B"/>
    <w:rsid w:val="00494CCB"/>
    <w:rsid w:val="004B2B73"/>
    <w:rsid w:val="004B3EB3"/>
    <w:rsid w:val="004B5804"/>
    <w:rsid w:val="004C76F5"/>
    <w:rsid w:val="004D0823"/>
    <w:rsid w:val="004D0FCF"/>
    <w:rsid w:val="004D2F89"/>
    <w:rsid w:val="004F2BA5"/>
    <w:rsid w:val="0050385D"/>
    <w:rsid w:val="00516C61"/>
    <w:rsid w:val="00527332"/>
    <w:rsid w:val="00570D63"/>
    <w:rsid w:val="0058327E"/>
    <w:rsid w:val="00591718"/>
    <w:rsid w:val="005F197C"/>
    <w:rsid w:val="005F679D"/>
    <w:rsid w:val="00603F7B"/>
    <w:rsid w:val="0067128E"/>
    <w:rsid w:val="00680F8C"/>
    <w:rsid w:val="00684A60"/>
    <w:rsid w:val="0068670B"/>
    <w:rsid w:val="0068735F"/>
    <w:rsid w:val="006A7406"/>
    <w:rsid w:val="006B5D36"/>
    <w:rsid w:val="006C0162"/>
    <w:rsid w:val="006D428D"/>
    <w:rsid w:val="006F1B83"/>
    <w:rsid w:val="006F4D71"/>
    <w:rsid w:val="00716F9D"/>
    <w:rsid w:val="007239D8"/>
    <w:rsid w:val="00734EC8"/>
    <w:rsid w:val="00735673"/>
    <w:rsid w:val="007570E4"/>
    <w:rsid w:val="00763616"/>
    <w:rsid w:val="00780974"/>
    <w:rsid w:val="00784BEC"/>
    <w:rsid w:val="00784FB8"/>
    <w:rsid w:val="007870DD"/>
    <w:rsid w:val="007A7BDE"/>
    <w:rsid w:val="007C6D26"/>
    <w:rsid w:val="007D488A"/>
    <w:rsid w:val="007E00E7"/>
    <w:rsid w:val="007E131A"/>
    <w:rsid w:val="007E7F28"/>
    <w:rsid w:val="007F069B"/>
    <w:rsid w:val="00807373"/>
    <w:rsid w:val="0081755E"/>
    <w:rsid w:val="0083386C"/>
    <w:rsid w:val="00846D02"/>
    <w:rsid w:val="00895EDF"/>
    <w:rsid w:val="00896614"/>
    <w:rsid w:val="008C6EAE"/>
    <w:rsid w:val="008F4A86"/>
    <w:rsid w:val="00914AC3"/>
    <w:rsid w:val="00914D10"/>
    <w:rsid w:val="00930B15"/>
    <w:rsid w:val="009346D7"/>
    <w:rsid w:val="009464BA"/>
    <w:rsid w:val="00956E87"/>
    <w:rsid w:val="00960E7B"/>
    <w:rsid w:val="00962215"/>
    <w:rsid w:val="00974A73"/>
    <w:rsid w:val="00991BDD"/>
    <w:rsid w:val="00991FA5"/>
    <w:rsid w:val="00995C87"/>
    <w:rsid w:val="00996B12"/>
    <w:rsid w:val="009A7473"/>
    <w:rsid w:val="009C5785"/>
    <w:rsid w:val="009F2786"/>
    <w:rsid w:val="00A110D1"/>
    <w:rsid w:val="00A134F7"/>
    <w:rsid w:val="00A156A8"/>
    <w:rsid w:val="00A20BC1"/>
    <w:rsid w:val="00A22091"/>
    <w:rsid w:val="00A23C38"/>
    <w:rsid w:val="00A24DC6"/>
    <w:rsid w:val="00A3117D"/>
    <w:rsid w:val="00A4755B"/>
    <w:rsid w:val="00A533EB"/>
    <w:rsid w:val="00A53601"/>
    <w:rsid w:val="00A64079"/>
    <w:rsid w:val="00A93A1A"/>
    <w:rsid w:val="00AB1F84"/>
    <w:rsid w:val="00AE74E5"/>
    <w:rsid w:val="00AF2B7D"/>
    <w:rsid w:val="00B00DD8"/>
    <w:rsid w:val="00B44706"/>
    <w:rsid w:val="00B467D6"/>
    <w:rsid w:val="00B50027"/>
    <w:rsid w:val="00B72630"/>
    <w:rsid w:val="00B771D8"/>
    <w:rsid w:val="00B92900"/>
    <w:rsid w:val="00B949AB"/>
    <w:rsid w:val="00B94ACC"/>
    <w:rsid w:val="00B94FE2"/>
    <w:rsid w:val="00B972E0"/>
    <w:rsid w:val="00BA40AB"/>
    <w:rsid w:val="00BC3B90"/>
    <w:rsid w:val="00BC68FF"/>
    <w:rsid w:val="00BD0A9D"/>
    <w:rsid w:val="00BD1191"/>
    <w:rsid w:val="00BD661F"/>
    <w:rsid w:val="00BE4A51"/>
    <w:rsid w:val="00BF7CCF"/>
    <w:rsid w:val="00C01713"/>
    <w:rsid w:val="00C10F26"/>
    <w:rsid w:val="00C11E16"/>
    <w:rsid w:val="00C34280"/>
    <w:rsid w:val="00C447BA"/>
    <w:rsid w:val="00C64D46"/>
    <w:rsid w:val="00CE12BC"/>
    <w:rsid w:val="00CE7F93"/>
    <w:rsid w:val="00CF26C6"/>
    <w:rsid w:val="00CF2ACD"/>
    <w:rsid w:val="00CF3DB4"/>
    <w:rsid w:val="00D01574"/>
    <w:rsid w:val="00D0273C"/>
    <w:rsid w:val="00D0508D"/>
    <w:rsid w:val="00D0540E"/>
    <w:rsid w:val="00D12039"/>
    <w:rsid w:val="00D22467"/>
    <w:rsid w:val="00D35071"/>
    <w:rsid w:val="00D44497"/>
    <w:rsid w:val="00D63CA6"/>
    <w:rsid w:val="00D84E8B"/>
    <w:rsid w:val="00DA6A78"/>
    <w:rsid w:val="00DC02B5"/>
    <w:rsid w:val="00DC11CD"/>
    <w:rsid w:val="00DF09FE"/>
    <w:rsid w:val="00E004A7"/>
    <w:rsid w:val="00E179CC"/>
    <w:rsid w:val="00E2710B"/>
    <w:rsid w:val="00E33610"/>
    <w:rsid w:val="00E539F9"/>
    <w:rsid w:val="00E55457"/>
    <w:rsid w:val="00EA449E"/>
    <w:rsid w:val="00EA49C2"/>
    <w:rsid w:val="00EA65AD"/>
    <w:rsid w:val="00EC113A"/>
    <w:rsid w:val="00ED15DA"/>
    <w:rsid w:val="00ED779E"/>
    <w:rsid w:val="00EE2A0E"/>
    <w:rsid w:val="00F01873"/>
    <w:rsid w:val="00F05D92"/>
    <w:rsid w:val="00F34596"/>
    <w:rsid w:val="00F409AC"/>
    <w:rsid w:val="00F521EE"/>
    <w:rsid w:val="00F53E43"/>
    <w:rsid w:val="00F57092"/>
    <w:rsid w:val="00F6240F"/>
    <w:rsid w:val="00F66A52"/>
    <w:rsid w:val="00F86E20"/>
    <w:rsid w:val="00FB00A8"/>
    <w:rsid w:val="00FB363B"/>
    <w:rsid w:val="00FD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253B-5CC9-4414-AF76-A994A20E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296</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9</cp:revision>
  <cp:lastPrinted>2013-06-28T20:11:00Z</cp:lastPrinted>
  <dcterms:created xsi:type="dcterms:W3CDTF">2013-05-30T22:01:00Z</dcterms:created>
  <dcterms:modified xsi:type="dcterms:W3CDTF">2013-06-28T20:11:00Z</dcterms:modified>
</cp:coreProperties>
</file>