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CA" w:rsidRPr="00484060" w:rsidRDefault="00417ECA" w:rsidP="00A63EF7">
      <w:pPr>
        <w:rPr>
          <w:rFonts w:ascii="Arial" w:hAnsi="Arial" w:cs="Arial"/>
          <w:b/>
          <w:sz w:val="22"/>
          <w:szCs w:val="22"/>
        </w:rPr>
      </w:pPr>
      <w:bookmarkStart w:id="0" w:name="_GoBack"/>
      <w:bookmarkEnd w:id="0"/>
      <w:r w:rsidRPr="00484060">
        <w:rPr>
          <w:rFonts w:ascii="Arial" w:hAnsi="Arial" w:cs="Arial"/>
          <w:b/>
          <w:sz w:val="22"/>
          <w:szCs w:val="22"/>
        </w:rPr>
        <w:t>Purpose:</w:t>
      </w:r>
    </w:p>
    <w:p w:rsidR="00417ECA" w:rsidRPr="004B0247" w:rsidRDefault="00417ECA" w:rsidP="004B0247">
      <w:pPr>
        <w:ind w:left="720"/>
        <w:rPr>
          <w:rFonts w:ascii="Arial" w:hAnsi="Arial" w:cs="Arial"/>
          <w:sz w:val="22"/>
          <w:szCs w:val="22"/>
        </w:rPr>
      </w:pPr>
      <w:r w:rsidRPr="00484060">
        <w:rPr>
          <w:rFonts w:ascii="Arial" w:hAnsi="Arial" w:cs="Arial"/>
          <w:sz w:val="22"/>
          <w:szCs w:val="22"/>
        </w:rPr>
        <w:t xml:space="preserve">To assure that </w:t>
      </w:r>
      <w:r w:rsidRPr="004B0247">
        <w:rPr>
          <w:rFonts w:ascii="Arial" w:hAnsi="Arial" w:cs="Arial"/>
          <w:sz w:val="22"/>
          <w:szCs w:val="22"/>
        </w:rPr>
        <w:t>the liquid reagents use for testing on the TANGO are loaded properly.</w:t>
      </w:r>
    </w:p>
    <w:p w:rsidR="00417ECA" w:rsidRPr="00B66B3A" w:rsidRDefault="00417ECA" w:rsidP="00B66B3A">
      <w:pPr>
        <w:pStyle w:val="ListParagraph"/>
        <w:rPr>
          <w:rFonts w:ascii="Arial" w:hAnsi="Arial" w:cs="Arial"/>
          <w:sz w:val="22"/>
          <w:szCs w:val="22"/>
        </w:rPr>
      </w:pPr>
    </w:p>
    <w:p w:rsidR="00417ECA" w:rsidRDefault="00417ECA" w:rsidP="00584408">
      <w:pPr>
        <w:pStyle w:val="ListParagraph"/>
        <w:ind w:left="0"/>
        <w:rPr>
          <w:rFonts w:ascii="Arial" w:hAnsi="Arial" w:cs="Arial"/>
          <w:b/>
          <w:sz w:val="22"/>
          <w:szCs w:val="22"/>
        </w:rPr>
      </w:pPr>
      <w:r>
        <w:rPr>
          <w:rFonts w:ascii="Arial" w:hAnsi="Arial" w:cs="Arial"/>
          <w:b/>
          <w:sz w:val="22"/>
          <w:szCs w:val="22"/>
        </w:rPr>
        <w:t>Limitations And Precautions:</w:t>
      </w:r>
    </w:p>
    <w:p w:rsidR="00417ECA" w:rsidRDefault="00417ECA" w:rsidP="002009C8">
      <w:pPr>
        <w:pStyle w:val="ListParagraph"/>
        <w:numPr>
          <w:ilvl w:val="0"/>
          <w:numId w:val="30"/>
        </w:numPr>
        <w:rPr>
          <w:rFonts w:ascii="Arial" w:hAnsi="Arial" w:cs="Arial"/>
          <w:b/>
          <w:sz w:val="22"/>
          <w:szCs w:val="22"/>
        </w:rPr>
      </w:pPr>
      <w:r>
        <w:rPr>
          <w:rFonts w:ascii="Arial" w:hAnsi="Arial" w:cs="Arial"/>
          <w:sz w:val="22"/>
          <w:szCs w:val="22"/>
        </w:rPr>
        <w:t>Do not load reagents while loading plates or samples as only one Loading window can be displayed at the same time.</w:t>
      </w:r>
    </w:p>
    <w:p w:rsidR="00417ECA" w:rsidRPr="00B66B3A" w:rsidRDefault="00417ECA" w:rsidP="00F712B7">
      <w:pPr>
        <w:pStyle w:val="ListParagraph"/>
        <w:numPr>
          <w:ilvl w:val="0"/>
          <w:numId w:val="30"/>
        </w:numPr>
        <w:rPr>
          <w:rFonts w:ascii="Arial" w:hAnsi="Arial" w:cs="Arial"/>
          <w:b/>
          <w:sz w:val="22"/>
          <w:szCs w:val="22"/>
        </w:rPr>
      </w:pPr>
      <w:r>
        <w:rPr>
          <w:rFonts w:ascii="Arial" w:hAnsi="Arial" w:cs="Arial"/>
          <w:sz w:val="22"/>
          <w:szCs w:val="22"/>
        </w:rPr>
        <w:t>Samples and reagents derived from human or animal blood are potentially biohazardous and/or infectious. Use appropriate PPE when handling such materials.</w:t>
      </w:r>
    </w:p>
    <w:p w:rsidR="00417ECA" w:rsidRPr="00F712B7" w:rsidRDefault="00417ECA" w:rsidP="00F712B7">
      <w:pPr>
        <w:pStyle w:val="ListParagraph"/>
        <w:numPr>
          <w:ilvl w:val="0"/>
          <w:numId w:val="30"/>
        </w:numPr>
        <w:rPr>
          <w:rFonts w:ascii="Arial" w:hAnsi="Arial" w:cs="Arial"/>
          <w:b/>
          <w:sz w:val="22"/>
          <w:szCs w:val="22"/>
        </w:rPr>
      </w:pPr>
      <w:r>
        <w:rPr>
          <w:rFonts w:ascii="Arial" w:hAnsi="Arial" w:cs="Arial"/>
          <w:sz w:val="22"/>
          <w:szCs w:val="22"/>
        </w:rPr>
        <w:t>Insert new cell mixers in newly opened red cell reagents.</w:t>
      </w:r>
    </w:p>
    <w:p w:rsidR="00417ECA" w:rsidRPr="002009C8" w:rsidRDefault="00417ECA" w:rsidP="00F712B7">
      <w:pPr>
        <w:pStyle w:val="ListParagraph"/>
        <w:numPr>
          <w:ilvl w:val="0"/>
          <w:numId w:val="30"/>
        </w:numPr>
        <w:rPr>
          <w:rFonts w:ascii="Arial" w:hAnsi="Arial" w:cs="Arial"/>
          <w:b/>
          <w:sz w:val="22"/>
          <w:szCs w:val="22"/>
        </w:rPr>
      </w:pPr>
      <w:r>
        <w:rPr>
          <w:rFonts w:ascii="Arial" w:hAnsi="Arial" w:cs="Arial"/>
          <w:sz w:val="22"/>
          <w:szCs w:val="22"/>
        </w:rPr>
        <w:t>Storage of liquid reagents are at 2-8</w:t>
      </w:r>
      <w:r>
        <w:rPr>
          <w:rFonts w:ascii="Arial" w:hAnsi="Arial" w:cs="Arial"/>
          <w:sz w:val="22"/>
          <w:szCs w:val="22"/>
          <w:vertAlign w:val="superscript"/>
        </w:rPr>
        <w:t xml:space="preserve"> o</w:t>
      </w:r>
      <w:r>
        <w:rPr>
          <w:rFonts w:ascii="Arial" w:hAnsi="Arial" w:cs="Arial"/>
          <w:sz w:val="22"/>
          <w:szCs w:val="22"/>
        </w:rPr>
        <w:t>C until reagent expiration or at the designated shelf life on the instrument.</w:t>
      </w:r>
    </w:p>
    <w:p w:rsidR="00417ECA" w:rsidRPr="002009C8" w:rsidRDefault="00417ECA" w:rsidP="00F712B7">
      <w:pPr>
        <w:pStyle w:val="ListParagraph"/>
        <w:numPr>
          <w:ilvl w:val="0"/>
          <w:numId w:val="30"/>
        </w:numPr>
        <w:rPr>
          <w:rFonts w:ascii="Arial" w:hAnsi="Arial" w:cs="Arial"/>
          <w:b/>
          <w:sz w:val="22"/>
          <w:szCs w:val="22"/>
        </w:rPr>
      </w:pPr>
      <w:r>
        <w:rPr>
          <w:rFonts w:ascii="Arial" w:hAnsi="Arial" w:cs="Arial"/>
          <w:sz w:val="22"/>
          <w:szCs w:val="22"/>
        </w:rPr>
        <w:t>Do not use expired reagents or reagents that have exceeded their on board shelf life.</w:t>
      </w:r>
    </w:p>
    <w:p w:rsidR="00417ECA" w:rsidRPr="002009C8" w:rsidRDefault="00417ECA" w:rsidP="00F712B7">
      <w:pPr>
        <w:pStyle w:val="ListParagraph"/>
        <w:numPr>
          <w:ilvl w:val="0"/>
          <w:numId w:val="30"/>
        </w:numPr>
        <w:rPr>
          <w:rFonts w:ascii="Arial" w:hAnsi="Arial" w:cs="Arial"/>
          <w:b/>
          <w:sz w:val="22"/>
          <w:szCs w:val="22"/>
        </w:rPr>
      </w:pPr>
      <w:r>
        <w:rPr>
          <w:rFonts w:ascii="Arial" w:hAnsi="Arial" w:cs="Arial"/>
          <w:sz w:val="22"/>
          <w:szCs w:val="22"/>
        </w:rPr>
        <w:t>Reagents having different ages (expiration date or time after opening) must not be combined and then used.</w:t>
      </w:r>
    </w:p>
    <w:p w:rsidR="00417ECA" w:rsidRDefault="00417ECA" w:rsidP="00F712B7">
      <w:pPr>
        <w:pStyle w:val="ListParagraph"/>
        <w:numPr>
          <w:ilvl w:val="0"/>
          <w:numId w:val="30"/>
        </w:numPr>
        <w:rPr>
          <w:rFonts w:ascii="Arial" w:hAnsi="Arial" w:cs="Arial"/>
          <w:b/>
          <w:sz w:val="22"/>
          <w:szCs w:val="22"/>
        </w:rPr>
      </w:pPr>
      <w:r>
        <w:rPr>
          <w:rFonts w:ascii="Arial" w:hAnsi="Arial" w:cs="Arial"/>
          <w:sz w:val="22"/>
          <w:szCs w:val="22"/>
        </w:rPr>
        <w:t>Dispose of expired or damaged reagents in a designated biohazard waste container.</w:t>
      </w:r>
    </w:p>
    <w:p w:rsidR="00417ECA" w:rsidRDefault="00417ECA" w:rsidP="00484060">
      <w:pPr>
        <w:rPr>
          <w:rFonts w:ascii="Arial" w:hAnsi="Arial" w:cs="Arial"/>
          <w:b/>
          <w:sz w:val="22"/>
          <w:szCs w:val="22"/>
        </w:rPr>
      </w:pPr>
    </w:p>
    <w:p w:rsidR="00417ECA" w:rsidRPr="00484060" w:rsidRDefault="00417ECA" w:rsidP="00484060">
      <w:pPr>
        <w:rPr>
          <w:rFonts w:ascii="Arial" w:hAnsi="Arial" w:cs="Arial"/>
          <w:b/>
          <w:sz w:val="22"/>
          <w:szCs w:val="22"/>
        </w:rPr>
      </w:pPr>
    </w:p>
    <w:p w:rsidR="00417ECA" w:rsidRPr="00484060" w:rsidRDefault="00417ECA" w:rsidP="00A63EF7">
      <w:pPr>
        <w:rPr>
          <w:rFonts w:ascii="Arial" w:hAnsi="Arial" w:cs="Arial"/>
          <w:b/>
          <w:sz w:val="22"/>
          <w:szCs w:val="22"/>
        </w:rPr>
      </w:pPr>
      <w:r w:rsidRPr="00484060">
        <w:rPr>
          <w:rFonts w:ascii="Arial" w:hAnsi="Arial" w:cs="Arial"/>
          <w:b/>
          <w:sz w:val="22"/>
          <w:szCs w:val="22"/>
        </w:rPr>
        <w:t>Procedure:</w:t>
      </w:r>
    </w:p>
    <w:p w:rsidR="00417ECA" w:rsidRDefault="00417ECA" w:rsidP="00A63EF7">
      <w:pPr>
        <w:ind w:left="1080"/>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7464"/>
        <w:gridCol w:w="1753"/>
      </w:tblGrid>
      <w:tr w:rsidR="00417ECA" w:rsidTr="00FB5E9C">
        <w:tc>
          <w:tcPr>
            <w:tcW w:w="362" w:type="pct"/>
            <w:vAlign w:val="center"/>
          </w:tcPr>
          <w:p w:rsidR="00417ECA" w:rsidRPr="00FB5E9C" w:rsidRDefault="00417ECA" w:rsidP="00FB5E9C">
            <w:pPr>
              <w:jc w:val="center"/>
              <w:rPr>
                <w:rFonts w:ascii="Arial" w:hAnsi="Arial" w:cs="Arial"/>
                <w:b/>
              </w:rPr>
            </w:pPr>
            <w:r w:rsidRPr="00FB5E9C">
              <w:rPr>
                <w:rFonts w:ascii="Arial" w:hAnsi="Arial" w:cs="Arial"/>
                <w:b/>
                <w:sz w:val="22"/>
                <w:szCs w:val="22"/>
              </w:rPr>
              <w:t>Step</w:t>
            </w:r>
          </w:p>
        </w:tc>
        <w:tc>
          <w:tcPr>
            <w:tcW w:w="3756" w:type="pct"/>
            <w:vAlign w:val="center"/>
          </w:tcPr>
          <w:p w:rsidR="00417ECA" w:rsidRPr="00FB5E9C" w:rsidRDefault="00417ECA" w:rsidP="00FB5E9C">
            <w:pPr>
              <w:jc w:val="center"/>
              <w:rPr>
                <w:rFonts w:ascii="Arial" w:hAnsi="Arial" w:cs="Arial"/>
                <w:b/>
              </w:rPr>
            </w:pPr>
            <w:r w:rsidRPr="00FB5E9C">
              <w:rPr>
                <w:rFonts w:ascii="Arial" w:hAnsi="Arial" w:cs="Arial"/>
                <w:b/>
                <w:sz w:val="22"/>
                <w:szCs w:val="22"/>
              </w:rPr>
              <w:t>Action</w:t>
            </w:r>
          </w:p>
        </w:tc>
        <w:tc>
          <w:tcPr>
            <w:tcW w:w="882" w:type="pct"/>
            <w:vAlign w:val="center"/>
          </w:tcPr>
          <w:p w:rsidR="00417ECA" w:rsidRPr="00FB5E9C" w:rsidRDefault="00417ECA" w:rsidP="00FB5E9C">
            <w:pPr>
              <w:jc w:val="center"/>
              <w:rPr>
                <w:rFonts w:ascii="Arial" w:hAnsi="Arial" w:cs="Arial"/>
                <w:b/>
              </w:rPr>
            </w:pPr>
            <w:r w:rsidRPr="00FB5E9C">
              <w:rPr>
                <w:rFonts w:ascii="Arial" w:hAnsi="Arial" w:cs="Arial"/>
                <w:b/>
                <w:sz w:val="22"/>
                <w:szCs w:val="22"/>
              </w:rPr>
              <w:t xml:space="preserve">Related Documents </w:t>
            </w:r>
          </w:p>
        </w:tc>
      </w:tr>
      <w:tr w:rsidR="00417ECA" w:rsidTr="00A90119">
        <w:trPr>
          <w:trHeight w:val="314"/>
        </w:trPr>
        <w:tc>
          <w:tcPr>
            <w:tcW w:w="362" w:type="pct"/>
            <w:vAlign w:val="center"/>
          </w:tcPr>
          <w:p w:rsidR="00417ECA" w:rsidRPr="00FB5E9C" w:rsidRDefault="00417ECA" w:rsidP="00A63EF7">
            <w:pPr>
              <w:rPr>
                <w:rFonts w:ascii="Arial" w:hAnsi="Arial" w:cs="Arial"/>
                <w:b/>
              </w:rPr>
            </w:pPr>
            <w:r w:rsidRPr="00FB5E9C">
              <w:rPr>
                <w:rFonts w:ascii="Arial" w:hAnsi="Arial" w:cs="Arial"/>
                <w:b/>
                <w:sz w:val="22"/>
                <w:szCs w:val="22"/>
              </w:rPr>
              <w:t>A.</w:t>
            </w:r>
          </w:p>
        </w:tc>
        <w:tc>
          <w:tcPr>
            <w:tcW w:w="3756" w:type="pct"/>
            <w:vAlign w:val="center"/>
          </w:tcPr>
          <w:p w:rsidR="00417ECA" w:rsidRPr="00FB5E9C" w:rsidRDefault="00417ECA" w:rsidP="00F712B7">
            <w:pPr>
              <w:rPr>
                <w:rFonts w:ascii="Arial" w:hAnsi="Arial" w:cs="Arial"/>
              </w:rPr>
            </w:pPr>
            <w:r w:rsidRPr="00FB5E9C">
              <w:rPr>
                <w:rFonts w:ascii="Arial" w:hAnsi="Arial" w:cs="Arial"/>
                <w:sz w:val="22"/>
                <w:szCs w:val="22"/>
              </w:rPr>
              <w:t>For all ready to use reagents, remove the caps/droppers from the vials.</w:t>
            </w:r>
          </w:p>
        </w:tc>
        <w:tc>
          <w:tcPr>
            <w:tcW w:w="882" w:type="pct"/>
          </w:tcPr>
          <w:p w:rsidR="00417ECA" w:rsidRPr="00FB5E9C" w:rsidRDefault="00417ECA" w:rsidP="00A63EF7">
            <w:pPr>
              <w:rPr>
                <w:rFonts w:ascii="Arial" w:hAnsi="Arial" w:cs="Arial"/>
              </w:rPr>
            </w:pPr>
          </w:p>
        </w:tc>
      </w:tr>
      <w:tr w:rsidR="00417ECA" w:rsidTr="00A90119">
        <w:trPr>
          <w:trHeight w:val="530"/>
        </w:trPr>
        <w:tc>
          <w:tcPr>
            <w:tcW w:w="362" w:type="pct"/>
            <w:vAlign w:val="center"/>
          </w:tcPr>
          <w:p w:rsidR="00417ECA" w:rsidRPr="00FB5E9C" w:rsidRDefault="00417ECA" w:rsidP="00A63EF7">
            <w:pPr>
              <w:rPr>
                <w:rFonts w:ascii="Arial" w:hAnsi="Arial" w:cs="Arial"/>
                <w:b/>
              </w:rPr>
            </w:pPr>
            <w:r w:rsidRPr="00FB5E9C">
              <w:rPr>
                <w:rFonts w:ascii="Arial" w:hAnsi="Arial" w:cs="Arial"/>
                <w:b/>
                <w:sz w:val="22"/>
                <w:szCs w:val="22"/>
              </w:rPr>
              <w:t>B.</w:t>
            </w:r>
          </w:p>
        </w:tc>
        <w:tc>
          <w:tcPr>
            <w:tcW w:w="3756" w:type="pct"/>
            <w:vAlign w:val="center"/>
          </w:tcPr>
          <w:p w:rsidR="00417ECA" w:rsidRPr="00FB5E9C" w:rsidRDefault="00417ECA" w:rsidP="00A63EF7">
            <w:pPr>
              <w:rPr>
                <w:rFonts w:ascii="Arial" w:hAnsi="Arial" w:cs="Arial"/>
              </w:rPr>
            </w:pPr>
            <w:r w:rsidRPr="00FB5E9C">
              <w:rPr>
                <w:rFonts w:ascii="Arial" w:hAnsi="Arial" w:cs="Arial"/>
                <w:sz w:val="22"/>
                <w:szCs w:val="22"/>
              </w:rPr>
              <w:t>Prepare the working Bromelin solution according to Bromelin Preparation SOP.</w:t>
            </w:r>
          </w:p>
        </w:tc>
        <w:tc>
          <w:tcPr>
            <w:tcW w:w="882" w:type="pct"/>
          </w:tcPr>
          <w:p w:rsidR="00417ECA" w:rsidRPr="00FB5E9C" w:rsidRDefault="00417ECA" w:rsidP="00A90119">
            <w:pPr>
              <w:rPr>
                <w:rFonts w:ascii="Arial" w:hAnsi="Arial" w:cs="Arial"/>
              </w:rPr>
            </w:pPr>
            <w:r w:rsidRPr="00FB5E9C">
              <w:rPr>
                <w:rFonts w:ascii="Arial" w:hAnsi="Arial" w:cs="Arial"/>
                <w:sz w:val="22"/>
                <w:szCs w:val="22"/>
              </w:rPr>
              <w:t>Bromelin</w:t>
            </w:r>
          </w:p>
          <w:p w:rsidR="00417ECA" w:rsidRPr="00FB5E9C" w:rsidRDefault="00417ECA" w:rsidP="00A90119">
            <w:pPr>
              <w:rPr>
                <w:rFonts w:ascii="Arial" w:hAnsi="Arial" w:cs="Arial"/>
              </w:rPr>
            </w:pPr>
            <w:r w:rsidRPr="00FB5E9C">
              <w:rPr>
                <w:rFonts w:ascii="Arial" w:hAnsi="Arial" w:cs="Arial"/>
                <w:sz w:val="22"/>
                <w:szCs w:val="22"/>
              </w:rPr>
              <w:t>Preparation</w:t>
            </w:r>
          </w:p>
        </w:tc>
      </w:tr>
      <w:tr w:rsidR="00417ECA" w:rsidTr="00A90119">
        <w:trPr>
          <w:trHeight w:val="350"/>
        </w:trPr>
        <w:tc>
          <w:tcPr>
            <w:tcW w:w="362" w:type="pct"/>
            <w:vAlign w:val="center"/>
          </w:tcPr>
          <w:p w:rsidR="00417ECA" w:rsidRPr="00FB5E9C" w:rsidRDefault="00417ECA" w:rsidP="00A63EF7">
            <w:pPr>
              <w:rPr>
                <w:rFonts w:ascii="Arial" w:hAnsi="Arial" w:cs="Arial"/>
                <w:b/>
              </w:rPr>
            </w:pPr>
            <w:r w:rsidRPr="00FB5E9C">
              <w:rPr>
                <w:rFonts w:ascii="Arial" w:hAnsi="Arial" w:cs="Arial"/>
                <w:b/>
                <w:sz w:val="22"/>
                <w:szCs w:val="22"/>
              </w:rPr>
              <w:t>C.</w:t>
            </w:r>
          </w:p>
        </w:tc>
        <w:tc>
          <w:tcPr>
            <w:tcW w:w="3756" w:type="pct"/>
            <w:vAlign w:val="center"/>
          </w:tcPr>
          <w:p w:rsidR="00417ECA" w:rsidRPr="00FB5E9C" w:rsidRDefault="00417ECA" w:rsidP="00A63EF7">
            <w:pPr>
              <w:rPr>
                <w:rFonts w:ascii="Arial" w:hAnsi="Arial" w:cs="Arial"/>
              </w:rPr>
            </w:pPr>
            <w:r w:rsidRPr="00FB5E9C">
              <w:rPr>
                <w:rFonts w:ascii="Arial" w:hAnsi="Arial" w:cs="Arial"/>
                <w:sz w:val="22"/>
                <w:szCs w:val="22"/>
              </w:rPr>
              <w:t>Reagent Red Cells</w:t>
            </w:r>
          </w:p>
        </w:tc>
        <w:tc>
          <w:tcPr>
            <w:tcW w:w="882" w:type="pct"/>
          </w:tcPr>
          <w:p w:rsidR="00417ECA" w:rsidRPr="00FB5E9C" w:rsidRDefault="00417ECA" w:rsidP="00FB5E9C">
            <w:pPr>
              <w:jc w:val="center"/>
              <w:rPr>
                <w:rFonts w:ascii="Arial" w:hAnsi="Arial" w:cs="Arial"/>
              </w:rPr>
            </w:pPr>
          </w:p>
        </w:tc>
      </w:tr>
      <w:tr w:rsidR="00417ECA" w:rsidTr="00A90119">
        <w:trPr>
          <w:trHeight w:val="521"/>
        </w:trPr>
        <w:tc>
          <w:tcPr>
            <w:tcW w:w="362" w:type="pct"/>
          </w:tcPr>
          <w:p w:rsidR="00417ECA" w:rsidRPr="00FB5E9C" w:rsidRDefault="00417ECA" w:rsidP="00A63EF7">
            <w:pPr>
              <w:rPr>
                <w:rFonts w:ascii="Arial" w:hAnsi="Arial" w:cs="Arial"/>
              </w:rPr>
            </w:pPr>
            <w:r w:rsidRPr="00FB5E9C">
              <w:rPr>
                <w:rFonts w:ascii="Arial" w:hAnsi="Arial" w:cs="Arial"/>
                <w:sz w:val="22"/>
                <w:szCs w:val="22"/>
              </w:rPr>
              <w:t>1.</w:t>
            </w:r>
          </w:p>
        </w:tc>
        <w:tc>
          <w:tcPr>
            <w:tcW w:w="3756" w:type="pct"/>
            <w:vAlign w:val="center"/>
          </w:tcPr>
          <w:p w:rsidR="00417ECA" w:rsidRPr="00FB5E9C" w:rsidRDefault="00417ECA" w:rsidP="00A63EF7">
            <w:pPr>
              <w:rPr>
                <w:rFonts w:ascii="Arial" w:hAnsi="Arial" w:cs="Arial"/>
              </w:rPr>
            </w:pPr>
            <w:r w:rsidRPr="00FB5E9C">
              <w:rPr>
                <w:rFonts w:ascii="Arial" w:hAnsi="Arial" w:cs="Arial"/>
                <w:sz w:val="22"/>
                <w:szCs w:val="22"/>
              </w:rPr>
              <w:t>Mix cells to re-suspend.  This may be done by inversion prior to opening the vial or by using a clean pipette to mix the contents.</w:t>
            </w:r>
          </w:p>
        </w:tc>
        <w:tc>
          <w:tcPr>
            <w:tcW w:w="882" w:type="pct"/>
          </w:tcPr>
          <w:p w:rsidR="00417ECA" w:rsidRPr="00FB5E9C" w:rsidRDefault="00417ECA" w:rsidP="00FB5E9C">
            <w:pPr>
              <w:jc w:val="center"/>
              <w:rPr>
                <w:rFonts w:ascii="Arial" w:hAnsi="Arial" w:cs="Arial"/>
              </w:rPr>
            </w:pPr>
          </w:p>
        </w:tc>
      </w:tr>
      <w:tr w:rsidR="00417ECA" w:rsidTr="00A90119">
        <w:trPr>
          <w:trHeight w:val="368"/>
        </w:trPr>
        <w:tc>
          <w:tcPr>
            <w:tcW w:w="362" w:type="pct"/>
          </w:tcPr>
          <w:p w:rsidR="00417ECA" w:rsidRPr="00FB5E9C" w:rsidRDefault="00417ECA" w:rsidP="00A63EF7">
            <w:pPr>
              <w:rPr>
                <w:rFonts w:ascii="Arial" w:hAnsi="Arial" w:cs="Arial"/>
              </w:rPr>
            </w:pPr>
            <w:r w:rsidRPr="00FB5E9C">
              <w:rPr>
                <w:rFonts w:ascii="Arial" w:hAnsi="Arial" w:cs="Arial"/>
                <w:sz w:val="22"/>
                <w:szCs w:val="22"/>
              </w:rPr>
              <w:t>2.</w:t>
            </w:r>
          </w:p>
        </w:tc>
        <w:tc>
          <w:tcPr>
            <w:tcW w:w="3756" w:type="pct"/>
            <w:vAlign w:val="center"/>
          </w:tcPr>
          <w:p w:rsidR="00417ECA" w:rsidRPr="00FB5E9C" w:rsidRDefault="00417ECA" w:rsidP="00A63EF7">
            <w:pPr>
              <w:rPr>
                <w:rFonts w:ascii="Arial" w:hAnsi="Arial" w:cs="Arial"/>
              </w:rPr>
            </w:pPr>
            <w:r w:rsidRPr="00FB5E9C">
              <w:rPr>
                <w:rFonts w:ascii="Arial" w:hAnsi="Arial" w:cs="Arial"/>
                <w:sz w:val="22"/>
                <w:szCs w:val="22"/>
              </w:rPr>
              <w:t>Write the open date and time on the label of each reagent.</w:t>
            </w:r>
          </w:p>
        </w:tc>
        <w:tc>
          <w:tcPr>
            <w:tcW w:w="882" w:type="pct"/>
          </w:tcPr>
          <w:p w:rsidR="00417ECA" w:rsidRPr="00FB5E9C" w:rsidRDefault="00417ECA" w:rsidP="00FB5E9C">
            <w:pPr>
              <w:jc w:val="center"/>
              <w:rPr>
                <w:rFonts w:ascii="Arial" w:hAnsi="Arial" w:cs="Arial"/>
              </w:rPr>
            </w:pPr>
          </w:p>
        </w:tc>
      </w:tr>
      <w:tr w:rsidR="00417ECA" w:rsidTr="00A90119">
        <w:trPr>
          <w:trHeight w:val="692"/>
        </w:trPr>
        <w:tc>
          <w:tcPr>
            <w:tcW w:w="362" w:type="pct"/>
          </w:tcPr>
          <w:p w:rsidR="00417ECA" w:rsidRPr="00FB5E9C" w:rsidRDefault="00417ECA" w:rsidP="00A63EF7">
            <w:pPr>
              <w:rPr>
                <w:rFonts w:ascii="Arial" w:hAnsi="Arial" w:cs="Arial"/>
              </w:rPr>
            </w:pPr>
            <w:r w:rsidRPr="00FB5E9C">
              <w:rPr>
                <w:rFonts w:ascii="Arial" w:hAnsi="Arial" w:cs="Arial"/>
                <w:sz w:val="22"/>
                <w:szCs w:val="22"/>
              </w:rPr>
              <w:t>3.</w:t>
            </w:r>
          </w:p>
        </w:tc>
        <w:tc>
          <w:tcPr>
            <w:tcW w:w="3756" w:type="pct"/>
            <w:vAlign w:val="center"/>
          </w:tcPr>
          <w:p w:rsidR="00417ECA" w:rsidRPr="00FB5E9C" w:rsidRDefault="00417ECA" w:rsidP="00A63EF7">
            <w:pPr>
              <w:rPr>
                <w:rFonts w:ascii="Arial" w:hAnsi="Arial" w:cs="Arial"/>
              </w:rPr>
            </w:pPr>
            <w:r w:rsidRPr="00FB5E9C">
              <w:rPr>
                <w:rFonts w:ascii="Arial" w:hAnsi="Arial" w:cs="Arial"/>
                <w:sz w:val="22"/>
                <w:szCs w:val="22"/>
              </w:rPr>
              <w:t>Insert a plastic cell mixer into each vial of cells.  Press down firmly to ensure that the cell mixer is seated in the vial.</w:t>
            </w:r>
          </w:p>
        </w:tc>
        <w:tc>
          <w:tcPr>
            <w:tcW w:w="882" w:type="pct"/>
          </w:tcPr>
          <w:p w:rsidR="00417ECA" w:rsidRPr="00FB5E9C" w:rsidRDefault="00417ECA" w:rsidP="00FB5E9C">
            <w:pPr>
              <w:jc w:val="center"/>
              <w:rPr>
                <w:rFonts w:ascii="Arial" w:hAnsi="Arial" w:cs="Arial"/>
              </w:rPr>
            </w:pPr>
          </w:p>
        </w:tc>
      </w:tr>
      <w:tr w:rsidR="00417ECA" w:rsidTr="00A90119">
        <w:tc>
          <w:tcPr>
            <w:tcW w:w="362" w:type="pct"/>
          </w:tcPr>
          <w:p w:rsidR="00417ECA" w:rsidRPr="00FB5E9C" w:rsidRDefault="00417ECA" w:rsidP="00A63EF7">
            <w:pPr>
              <w:rPr>
                <w:rFonts w:ascii="Arial" w:hAnsi="Arial" w:cs="Arial"/>
              </w:rPr>
            </w:pPr>
            <w:r w:rsidRPr="00FB5E9C">
              <w:rPr>
                <w:rFonts w:ascii="Arial" w:hAnsi="Arial" w:cs="Arial"/>
                <w:sz w:val="22"/>
                <w:szCs w:val="22"/>
              </w:rPr>
              <w:t>4.</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After re-suspension and insertion of the cell mixer, place the vials into racks for the cooled reagent area.  Ensure the barcode on the vial is visible through the opening in the side of the rack.  Red cells should be placed on the TANGO immediately.  Follow section E below.</w:t>
            </w:r>
          </w:p>
          <w:p w:rsidR="00417ECA" w:rsidRPr="00FB5E9C" w:rsidRDefault="00417ECA" w:rsidP="00FB5E9C">
            <w:pPr>
              <w:pStyle w:val="ListParagraph"/>
              <w:numPr>
                <w:ilvl w:val="0"/>
                <w:numId w:val="23"/>
              </w:numPr>
              <w:rPr>
                <w:rFonts w:ascii="Arial" w:hAnsi="Arial" w:cs="Arial"/>
              </w:rPr>
            </w:pPr>
            <w:r w:rsidRPr="00FB5E9C">
              <w:rPr>
                <w:rFonts w:ascii="Arial" w:hAnsi="Arial" w:cs="Arial"/>
                <w:sz w:val="22"/>
                <w:szCs w:val="22"/>
              </w:rPr>
              <w:t>If the vials sit prior to being placed on the TANGO, they must be re-suspended again with a clean pipette.</w:t>
            </w:r>
          </w:p>
        </w:tc>
        <w:tc>
          <w:tcPr>
            <w:tcW w:w="882" w:type="pct"/>
          </w:tcPr>
          <w:p w:rsidR="00417ECA" w:rsidRPr="00FB5E9C" w:rsidRDefault="00417ECA" w:rsidP="00FB5E9C">
            <w:pPr>
              <w:jc w:val="center"/>
              <w:rPr>
                <w:rFonts w:ascii="Arial" w:hAnsi="Arial" w:cs="Arial"/>
              </w:rPr>
            </w:pPr>
          </w:p>
        </w:tc>
      </w:tr>
      <w:tr w:rsidR="00417ECA" w:rsidTr="00A90119">
        <w:trPr>
          <w:trHeight w:val="611"/>
        </w:trPr>
        <w:tc>
          <w:tcPr>
            <w:tcW w:w="362" w:type="pct"/>
          </w:tcPr>
          <w:p w:rsidR="00417ECA" w:rsidRPr="00FB5E9C" w:rsidRDefault="00417ECA" w:rsidP="00A63EF7">
            <w:pPr>
              <w:rPr>
                <w:rFonts w:ascii="Arial" w:hAnsi="Arial" w:cs="Arial"/>
              </w:rPr>
            </w:pPr>
            <w:r w:rsidRPr="00FB5E9C">
              <w:rPr>
                <w:rFonts w:ascii="Arial" w:hAnsi="Arial" w:cs="Arial"/>
                <w:sz w:val="22"/>
                <w:szCs w:val="22"/>
              </w:rPr>
              <w:t>5.</w:t>
            </w:r>
          </w:p>
        </w:tc>
        <w:tc>
          <w:tcPr>
            <w:tcW w:w="3756" w:type="pct"/>
            <w:vAlign w:val="center"/>
          </w:tcPr>
          <w:p w:rsidR="00417ECA" w:rsidRPr="00FB5E9C" w:rsidRDefault="00417ECA" w:rsidP="00F712B7">
            <w:pPr>
              <w:rPr>
                <w:rFonts w:ascii="Arial" w:hAnsi="Arial" w:cs="Arial"/>
              </w:rPr>
            </w:pPr>
            <w:r w:rsidRPr="00FB5E9C">
              <w:rPr>
                <w:rFonts w:ascii="Arial" w:hAnsi="Arial" w:cs="Arial"/>
                <w:sz w:val="22"/>
                <w:szCs w:val="22"/>
              </w:rPr>
              <w:t>The cells can be stored on the TANGO for seven (7) days or until labeled expiration, whichever date is shorter.</w:t>
            </w:r>
          </w:p>
        </w:tc>
        <w:tc>
          <w:tcPr>
            <w:tcW w:w="882" w:type="pct"/>
          </w:tcPr>
          <w:p w:rsidR="00417ECA" w:rsidRPr="00FB5E9C" w:rsidRDefault="00417ECA" w:rsidP="00FB5E9C">
            <w:pPr>
              <w:jc w:val="center"/>
              <w:rPr>
                <w:rFonts w:ascii="Arial" w:hAnsi="Arial" w:cs="Arial"/>
              </w:rPr>
            </w:pPr>
          </w:p>
        </w:tc>
      </w:tr>
      <w:tr w:rsidR="00417ECA" w:rsidTr="00A90119">
        <w:trPr>
          <w:trHeight w:val="350"/>
        </w:trPr>
        <w:tc>
          <w:tcPr>
            <w:tcW w:w="362" w:type="pct"/>
            <w:vAlign w:val="center"/>
          </w:tcPr>
          <w:p w:rsidR="00417ECA" w:rsidRPr="00FB5E9C" w:rsidRDefault="00417ECA" w:rsidP="00A63EF7">
            <w:pPr>
              <w:rPr>
                <w:rFonts w:ascii="Arial" w:hAnsi="Arial" w:cs="Arial"/>
                <w:b/>
              </w:rPr>
            </w:pPr>
            <w:r w:rsidRPr="00FB5E9C">
              <w:rPr>
                <w:rFonts w:ascii="Arial" w:hAnsi="Arial" w:cs="Arial"/>
                <w:b/>
                <w:sz w:val="22"/>
                <w:szCs w:val="22"/>
              </w:rPr>
              <w:t>D.</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MLB2, Anti-Human Globulin and Bromelin</w:t>
            </w:r>
          </w:p>
        </w:tc>
        <w:tc>
          <w:tcPr>
            <w:tcW w:w="882" w:type="pct"/>
          </w:tcPr>
          <w:p w:rsidR="00417ECA" w:rsidRPr="00FB5E9C" w:rsidRDefault="00417ECA" w:rsidP="00FB5E9C">
            <w:pPr>
              <w:jc w:val="center"/>
              <w:rPr>
                <w:rFonts w:ascii="Arial" w:hAnsi="Arial" w:cs="Arial"/>
              </w:rPr>
            </w:pPr>
          </w:p>
        </w:tc>
      </w:tr>
      <w:tr w:rsidR="00417ECA" w:rsidTr="00A90119">
        <w:trPr>
          <w:trHeight w:val="350"/>
        </w:trPr>
        <w:tc>
          <w:tcPr>
            <w:tcW w:w="362" w:type="pct"/>
          </w:tcPr>
          <w:p w:rsidR="00417ECA" w:rsidRPr="00FB5E9C" w:rsidRDefault="00417ECA" w:rsidP="00A63EF7">
            <w:pPr>
              <w:rPr>
                <w:rFonts w:ascii="Arial" w:hAnsi="Arial" w:cs="Arial"/>
              </w:rPr>
            </w:pPr>
            <w:r w:rsidRPr="00FB5E9C">
              <w:rPr>
                <w:rFonts w:ascii="Arial" w:hAnsi="Arial" w:cs="Arial"/>
                <w:sz w:val="22"/>
                <w:szCs w:val="22"/>
              </w:rPr>
              <w:t>1.</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No special preparation is required for these reagents.</w:t>
            </w:r>
          </w:p>
        </w:tc>
        <w:tc>
          <w:tcPr>
            <w:tcW w:w="882" w:type="pct"/>
          </w:tcPr>
          <w:p w:rsidR="00417ECA" w:rsidRPr="00FB5E9C" w:rsidRDefault="00417ECA" w:rsidP="00FB5E9C">
            <w:pPr>
              <w:jc w:val="center"/>
              <w:rPr>
                <w:rFonts w:ascii="Arial" w:hAnsi="Arial" w:cs="Arial"/>
              </w:rPr>
            </w:pPr>
          </w:p>
        </w:tc>
      </w:tr>
      <w:tr w:rsidR="00417ECA" w:rsidTr="00A90119">
        <w:trPr>
          <w:trHeight w:val="359"/>
        </w:trPr>
        <w:tc>
          <w:tcPr>
            <w:tcW w:w="362" w:type="pct"/>
          </w:tcPr>
          <w:p w:rsidR="00417ECA" w:rsidRPr="00FB5E9C" w:rsidRDefault="00417ECA" w:rsidP="00A63EF7">
            <w:pPr>
              <w:rPr>
                <w:rFonts w:ascii="Arial" w:hAnsi="Arial" w:cs="Arial"/>
              </w:rPr>
            </w:pPr>
            <w:r w:rsidRPr="00FB5E9C">
              <w:rPr>
                <w:rFonts w:ascii="Arial" w:hAnsi="Arial" w:cs="Arial"/>
                <w:sz w:val="22"/>
                <w:szCs w:val="22"/>
              </w:rPr>
              <w:t>2.</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Write the open date and time on the label of the reagent.</w:t>
            </w:r>
          </w:p>
        </w:tc>
        <w:tc>
          <w:tcPr>
            <w:tcW w:w="882" w:type="pct"/>
          </w:tcPr>
          <w:p w:rsidR="00417ECA" w:rsidRPr="00FB5E9C" w:rsidRDefault="00417ECA" w:rsidP="00FB5E9C">
            <w:pPr>
              <w:jc w:val="center"/>
              <w:rPr>
                <w:rFonts w:ascii="Arial" w:hAnsi="Arial" w:cs="Arial"/>
              </w:rPr>
            </w:pPr>
          </w:p>
        </w:tc>
      </w:tr>
      <w:tr w:rsidR="00417ECA" w:rsidTr="00A90119">
        <w:trPr>
          <w:trHeight w:val="881"/>
        </w:trPr>
        <w:tc>
          <w:tcPr>
            <w:tcW w:w="362" w:type="pct"/>
          </w:tcPr>
          <w:p w:rsidR="00417ECA" w:rsidRPr="00FB5E9C" w:rsidRDefault="00417ECA" w:rsidP="00A63EF7">
            <w:pPr>
              <w:rPr>
                <w:rFonts w:ascii="Arial" w:hAnsi="Arial" w:cs="Arial"/>
              </w:rPr>
            </w:pPr>
            <w:r w:rsidRPr="00FB5E9C">
              <w:rPr>
                <w:rFonts w:ascii="Arial" w:hAnsi="Arial" w:cs="Arial"/>
                <w:sz w:val="22"/>
                <w:szCs w:val="22"/>
              </w:rPr>
              <w:t>3.</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Remove the cap or dropper, remove any foam or bubbles and place in the racks so that the barcode on the vial is visible through the opening in the side of the rack.</w:t>
            </w:r>
          </w:p>
        </w:tc>
        <w:tc>
          <w:tcPr>
            <w:tcW w:w="882" w:type="pct"/>
          </w:tcPr>
          <w:p w:rsidR="00417ECA" w:rsidRPr="00FB5E9C" w:rsidRDefault="00417ECA" w:rsidP="00FB5E9C">
            <w:pPr>
              <w:jc w:val="center"/>
              <w:rPr>
                <w:rFonts w:ascii="Arial" w:hAnsi="Arial" w:cs="Arial"/>
              </w:rPr>
            </w:pPr>
          </w:p>
        </w:tc>
      </w:tr>
      <w:tr w:rsidR="00417ECA" w:rsidTr="00A90119">
        <w:trPr>
          <w:trHeight w:val="521"/>
        </w:trPr>
        <w:tc>
          <w:tcPr>
            <w:tcW w:w="362" w:type="pct"/>
          </w:tcPr>
          <w:p w:rsidR="00417ECA" w:rsidRPr="00FB5E9C" w:rsidRDefault="00417ECA" w:rsidP="00A63EF7">
            <w:pPr>
              <w:rPr>
                <w:rFonts w:ascii="Arial" w:hAnsi="Arial" w:cs="Arial"/>
              </w:rPr>
            </w:pPr>
            <w:r w:rsidRPr="00FB5E9C">
              <w:rPr>
                <w:rFonts w:ascii="Arial" w:hAnsi="Arial" w:cs="Arial"/>
                <w:sz w:val="22"/>
                <w:szCs w:val="22"/>
              </w:rPr>
              <w:t>4.</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Place the MLB2 and Anti-human Globulin in one rack and the working Bromelin solution in another.</w:t>
            </w:r>
          </w:p>
        </w:tc>
        <w:tc>
          <w:tcPr>
            <w:tcW w:w="882" w:type="pct"/>
          </w:tcPr>
          <w:p w:rsidR="00417ECA" w:rsidRPr="00FB5E9C" w:rsidRDefault="00417ECA" w:rsidP="00FB5E9C">
            <w:pPr>
              <w:jc w:val="center"/>
              <w:rPr>
                <w:rFonts w:ascii="Arial" w:hAnsi="Arial" w:cs="Arial"/>
              </w:rPr>
            </w:pPr>
          </w:p>
        </w:tc>
      </w:tr>
      <w:tr w:rsidR="00417ECA" w:rsidTr="00A90119">
        <w:trPr>
          <w:trHeight w:val="890"/>
        </w:trPr>
        <w:tc>
          <w:tcPr>
            <w:tcW w:w="362" w:type="pct"/>
          </w:tcPr>
          <w:p w:rsidR="00417ECA" w:rsidRPr="00FB5E9C" w:rsidRDefault="00417ECA" w:rsidP="00A63EF7">
            <w:pPr>
              <w:rPr>
                <w:rFonts w:ascii="Arial" w:hAnsi="Arial" w:cs="Arial"/>
              </w:rPr>
            </w:pPr>
            <w:r w:rsidRPr="00FB5E9C">
              <w:rPr>
                <w:rFonts w:ascii="Arial" w:hAnsi="Arial" w:cs="Arial"/>
                <w:sz w:val="22"/>
                <w:szCs w:val="22"/>
              </w:rPr>
              <w:t>5.</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The MLB2 and Anti-human Globulin are good on the TANGO for seven (days) or until expiration, whichever is shorter.  Using one rack for these two reagents will allow tracking of on-board shelf life.</w:t>
            </w:r>
          </w:p>
        </w:tc>
        <w:tc>
          <w:tcPr>
            <w:tcW w:w="882" w:type="pct"/>
          </w:tcPr>
          <w:p w:rsidR="00417ECA" w:rsidRPr="00FB5E9C" w:rsidRDefault="00417ECA" w:rsidP="00FB5E9C">
            <w:pPr>
              <w:jc w:val="center"/>
              <w:rPr>
                <w:rFonts w:ascii="Arial" w:hAnsi="Arial" w:cs="Arial"/>
              </w:rPr>
            </w:pPr>
          </w:p>
        </w:tc>
      </w:tr>
      <w:tr w:rsidR="00417ECA" w:rsidTr="00A90119">
        <w:trPr>
          <w:trHeight w:val="359"/>
        </w:trPr>
        <w:tc>
          <w:tcPr>
            <w:tcW w:w="362" w:type="pct"/>
          </w:tcPr>
          <w:p w:rsidR="00417ECA" w:rsidRPr="00FB5E9C" w:rsidRDefault="00417ECA" w:rsidP="00A63EF7">
            <w:pPr>
              <w:rPr>
                <w:rFonts w:ascii="Arial" w:hAnsi="Arial" w:cs="Arial"/>
              </w:rPr>
            </w:pPr>
            <w:r w:rsidRPr="00FB5E9C">
              <w:rPr>
                <w:rFonts w:ascii="Arial" w:hAnsi="Arial" w:cs="Arial"/>
                <w:sz w:val="22"/>
                <w:szCs w:val="22"/>
              </w:rPr>
              <w:t>6.</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The working Bromelin solution must be replaced every 24 hours.</w:t>
            </w:r>
          </w:p>
        </w:tc>
        <w:tc>
          <w:tcPr>
            <w:tcW w:w="882" w:type="pct"/>
          </w:tcPr>
          <w:p w:rsidR="00417ECA" w:rsidRPr="00FB5E9C" w:rsidRDefault="00417ECA" w:rsidP="00FB5E9C">
            <w:pPr>
              <w:jc w:val="center"/>
              <w:rPr>
                <w:rFonts w:ascii="Arial" w:hAnsi="Arial" w:cs="Arial"/>
              </w:rPr>
            </w:pPr>
          </w:p>
        </w:tc>
      </w:tr>
      <w:tr w:rsidR="00417ECA" w:rsidTr="00A90119">
        <w:trPr>
          <w:trHeight w:val="359"/>
        </w:trPr>
        <w:tc>
          <w:tcPr>
            <w:tcW w:w="362" w:type="pct"/>
          </w:tcPr>
          <w:p w:rsidR="00417ECA" w:rsidRPr="00FB5E9C" w:rsidRDefault="00417ECA" w:rsidP="00A63EF7">
            <w:pPr>
              <w:rPr>
                <w:rFonts w:ascii="Arial" w:hAnsi="Arial" w:cs="Arial"/>
              </w:rPr>
            </w:pPr>
            <w:r w:rsidRPr="00FB5E9C">
              <w:rPr>
                <w:rFonts w:ascii="Arial" w:hAnsi="Arial" w:cs="Arial"/>
                <w:sz w:val="22"/>
                <w:szCs w:val="22"/>
              </w:rPr>
              <w:t>7.</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Load the reagents on to the TANGO following section E below.</w:t>
            </w:r>
          </w:p>
        </w:tc>
        <w:tc>
          <w:tcPr>
            <w:tcW w:w="882" w:type="pct"/>
          </w:tcPr>
          <w:p w:rsidR="00417ECA" w:rsidRPr="00FB5E9C" w:rsidRDefault="00417ECA" w:rsidP="00FB5E9C">
            <w:pPr>
              <w:jc w:val="center"/>
              <w:rPr>
                <w:rFonts w:ascii="Arial" w:hAnsi="Arial" w:cs="Arial"/>
              </w:rPr>
            </w:pPr>
          </w:p>
        </w:tc>
      </w:tr>
      <w:tr w:rsidR="00417ECA" w:rsidTr="00A90119">
        <w:trPr>
          <w:trHeight w:val="341"/>
        </w:trPr>
        <w:tc>
          <w:tcPr>
            <w:tcW w:w="362" w:type="pct"/>
            <w:vAlign w:val="center"/>
          </w:tcPr>
          <w:p w:rsidR="00417ECA" w:rsidRPr="00FB5E9C" w:rsidRDefault="00417ECA" w:rsidP="00A63EF7">
            <w:pPr>
              <w:rPr>
                <w:rFonts w:ascii="Arial" w:hAnsi="Arial" w:cs="Arial"/>
                <w:b/>
              </w:rPr>
            </w:pPr>
            <w:r w:rsidRPr="00FB5E9C">
              <w:rPr>
                <w:rFonts w:ascii="Arial" w:hAnsi="Arial" w:cs="Arial"/>
                <w:b/>
                <w:sz w:val="22"/>
                <w:szCs w:val="22"/>
              </w:rPr>
              <w:t>E.</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Load the reagents</w:t>
            </w:r>
          </w:p>
        </w:tc>
        <w:tc>
          <w:tcPr>
            <w:tcW w:w="882" w:type="pct"/>
          </w:tcPr>
          <w:p w:rsidR="00417ECA" w:rsidRPr="00FB5E9C" w:rsidRDefault="00417ECA" w:rsidP="00FB5E9C">
            <w:pPr>
              <w:jc w:val="center"/>
              <w:rPr>
                <w:rFonts w:ascii="Arial" w:hAnsi="Arial" w:cs="Arial"/>
              </w:rPr>
            </w:pPr>
          </w:p>
        </w:tc>
      </w:tr>
      <w:tr w:rsidR="00417ECA" w:rsidTr="00A90119">
        <w:trPr>
          <w:trHeight w:val="1610"/>
        </w:trPr>
        <w:tc>
          <w:tcPr>
            <w:tcW w:w="362" w:type="pct"/>
          </w:tcPr>
          <w:p w:rsidR="00417ECA" w:rsidRPr="00FB5E9C" w:rsidRDefault="00417ECA" w:rsidP="00A63EF7">
            <w:pPr>
              <w:rPr>
                <w:rFonts w:ascii="Arial" w:hAnsi="Arial" w:cs="Arial"/>
              </w:rPr>
            </w:pPr>
            <w:r w:rsidRPr="00FB5E9C">
              <w:rPr>
                <w:rFonts w:ascii="Arial" w:hAnsi="Arial" w:cs="Arial"/>
                <w:sz w:val="22"/>
                <w:szCs w:val="22"/>
              </w:rPr>
              <w:t>1.</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Open the reagent loading station door.  This opens the ‘Reagent Loading’ window.</w:t>
            </w:r>
          </w:p>
          <w:p w:rsidR="00417ECA" w:rsidRPr="00FB5E9C" w:rsidRDefault="00417ECA" w:rsidP="00FB5E9C">
            <w:pPr>
              <w:pStyle w:val="ListParagraph"/>
              <w:numPr>
                <w:ilvl w:val="0"/>
                <w:numId w:val="23"/>
              </w:numPr>
              <w:rPr>
                <w:rFonts w:ascii="Arial" w:hAnsi="Arial" w:cs="Arial"/>
              </w:rPr>
            </w:pPr>
            <w:r w:rsidRPr="00FB5E9C">
              <w:rPr>
                <w:rFonts w:ascii="Arial" w:hAnsi="Arial" w:cs="Arial"/>
                <w:sz w:val="22"/>
                <w:szCs w:val="22"/>
              </w:rPr>
              <w:t>DO NOT load reagents while loading plates or samples as only one loading window can be displayed at a time.</w:t>
            </w:r>
          </w:p>
          <w:p w:rsidR="00417ECA" w:rsidRPr="00FB5E9C" w:rsidRDefault="00417ECA" w:rsidP="00FB5E9C">
            <w:pPr>
              <w:pStyle w:val="ListParagraph"/>
              <w:numPr>
                <w:ilvl w:val="0"/>
                <w:numId w:val="23"/>
              </w:numPr>
              <w:rPr>
                <w:rFonts w:ascii="Arial" w:hAnsi="Arial" w:cs="Arial"/>
              </w:rPr>
            </w:pPr>
            <w:r w:rsidRPr="00FB5E9C">
              <w:rPr>
                <w:rFonts w:ascii="Arial" w:hAnsi="Arial" w:cs="Arial"/>
                <w:sz w:val="22"/>
                <w:szCs w:val="22"/>
              </w:rPr>
              <w:t>Open the reagent station door briefly when loading cooled reagents to control the temperature in the cooled section.</w:t>
            </w:r>
          </w:p>
        </w:tc>
        <w:tc>
          <w:tcPr>
            <w:tcW w:w="882" w:type="pct"/>
          </w:tcPr>
          <w:p w:rsidR="00417ECA" w:rsidRPr="00FB5E9C" w:rsidRDefault="00417ECA" w:rsidP="00FB5E9C">
            <w:pPr>
              <w:jc w:val="center"/>
              <w:rPr>
                <w:rFonts w:ascii="Arial" w:hAnsi="Arial" w:cs="Arial"/>
              </w:rPr>
            </w:pPr>
          </w:p>
        </w:tc>
      </w:tr>
      <w:tr w:rsidR="00417ECA" w:rsidTr="00A90119">
        <w:trPr>
          <w:trHeight w:val="530"/>
        </w:trPr>
        <w:tc>
          <w:tcPr>
            <w:tcW w:w="362" w:type="pct"/>
          </w:tcPr>
          <w:p w:rsidR="00417ECA" w:rsidRPr="00FB5E9C" w:rsidRDefault="00417ECA" w:rsidP="00A63EF7">
            <w:pPr>
              <w:rPr>
                <w:rFonts w:ascii="Arial" w:hAnsi="Arial" w:cs="Arial"/>
              </w:rPr>
            </w:pPr>
            <w:r w:rsidRPr="00FB5E9C">
              <w:rPr>
                <w:rFonts w:ascii="Arial" w:hAnsi="Arial" w:cs="Arial"/>
                <w:sz w:val="22"/>
                <w:szCs w:val="22"/>
              </w:rPr>
              <w:t>2.</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While loading reagents, touch the ‘Volume Check’ button to perform a volume check once all reagents have been loaded.</w:t>
            </w:r>
          </w:p>
        </w:tc>
        <w:tc>
          <w:tcPr>
            <w:tcW w:w="882" w:type="pct"/>
          </w:tcPr>
          <w:p w:rsidR="00417ECA" w:rsidRPr="00FB5E9C" w:rsidRDefault="00417ECA" w:rsidP="00FB5E9C">
            <w:pPr>
              <w:jc w:val="center"/>
              <w:rPr>
                <w:rFonts w:ascii="Arial" w:hAnsi="Arial" w:cs="Arial"/>
              </w:rPr>
            </w:pPr>
          </w:p>
        </w:tc>
      </w:tr>
      <w:tr w:rsidR="00417ECA" w:rsidTr="00A90119">
        <w:trPr>
          <w:trHeight w:val="539"/>
        </w:trPr>
        <w:tc>
          <w:tcPr>
            <w:tcW w:w="362" w:type="pct"/>
          </w:tcPr>
          <w:p w:rsidR="00417ECA" w:rsidRPr="00FB5E9C" w:rsidRDefault="00417ECA" w:rsidP="00A63EF7">
            <w:pPr>
              <w:rPr>
                <w:rFonts w:ascii="Arial" w:hAnsi="Arial" w:cs="Arial"/>
              </w:rPr>
            </w:pPr>
            <w:r w:rsidRPr="00FB5E9C">
              <w:rPr>
                <w:rFonts w:ascii="Arial" w:hAnsi="Arial" w:cs="Arial"/>
                <w:sz w:val="22"/>
                <w:szCs w:val="22"/>
              </w:rPr>
              <w:t>3.</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The 5 tracks of the reagent station are depicted on the screen in the ‘Reagent Loading’ window.</w:t>
            </w:r>
          </w:p>
        </w:tc>
        <w:tc>
          <w:tcPr>
            <w:tcW w:w="882" w:type="pct"/>
          </w:tcPr>
          <w:p w:rsidR="00417ECA" w:rsidRPr="00FB5E9C" w:rsidRDefault="00417ECA" w:rsidP="00FB5E9C">
            <w:pPr>
              <w:jc w:val="center"/>
              <w:rPr>
                <w:rFonts w:ascii="Arial" w:hAnsi="Arial" w:cs="Arial"/>
              </w:rPr>
            </w:pPr>
          </w:p>
        </w:tc>
      </w:tr>
      <w:tr w:rsidR="00417ECA" w:rsidTr="00A90119">
        <w:trPr>
          <w:trHeight w:val="881"/>
        </w:trPr>
        <w:tc>
          <w:tcPr>
            <w:tcW w:w="362" w:type="pct"/>
          </w:tcPr>
          <w:p w:rsidR="00417ECA" w:rsidRPr="00FB5E9C" w:rsidRDefault="00417ECA" w:rsidP="00A63EF7">
            <w:pPr>
              <w:rPr>
                <w:rFonts w:ascii="Arial" w:hAnsi="Arial" w:cs="Arial"/>
              </w:rPr>
            </w:pPr>
            <w:r w:rsidRPr="00FB5E9C">
              <w:rPr>
                <w:rFonts w:ascii="Arial" w:hAnsi="Arial" w:cs="Arial"/>
                <w:sz w:val="22"/>
                <w:szCs w:val="22"/>
              </w:rPr>
              <w:t>4.</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The system indicates the position for the next rack to be inserted by a flashing red LED light.  This position will always be the first empty position from the left.</w:t>
            </w:r>
          </w:p>
        </w:tc>
        <w:tc>
          <w:tcPr>
            <w:tcW w:w="882" w:type="pct"/>
          </w:tcPr>
          <w:p w:rsidR="00417ECA" w:rsidRPr="00FB5E9C" w:rsidRDefault="00417ECA" w:rsidP="00FB5E9C">
            <w:pPr>
              <w:jc w:val="center"/>
              <w:rPr>
                <w:rFonts w:ascii="Arial" w:hAnsi="Arial" w:cs="Arial"/>
              </w:rPr>
            </w:pPr>
          </w:p>
        </w:tc>
      </w:tr>
      <w:tr w:rsidR="00417ECA" w:rsidTr="00A90119">
        <w:trPr>
          <w:trHeight w:val="539"/>
        </w:trPr>
        <w:tc>
          <w:tcPr>
            <w:tcW w:w="362" w:type="pct"/>
          </w:tcPr>
          <w:p w:rsidR="00417ECA" w:rsidRPr="00FB5E9C" w:rsidRDefault="00417ECA" w:rsidP="00A63EF7">
            <w:pPr>
              <w:rPr>
                <w:rFonts w:ascii="Arial" w:hAnsi="Arial" w:cs="Arial"/>
              </w:rPr>
            </w:pPr>
            <w:r w:rsidRPr="00FB5E9C">
              <w:rPr>
                <w:rFonts w:ascii="Arial" w:hAnsi="Arial" w:cs="Arial"/>
                <w:sz w:val="22"/>
                <w:szCs w:val="22"/>
              </w:rPr>
              <w:t>5.</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Hold the rack by the handle and place it on the track indicated by the flashing LED.</w:t>
            </w:r>
          </w:p>
        </w:tc>
        <w:tc>
          <w:tcPr>
            <w:tcW w:w="882" w:type="pct"/>
          </w:tcPr>
          <w:p w:rsidR="00417ECA" w:rsidRPr="00FB5E9C" w:rsidRDefault="00417ECA" w:rsidP="00FB5E9C">
            <w:pPr>
              <w:jc w:val="center"/>
              <w:rPr>
                <w:rFonts w:ascii="Arial" w:hAnsi="Arial" w:cs="Arial"/>
              </w:rPr>
            </w:pPr>
          </w:p>
        </w:tc>
      </w:tr>
      <w:tr w:rsidR="00417ECA" w:rsidTr="00A90119">
        <w:trPr>
          <w:trHeight w:val="701"/>
        </w:trPr>
        <w:tc>
          <w:tcPr>
            <w:tcW w:w="362" w:type="pct"/>
          </w:tcPr>
          <w:p w:rsidR="00417ECA" w:rsidRPr="00FB5E9C" w:rsidRDefault="00417ECA" w:rsidP="00A63EF7">
            <w:pPr>
              <w:rPr>
                <w:rFonts w:ascii="Arial" w:hAnsi="Arial" w:cs="Arial"/>
              </w:rPr>
            </w:pPr>
            <w:r w:rsidRPr="00FB5E9C">
              <w:rPr>
                <w:rFonts w:ascii="Arial" w:hAnsi="Arial" w:cs="Arial"/>
                <w:sz w:val="22"/>
                <w:szCs w:val="22"/>
              </w:rPr>
              <w:t>6.</w:t>
            </w:r>
          </w:p>
        </w:tc>
        <w:tc>
          <w:tcPr>
            <w:tcW w:w="3756" w:type="pct"/>
            <w:vAlign w:val="center"/>
          </w:tcPr>
          <w:p w:rsidR="00417ECA" w:rsidRPr="00FB5E9C" w:rsidRDefault="00417ECA" w:rsidP="004B0247">
            <w:pPr>
              <w:rPr>
                <w:rFonts w:ascii="Arial" w:hAnsi="Arial" w:cs="Arial"/>
              </w:rPr>
            </w:pPr>
            <w:r w:rsidRPr="00FB5E9C">
              <w:rPr>
                <w:rFonts w:ascii="Arial" w:hAnsi="Arial" w:cs="Arial"/>
                <w:sz w:val="22"/>
                <w:szCs w:val="22"/>
              </w:rPr>
              <w:t>Push the rack all the way in to the instrument until the tappet is seated in the back of the reagent area.</w:t>
            </w:r>
          </w:p>
        </w:tc>
        <w:tc>
          <w:tcPr>
            <w:tcW w:w="882" w:type="pct"/>
          </w:tcPr>
          <w:p w:rsidR="00417ECA" w:rsidRPr="00FB5E9C" w:rsidRDefault="00417ECA" w:rsidP="00FB5E9C">
            <w:pPr>
              <w:jc w:val="center"/>
              <w:rPr>
                <w:rFonts w:ascii="Arial" w:hAnsi="Arial" w:cs="Arial"/>
              </w:rPr>
            </w:pPr>
          </w:p>
        </w:tc>
      </w:tr>
      <w:tr w:rsidR="00417ECA" w:rsidTr="00A90119">
        <w:trPr>
          <w:trHeight w:val="1799"/>
        </w:trPr>
        <w:tc>
          <w:tcPr>
            <w:tcW w:w="362" w:type="pct"/>
          </w:tcPr>
          <w:p w:rsidR="00417ECA" w:rsidRPr="00FB5E9C" w:rsidRDefault="00417ECA" w:rsidP="00A63EF7">
            <w:pPr>
              <w:rPr>
                <w:rFonts w:ascii="Arial" w:hAnsi="Arial" w:cs="Arial"/>
              </w:rPr>
            </w:pPr>
            <w:r w:rsidRPr="00FB5E9C">
              <w:rPr>
                <w:rFonts w:ascii="Arial" w:hAnsi="Arial" w:cs="Arial"/>
                <w:sz w:val="22"/>
                <w:szCs w:val="22"/>
              </w:rPr>
              <w:t>7.</w:t>
            </w:r>
          </w:p>
        </w:tc>
        <w:tc>
          <w:tcPr>
            <w:tcW w:w="3756" w:type="pct"/>
            <w:vAlign w:val="center"/>
          </w:tcPr>
          <w:p w:rsidR="00417ECA" w:rsidRPr="00FB5E9C" w:rsidRDefault="00417ECA" w:rsidP="003E27C9">
            <w:pPr>
              <w:rPr>
                <w:rFonts w:ascii="Arial" w:hAnsi="Arial" w:cs="Arial"/>
              </w:rPr>
            </w:pPr>
            <w:r w:rsidRPr="00FB5E9C">
              <w:rPr>
                <w:rFonts w:ascii="Arial" w:hAnsi="Arial" w:cs="Arial"/>
                <w:sz w:val="22"/>
                <w:szCs w:val="22"/>
              </w:rPr>
              <w:t>The rack will be displayed on the screen and the information on the barcode is read and displayed in the text boxes.</w:t>
            </w:r>
          </w:p>
          <w:p w:rsidR="00417ECA" w:rsidRPr="00FB5E9C" w:rsidRDefault="00417ECA" w:rsidP="00FB5E9C">
            <w:pPr>
              <w:pStyle w:val="ListParagraph"/>
              <w:numPr>
                <w:ilvl w:val="0"/>
                <w:numId w:val="27"/>
              </w:numPr>
              <w:rPr>
                <w:rFonts w:ascii="Arial" w:hAnsi="Arial" w:cs="Arial"/>
              </w:rPr>
            </w:pPr>
            <w:r w:rsidRPr="00FB5E9C">
              <w:rPr>
                <w:rFonts w:ascii="Arial" w:hAnsi="Arial" w:cs="Arial"/>
                <w:sz w:val="22"/>
                <w:szCs w:val="22"/>
              </w:rPr>
              <w:t>Lot No. – 9 digit reagent lot number</w:t>
            </w:r>
          </w:p>
          <w:p w:rsidR="00417ECA" w:rsidRPr="00FB5E9C" w:rsidRDefault="00417ECA" w:rsidP="00FB5E9C">
            <w:pPr>
              <w:pStyle w:val="ListParagraph"/>
              <w:numPr>
                <w:ilvl w:val="0"/>
                <w:numId w:val="27"/>
              </w:numPr>
              <w:rPr>
                <w:rFonts w:ascii="Arial" w:hAnsi="Arial" w:cs="Arial"/>
              </w:rPr>
            </w:pPr>
            <w:r w:rsidRPr="00FB5E9C">
              <w:rPr>
                <w:rFonts w:ascii="Arial" w:hAnsi="Arial" w:cs="Arial"/>
                <w:sz w:val="22"/>
                <w:szCs w:val="22"/>
              </w:rPr>
              <w:t>Expiry date – expiration date</w:t>
            </w:r>
          </w:p>
          <w:p w:rsidR="00417ECA" w:rsidRPr="00FB5E9C" w:rsidRDefault="00417ECA" w:rsidP="00FB5E9C">
            <w:pPr>
              <w:pStyle w:val="ListParagraph"/>
              <w:numPr>
                <w:ilvl w:val="0"/>
                <w:numId w:val="24"/>
              </w:numPr>
              <w:rPr>
                <w:rFonts w:ascii="Arial" w:hAnsi="Arial" w:cs="Arial"/>
              </w:rPr>
            </w:pPr>
            <w:r w:rsidRPr="00FB5E9C">
              <w:rPr>
                <w:rFonts w:ascii="Arial" w:hAnsi="Arial" w:cs="Arial"/>
                <w:sz w:val="22"/>
                <w:szCs w:val="22"/>
              </w:rPr>
              <w:t>Volume in % - Shows the volume in %.  This will automatically be 100% unless volume check is selected in E.2. above.  After volume check is completed, this field will be updated.</w:t>
            </w:r>
          </w:p>
        </w:tc>
        <w:tc>
          <w:tcPr>
            <w:tcW w:w="882" w:type="pct"/>
          </w:tcPr>
          <w:p w:rsidR="00417ECA" w:rsidRPr="00FB5E9C" w:rsidRDefault="00417ECA" w:rsidP="00FB5E9C">
            <w:pPr>
              <w:jc w:val="center"/>
              <w:rPr>
                <w:rFonts w:ascii="Arial" w:hAnsi="Arial" w:cs="Arial"/>
              </w:rPr>
            </w:pPr>
          </w:p>
        </w:tc>
      </w:tr>
      <w:tr w:rsidR="00417ECA" w:rsidTr="00A90119">
        <w:trPr>
          <w:trHeight w:val="1943"/>
        </w:trPr>
        <w:tc>
          <w:tcPr>
            <w:tcW w:w="362" w:type="pct"/>
          </w:tcPr>
          <w:p w:rsidR="00417ECA" w:rsidRPr="00FB5E9C" w:rsidRDefault="00417ECA" w:rsidP="00A63EF7">
            <w:pPr>
              <w:rPr>
                <w:rFonts w:ascii="Arial" w:hAnsi="Arial" w:cs="Arial"/>
              </w:rPr>
            </w:pPr>
            <w:r w:rsidRPr="00FB5E9C">
              <w:rPr>
                <w:rFonts w:ascii="Arial" w:hAnsi="Arial" w:cs="Arial"/>
                <w:sz w:val="22"/>
                <w:szCs w:val="22"/>
              </w:rPr>
              <w:t>8.</w:t>
            </w:r>
          </w:p>
        </w:tc>
        <w:tc>
          <w:tcPr>
            <w:tcW w:w="3756" w:type="pct"/>
            <w:vAlign w:val="center"/>
          </w:tcPr>
          <w:p w:rsidR="00417ECA" w:rsidRPr="00FB5E9C" w:rsidRDefault="00417ECA" w:rsidP="003E27C9">
            <w:pPr>
              <w:rPr>
                <w:rFonts w:ascii="Arial" w:hAnsi="Arial" w:cs="Arial"/>
              </w:rPr>
            </w:pPr>
            <w:r w:rsidRPr="00FB5E9C">
              <w:rPr>
                <w:rFonts w:ascii="Arial" w:hAnsi="Arial" w:cs="Arial"/>
                <w:sz w:val="22"/>
                <w:szCs w:val="22"/>
              </w:rPr>
              <w:t xml:space="preserve">If the barcode cannot be read properly or there is no barcode, the information can be manually entered or a hand held scanner can be used. </w:t>
            </w:r>
          </w:p>
          <w:p w:rsidR="00417ECA" w:rsidRPr="00FB5E9C" w:rsidRDefault="00417ECA" w:rsidP="00FB5E9C">
            <w:pPr>
              <w:pStyle w:val="ListParagraph"/>
              <w:numPr>
                <w:ilvl w:val="0"/>
                <w:numId w:val="24"/>
              </w:numPr>
              <w:rPr>
                <w:rFonts w:ascii="Arial" w:hAnsi="Arial" w:cs="Arial"/>
              </w:rPr>
            </w:pPr>
            <w:r w:rsidRPr="00FB5E9C">
              <w:rPr>
                <w:rFonts w:ascii="Arial" w:hAnsi="Arial" w:cs="Arial"/>
                <w:sz w:val="22"/>
                <w:szCs w:val="22"/>
              </w:rPr>
              <w:t>Touch the ‘Manual Input’ button.</w:t>
            </w:r>
          </w:p>
          <w:p w:rsidR="00417ECA" w:rsidRPr="00FB5E9C" w:rsidRDefault="00417ECA" w:rsidP="00FB5E9C">
            <w:pPr>
              <w:pStyle w:val="ListParagraph"/>
              <w:numPr>
                <w:ilvl w:val="0"/>
                <w:numId w:val="24"/>
              </w:numPr>
              <w:rPr>
                <w:rFonts w:ascii="Arial" w:hAnsi="Arial" w:cs="Arial"/>
              </w:rPr>
            </w:pPr>
            <w:r w:rsidRPr="00FB5E9C">
              <w:rPr>
                <w:rFonts w:ascii="Arial" w:hAnsi="Arial" w:cs="Arial"/>
                <w:sz w:val="22"/>
                <w:szCs w:val="22"/>
              </w:rPr>
              <w:t>Enter the information manually or use a hand held scanner.</w:t>
            </w:r>
          </w:p>
          <w:p w:rsidR="00417ECA" w:rsidRPr="00FB5E9C" w:rsidRDefault="00417ECA" w:rsidP="00FB5E9C">
            <w:pPr>
              <w:pStyle w:val="ListParagraph"/>
              <w:numPr>
                <w:ilvl w:val="0"/>
                <w:numId w:val="24"/>
              </w:numPr>
              <w:rPr>
                <w:rFonts w:ascii="Arial" w:hAnsi="Arial" w:cs="Arial"/>
              </w:rPr>
            </w:pPr>
            <w:r w:rsidRPr="00FB5E9C">
              <w:rPr>
                <w:rFonts w:ascii="Arial" w:hAnsi="Arial" w:cs="Arial"/>
                <w:sz w:val="22"/>
                <w:szCs w:val="22"/>
              </w:rPr>
              <w:t>If the rack was removed to enter information, re-insert the rack.</w:t>
            </w:r>
          </w:p>
          <w:p w:rsidR="00417ECA" w:rsidRPr="00FB5E9C" w:rsidRDefault="00417ECA" w:rsidP="00FB5E9C">
            <w:pPr>
              <w:pStyle w:val="ListParagraph"/>
              <w:numPr>
                <w:ilvl w:val="0"/>
                <w:numId w:val="24"/>
              </w:numPr>
              <w:rPr>
                <w:rFonts w:ascii="Arial" w:hAnsi="Arial" w:cs="Arial"/>
              </w:rPr>
            </w:pPr>
            <w:r w:rsidRPr="00FB5E9C">
              <w:rPr>
                <w:rFonts w:ascii="Arial" w:hAnsi="Arial" w:cs="Arial"/>
                <w:sz w:val="22"/>
                <w:szCs w:val="22"/>
              </w:rPr>
              <w:t>If the rack was not removed, touch the ‘Accept Input’ button to save the information.</w:t>
            </w:r>
          </w:p>
        </w:tc>
        <w:tc>
          <w:tcPr>
            <w:tcW w:w="882" w:type="pct"/>
          </w:tcPr>
          <w:p w:rsidR="00417ECA" w:rsidRPr="00FB5E9C" w:rsidRDefault="00417ECA" w:rsidP="00FB5E9C">
            <w:pPr>
              <w:jc w:val="center"/>
              <w:rPr>
                <w:rFonts w:ascii="Arial" w:hAnsi="Arial" w:cs="Arial"/>
              </w:rPr>
            </w:pPr>
          </w:p>
        </w:tc>
      </w:tr>
      <w:tr w:rsidR="00417ECA" w:rsidTr="00A90119">
        <w:trPr>
          <w:trHeight w:val="350"/>
        </w:trPr>
        <w:tc>
          <w:tcPr>
            <w:tcW w:w="362" w:type="pct"/>
          </w:tcPr>
          <w:p w:rsidR="00417ECA" w:rsidRPr="00FB5E9C" w:rsidRDefault="00417ECA" w:rsidP="00A63EF7">
            <w:pPr>
              <w:rPr>
                <w:rFonts w:ascii="Arial" w:hAnsi="Arial" w:cs="Arial"/>
              </w:rPr>
            </w:pPr>
            <w:r w:rsidRPr="00FB5E9C">
              <w:rPr>
                <w:rFonts w:ascii="Arial" w:hAnsi="Arial" w:cs="Arial"/>
                <w:sz w:val="22"/>
                <w:szCs w:val="22"/>
              </w:rPr>
              <w:t>9.</w:t>
            </w:r>
          </w:p>
        </w:tc>
        <w:tc>
          <w:tcPr>
            <w:tcW w:w="3756" w:type="pct"/>
            <w:vAlign w:val="center"/>
          </w:tcPr>
          <w:p w:rsidR="00417ECA" w:rsidRPr="00FB5E9C" w:rsidRDefault="00417ECA" w:rsidP="003E27C9">
            <w:pPr>
              <w:rPr>
                <w:rFonts w:ascii="Arial" w:hAnsi="Arial" w:cs="Arial"/>
              </w:rPr>
            </w:pPr>
            <w:r w:rsidRPr="00FB5E9C">
              <w:rPr>
                <w:rFonts w:ascii="Arial" w:hAnsi="Arial" w:cs="Arial"/>
                <w:sz w:val="22"/>
                <w:szCs w:val="22"/>
              </w:rPr>
              <w:t>Once all reagents are loaded, close the reagent loading door.</w:t>
            </w:r>
          </w:p>
        </w:tc>
        <w:tc>
          <w:tcPr>
            <w:tcW w:w="882" w:type="pct"/>
          </w:tcPr>
          <w:p w:rsidR="00417ECA" w:rsidRPr="00FB5E9C" w:rsidRDefault="00417ECA" w:rsidP="00FB5E9C">
            <w:pPr>
              <w:jc w:val="center"/>
              <w:rPr>
                <w:rFonts w:ascii="Arial" w:hAnsi="Arial" w:cs="Arial"/>
              </w:rPr>
            </w:pPr>
          </w:p>
        </w:tc>
      </w:tr>
      <w:tr w:rsidR="00417ECA" w:rsidTr="00A90119">
        <w:trPr>
          <w:trHeight w:val="890"/>
        </w:trPr>
        <w:tc>
          <w:tcPr>
            <w:tcW w:w="362" w:type="pct"/>
          </w:tcPr>
          <w:p w:rsidR="00417ECA" w:rsidRPr="00FB5E9C" w:rsidRDefault="00417ECA" w:rsidP="00A63EF7">
            <w:pPr>
              <w:rPr>
                <w:rFonts w:ascii="Arial" w:hAnsi="Arial" w:cs="Arial"/>
              </w:rPr>
            </w:pPr>
            <w:r w:rsidRPr="00FB5E9C">
              <w:rPr>
                <w:rFonts w:ascii="Arial" w:hAnsi="Arial" w:cs="Arial"/>
                <w:sz w:val="22"/>
                <w:szCs w:val="22"/>
              </w:rPr>
              <w:t>10.</w:t>
            </w:r>
          </w:p>
        </w:tc>
        <w:tc>
          <w:tcPr>
            <w:tcW w:w="3756" w:type="pct"/>
            <w:vAlign w:val="center"/>
          </w:tcPr>
          <w:p w:rsidR="00417ECA" w:rsidRPr="00FB5E9C" w:rsidRDefault="00417ECA" w:rsidP="003E27C9">
            <w:pPr>
              <w:rPr>
                <w:rFonts w:ascii="Arial" w:hAnsi="Arial" w:cs="Arial"/>
              </w:rPr>
            </w:pPr>
            <w:r w:rsidRPr="00FB5E9C">
              <w:rPr>
                <w:rFonts w:ascii="Arial" w:hAnsi="Arial" w:cs="Arial"/>
                <w:sz w:val="22"/>
                <w:szCs w:val="22"/>
              </w:rPr>
              <w:t>If the ‘Volume Check’ button was selected in E.2. above, the TANGO will perform a volume check on all reagents which have not previously had a volume check.</w:t>
            </w:r>
          </w:p>
        </w:tc>
        <w:tc>
          <w:tcPr>
            <w:tcW w:w="882" w:type="pct"/>
          </w:tcPr>
          <w:p w:rsidR="00417ECA" w:rsidRPr="00FB5E9C" w:rsidRDefault="00417ECA" w:rsidP="00FB5E9C">
            <w:pPr>
              <w:jc w:val="center"/>
              <w:rPr>
                <w:rFonts w:ascii="Arial" w:hAnsi="Arial" w:cs="Arial"/>
              </w:rPr>
            </w:pPr>
          </w:p>
        </w:tc>
      </w:tr>
      <w:tr w:rsidR="00417ECA" w:rsidTr="00A90119">
        <w:trPr>
          <w:trHeight w:val="350"/>
        </w:trPr>
        <w:tc>
          <w:tcPr>
            <w:tcW w:w="362" w:type="pct"/>
          </w:tcPr>
          <w:p w:rsidR="00417ECA" w:rsidRPr="00FB5E9C" w:rsidRDefault="00417ECA" w:rsidP="00A63EF7">
            <w:pPr>
              <w:rPr>
                <w:rFonts w:ascii="Arial" w:hAnsi="Arial" w:cs="Arial"/>
                <w:b/>
              </w:rPr>
            </w:pPr>
            <w:r w:rsidRPr="00FB5E9C">
              <w:rPr>
                <w:rFonts w:ascii="Arial" w:hAnsi="Arial" w:cs="Arial"/>
                <w:b/>
                <w:sz w:val="22"/>
                <w:szCs w:val="22"/>
              </w:rPr>
              <w:t>F.</w:t>
            </w:r>
          </w:p>
        </w:tc>
        <w:tc>
          <w:tcPr>
            <w:tcW w:w="3756" w:type="pct"/>
            <w:vAlign w:val="center"/>
          </w:tcPr>
          <w:p w:rsidR="00417ECA" w:rsidRPr="00FB5E9C" w:rsidRDefault="00417ECA" w:rsidP="003E27C9">
            <w:pPr>
              <w:rPr>
                <w:rFonts w:ascii="Arial" w:hAnsi="Arial" w:cs="Arial"/>
              </w:rPr>
            </w:pPr>
            <w:r w:rsidRPr="00FB5E9C">
              <w:rPr>
                <w:rFonts w:ascii="Arial" w:hAnsi="Arial" w:cs="Arial"/>
                <w:sz w:val="22"/>
                <w:szCs w:val="22"/>
              </w:rPr>
              <w:t>To edit the on-board shelf life</w:t>
            </w:r>
          </w:p>
        </w:tc>
        <w:tc>
          <w:tcPr>
            <w:tcW w:w="882" w:type="pct"/>
          </w:tcPr>
          <w:p w:rsidR="00417ECA" w:rsidRPr="00FB5E9C" w:rsidRDefault="00417ECA" w:rsidP="00FB5E9C">
            <w:pPr>
              <w:jc w:val="center"/>
              <w:rPr>
                <w:rFonts w:ascii="Arial" w:hAnsi="Arial" w:cs="Arial"/>
              </w:rPr>
            </w:pPr>
          </w:p>
        </w:tc>
      </w:tr>
      <w:tr w:rsidR="00417ECA" w:rsidTr="00A90119">
        <w:trPr>
          <w:trHeight w:val="530"/>
        </w:trPr>
        <w:tc>
          <w:tcPr>
            <w:tcW w:w="362" w:type="pct"/>
          </w:tcPr>
          <w:p w:rsidR="00417ECA" w:rsidRPr="00FB5E9C" w:rsidRDefault="00417ECA" w:rsidP="00A63EF7">
            <w:pPr>
              <w:rPr>
                <w:rFonts w:ascii="Arial" w:hAnsi="Arial" w:cs="Arial"/>
              </w:rPr>
            </w:pPr>
            <w:r w:rsidRPr="00FB5E9C">
              <w:rPr>
                <w:rFonts w:ascii="Arial" w:hAnsi="Arial" w:cs="Arial"/>
                <w:sz w:val="22"/>
                <w:szCs w:val="22"/>
              </w:rPr>
              <w:t>1.</w:t>
            </w:r>
          </w:p>
        </w:tc>
        <w:tc>
          <w:tcPr>
            <w:tcW w:w="3756" w:type="pct"/>
            <w:vAlign w:val="center"/>
          </w:tcPr>
          <w:p w:rsidR="00417ECA" w:rsidRPr="00FB5E9C" w:rsidRDefault="00417ECA" w:rsidP="003E27C9">
            <w:pPr>
              <w:rPr>
                <w:rFonts w:ascii="Arial" w:hAnsi="Arial" w:cs="Arial"/>
              </w:rPr>
            </w:pPr>
            <w:r w:rsidRPr="00FB5E9C">
              <w:rPr>
                <w:rFonts w:ascii="Arial" w:hAnsi="Arial" w:cs="Arial"/>
                <w:sz w:val="22"/>
                <w:szCs w:val="22"/>
              </w:rPr>
              <w:t>Touch the Shelf life (h) button that contains the current on board shelf left.  This opens the ‘Shelf Life Correction’ window.</w:t>
            </w:r>
          </w:p>
        </w:tc>
        <w:tc>
          <w:tcPr>
            <w:tcW w:w="882" w:type="pct"/>
          </w:tcPr>
          <w:p w:rsidR="00417ECA" w:rsidRPr="00FB5E9C" w:rsidRDefault="00417ECA" w:rsidP="00FB5E9C">
            <w:pPr>
              <w:jc w:val="center"/>
              <w:rPr>
                <w:rFonts w:ascii="Arial" w:hAnsi="Arial" w:cs="Arial"/>
              </w:rPr>
            </w:pPr>
          </w:p>
        </w:tc>
      </w:tr>
      <w:tr w:rsidR="00417ECA" w:rsidTr="00A90119">
        <w:tc>
          <w:tcPr>
            <w:tcW w:w="362" w:type="pct"/>
          </w:tcPr>
          <w:p w:rsidR="00417ECA" w:rsidRPr="00FB5E9C" w:rsidRDefault="00417ECA" w:rsidP="00A63EF7">
            <w:pPr>
              <w:rPr>
                <w:rFonts w:ascii="Arial" w:hAnsi="Arial" w:cs="Arial"/>
              </w:rPr>
            </w:pPr>
            <w:r w:rsidRPr="00FB5E9C">
              <w:rPr>
                <w:rFonts w:ascii="Arial" w:hAnsi="Arial" w:cs="Arial"/>
                <w:sz w:val="22"/>
                <w:szCs w:val="22"/>
              </w:rPr>
              <w:t>2.</w:t>
            </w:r>
          </w:p>
        </w:tc>
        <w:tc>
          <w:tcPr>
            <w:tcW w:w="3756" w:type="pct"/>
            <w:vAlign w:val="center"/>
          </w:tcPr>
          <w:p w:rsidR="00417ECA" w:rsidRPr="00FB5E9C" w:rsidRDefault="00417ECA" w:rsidP="003E27C9">
            <w:pPr>
              <w:rPr>
                <w:rFonts w:ascii="Arial" w:hAnsi="Arial" w:cs="Arial"/>
              </w:rPr>
            </w:pPr>
            <w:r w:rsidRPr="00FB5E9C">
              <w:rPr>
                <w:rFonts w:ascii="Arial" w:hAnsi="Arial" w:cs="Arial"/>
                <w:sz w:val="22"/>
                <w:szCs w:val="22"/>
              </w:rPr>
              <w:t>Enter the correct shelf life in hours and touch the ‘OK’ button.</w:t>
            </w:r>
          </w:p>
          <w:p w:rsidR="00417ECA" w:rsidRPr="00A90119" w:rsidRDefault="00417ECA" w:rsidP="00A90119">
            <w:pPr>
              <w:numPr>
                <w:ilvl w:val="0"/>
                <w:numId w:val="32"/>
              </w:numPr>
              <w:rPr>
                <w:rFonts w:ascii="Arial" w:hAnsi="Arial" w:cs="Arial"/>
                <w:i/>
              </w:rPr>
            </w:pPr>
            <w:r w:rsidRPr="00A90119">
              <w:rPr>
                <w:rFonts w:ascii="Arial" w:hAnsi="Arial" w:cs="Arial"/>
                <w:b/>
                <w:i/>
                <w:sz w:val="22"/>
                <w:szCs w:val="22"/>
              </w:rPr>
              <w:t>NOTE:</w:t>
            </w:r>
            <w:r w:rsidRPr="00A90119">
              <w:rPr>
                <w:rFonts w:ascii="Arial" w:hAnsi="Arial" w:cs="Arial"/>
                <w:i/>
                <w:sz w:val="22"/>
                <w:szCs w:val="22"/>
              </w:rPr>
              <w:t xml:space="preserve">  The shelf life that is entered must be a number less than what is currently displayed.</w:t>
            </w:r>
          </w:p>
        </w:tc>
        <w:tc>
          <w:tcPr>
            <w:tcW w:w="882" w:type="pct"/>
          </w:tcPr>
          <w:p w:rsidR="00417ECA" w:rsidRPr="00FB5E9C" w:rsidRDefault="00417ECA" w:rsidP="00A90119">
            <w:pPr>
              <w:rPr>
                <w:rFonts w:ascii="Arial" w:hAnsi="Arial" w:cs="Arial"/>
              </w:rPr>
            </w:pPr>
            <w:r w:rsidRPr="00FB5E9C">
              <w:rPr>
                <w:rFonts w:ascii="Arial" w:hAnsi="Arial" w:cs="Arial"/>
                <w:sz w:val="22"/>
                <w:szCs w:val="22"/>
              </w:rPr>
              <w:t>Reagent Shelf Life SOP</w:t>
            </w:r>
          </w:p>
        </w:tc>
      </w:tr>
    </w:tbl>
    <w:p w:rsidR="00417ECA" w:rsidRDefault="00417ECA" w:rsidP="008031B5">
      <w:pPr>
        <w:rPr>
          <w:rFonts w:ascii="Arial" w:hAnsi="Arial" w:cs="Arial"/>
          <w:b/>
          <w:sz w:val="22"/>
          <w:szCs w:val="22"/>
        </w:rPr>
      </w:pPr>
    </w:p>
    <w:p w:rsidR="00417ECA" w:rsidRPr="00484060" w:rsidRDefault="00417ECA" w:rsidP="008031B5">
      <w:pPr>
        <w:rPr>
          <w:rFonts w:ascii="Arial" w:hAnsi="Arial" w:cs="Arial"/>
          <w:b/>
          <w:sz w:val="22"/>
          <w:szCs w:val="22"/>
        </w:rPr>
      </w:pPr>
      <w:r w:rsidRPr="00484060">
        <w:rPr>
          <w:rFonts w:ascii="Arial" w:hAnsi="Arial" w:cs="Arial"/>
          <w:b/>
          <w:sz w:val="22"/>
          <w:szCs w:val="22"/>
        </w:rPr>
        <w:t>Referenced Documents:</w:t>
      </w:r>
    </w:p>
    <w:p w:rsidR="00417ECA" w:rsidRPr="00484060" w:rsidRDefault="00417ECA" w:rsidP="008031B5">
      <w:pPr>
        <w:rPr>
          <w:rFonts w:ascii="Arial" w:hAnsi="Arial" w:cs="Arial"/>
          <w:sz w:val="22"/>
          <w:szCs w:val="22"/>
        </w:rPr>
      </w:pPr>
      <w:r w:rsidRPr="00484060">
        <w:rPr>
          <w:rFonts w:ascii="Arial" w:hAnsi="Arial" w:cs="Arial"/>
          <w:sz w:val="22"/>
          <w:szCs w:val="22"/>
        </w:rPr>
        <w:tab/>
        <w:t>TANGO User Guide, Version 3.0.2</w:t>
      </w:r>
    </w:p>
    <w:p w:rsidR="00417ECA" w:rsidRDefault="00417ECA" w:rsidP="00A63EF7">
      <w:pPr>
        <w:ind w:left="1080"/>
        <w:rPr>
          <w:rFonts w:ascii="Arial" w:hAnsi="Arial" w:cs="Arial"/>
          <w:sz w:val="22"/>
          <w:szCs w:val="22"/>
        </w:rPr>
      </w:pPr>
    </w:p>
    <w:p w:rsidR="00417ECA" w:rsidRDefault="00417ECA" w:rsidP="00A63EF7">
      <w:pPr>
        <w:ind w:left="1080"/>
        <w:rPr>
          <w:rFonts w:ascii="Arial" w:hAnsi="Arial" w:cs="Arial"/>
          <w:sz w:val="22"/>
          <w:szCs w:val="22"/>
        </w:rPr>
      </w:pPr>
    </w:p>
    <w:p w:rsidR="00417ECA" w:rsidRDefault="00417ECA" w:rsidP="00A63EF7">
      <w:pPr>
        <w:ind w:left="1080"/>
        <w:rPr>
          <w:rFonts w:ascii="Arial" w:hAnsi="Arial" w:cs="Arial"/>
          <w:sz w:val="22"/>
          <w:szCs w:val="22"/>
        </w:rPr>
      </w:pPr>
    </w:p>
    <w:p w:rsidR="00417ECA" w:rsidRDefault="00417ECA" w:rsidP="00A63EF7">
      <w:pPr>
        <w:ind w:left="1080"/>
        <w:rPr>
          <w:rFonts w:ascii="Arial" w:hAnsi="Arial" w:cs="Arial"/>
          <w:sz w:val="22"/>
          <w:szCs w:val="22"/>
        </w:rPr>
      </w:pPr>
    </w:p>
    <w:p w:rsidR="00417ECA" w:rsidRPr="00484060" w:rsidRDefault="00417ECA" w:rsidP="00D61F9B">
      <w:pPr>
        <w:rPr>
          <w:rFonts w:ascii="Arial" w:hAnsi="Arial" w:cs="Arial"/>
          <w:sz w:val="22"/>
          <w:szCs w:val="22"/>
        </w:rPr>
      </w:pPr>
    </w:p>
    <w:p w:rsidR="00417ECA" w:rsidRPr="00484060" w:rsidRDefault="00417ECA" w:rsidP="00A63EF7">
      <w:pPr>
        <w:rPr>
          <w:rFonts w:ascii="Arial" w:hAnsi="Arial" w:cs="Arial"/>
          <w:b/>
          <w:sz w:val="22"/>
          <w:szCs w:val="22"/>
        </w:rPr>
      </w:pPr>
    </w:p>
    <w:p w:rsidR="00417ECA" w:rsidRDefault="00417ECA"/>
    <w:sectPr w:rsidR="00417ECA" w:rsidSect="00A90119">
      <w:headerReference w:type="default" r:id="rId7"/>
      <w:footerReference w:type="default" r:id="rId8"/>
      <w:headerReference w:type="first" r:id="rId9"/>
      <w:footerReference w:type="first" r:id="rId10"/>
      <w:pgSz w:w="12240" w:h="15840"/>
      <w:pgMar w:top="1440" w:right="1440" w:bottom="1080" w:left="1080" w:header="720" w:footer="16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CA" w:rsidRDefault="00417ECA" w:rsidP="005B4617">
      <w:r>
        <w:separator/>
      </w:r>
    </w:p>
  </w:endnote>
  <w:endnote w:type="continuationSeparator" w:id="0">
    <w:p w:rsidR="00417ECA" w:rsidRDefault="00417ECA" w:rsidP="005B4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CA" w:rsidRPr="00A90119" w:rsidRDefault="00417ECA" w:rsidP="008031B5">
    <w:pPr>
      <w:pStyle w:val="Footer"/>
    </w:pPr>
    <w:r>
      <w:rPr>
        <w:rFonts w:ascii="Arial" w:hAnsi="Arial" w:cs="Arial"/>
        <w:sz w:val="20"/>
        <w:szCs w:val="20"/>
      </w:rPr>
      <w:t xml:space="preserve">Transfusion Services Laboratory </w:t>
    </w:r>
    <w:r w:rsidRPr="008031B5">
      <w:rPr>
        <w:rFonts w:ascii="Arial" w:hAnsi="Arial" w:cs="Arial"/>
        <w:sz w:val="20"/>
        <w:szCs w:val="20"/>
      </w:rPr>
      <w:t xml:space="preserve">Page </w:t>
    </w:r>
    <w:r>
      <w:rPr>
        <w:rFonts w:ascii="Arial" w:hAnsi="Arial" w:cs="Arial"/>
        <w:sz w:val="20"/>
        <w:szCs w:val="20"/>
      </w:rPr>
      <w:tab/>
    </w:r>
    <w:r>
      <w:rPr>
        <w:rFonts w:ascii="Arial" w:hAnsi="Arial" w:cs="Arial"/>
        <w:sz w:val="20"/>
        <w:szCs w:val="20"/>
      </w:rPr>
      <w:tab/>
    </w:r>
    <w:r w:rsidRPr="008031B5">
      <w:rPr>
        <w:rFonts w:ascii="Arial" w:hAnsi="Arial" w:cs="Arial"/>
        <w:b/>
        <w:sz w:val="20"/>
        <w:szCs w:val="20"/>
      </w:rPr>
      <w:fldChar w:fldCharType="begin"/>
    </w:r>
    <w:r w:rsidRPr="008031B5">
      <w:rPr>
        <w:rFonts w:ascii="Arial" w:hAnsi="Arial" w:cs="Arial"/>
        <w:b/>
        <w:sz w:val="20"/>
        <w:szCs w:val="20"/>
      </w:rPr>
      <w:instrText xml:space="preserve"> PAGE </w:instrText>
    </w:r>
    <w:r w:rsidRPr="008031B5">
      <w:rPr>
        <w:rFonts w:ascii="Arial" w:hAnsi="Arial" w:cs="Arial"/>
        <w:b/>
        <w:sz w:val="20"/>
        <w:szCs w:val="20"/>
      </w:rPr>
      <w:fldChar w:fldCharType="separate"/>
    </w:r>
    <w:r>
      <w:rPr>
        <w:rFonts w:ascii="Arial" w:hAnsi="Arial" w:cs="Arial"/>
        <w:b/>
        <w:noProof/>
        <w:sz w:val="20"/>
        <w:szCs w:val="20"/>
      </w:rPr>
      <w:t>3</w:t>
    </w:r>
    <w:r w:rsidRPr="008031B5">
      <w:rPr>
        <w:rFonts w:ascii="Arial" w:hAnsi="Arial" w:cs="Arial"/>
        <w:b/>
        <w:sz w:val="20"/>
        <w:szCs w:val="20"/>
      </w:rPr>
      <w:fldChar w:fldCharType="end"/>
    </w:r>
    <w:r w:rsidRPr="008031B5">
      <w:rPr>
        <w:rFonts w:ascii="Arial" w:hAnsi="Arial" w:cs="Arial"/>
        <w:sz w:val="20"/>
        <w:szCs w:val="20"/>
      </w:rPr>
      <w:t xml:space="preserve"> of </w:t>
    </w:r>
    <w:r w:rsidRPr="008031B5">
      <w:rPr>
        <w:rFonts w:ascii="Arial" w:hAnsi="Arial" w:cs="Arial"/>
        <w:b/>
        <w:sz w:val="20"/>
        <w:szCs w:val="20"/>
      </w:rPr>
      <w:fldChar w:fldCharType="begin"/>
    </w:r>
    <w:r w:rsidRPr="008031B5">
      <w:rPr>
        <w:rFonts w:ascii="Arial" w:hAnsi="Arial" w:cs="Arial"/>
        <w:b/>
        <w:sz w:val="20"/>
        <w:szCs w:val="20"/>
      </w:rPr>
      <w:instrText xml:space="preserve"> NUMPAGES  </w:instrText>
    </w:r>
    <w:r w:rsidRPr="008031B5">
      <w:rPr>
        <w:rFonts w:ascii="Arial" w:hAnsi="Arial" w:cs="Arial"/>
        <w:b/>
        <w:sz w:val="20"/>
        <w:szCs w:val="20"/>
      </w:rPr>
      <w:fldChar w:fldCharType="separate"/>
    </w:r>
    <w:r>
      <w:rPr>
        <w:rFonts w:ascii="Arial" w:hAnsi="Arial" w:cs="Arial"/>
        <w:b/>
        <w:noProof/>
        <w:sz w:val="20"/>
        <w:szCs w:val="20"/>
      </w:rPr>
      <w:t>3</w:t>
    </w:r>
    <w:r w:rsidRPr="008031B5">
      <w:rPr>
        <w:rFonts w:ascii="Arial" w:hAnsi="Arial" w:cs="Arial"/>
        <w:b/>
        <w:sz w:val="20"/>
        <w:szCs w:val="20"/>
      </w:rPr>
      <w:fldChar w:fldCharType="end"/>
    </w:r>
  </w:p>
  <w:p w:rsidR="00417ECA" w:rsidRPr="008031B5" w:rsidRDefault="00417ECA" w:rsidP="008031B5">
    <w:pPr>
      <w:pStyle w:val="Footer"/>
      <w:rPr>
        <w:rFonts w:ascii="Arial" w:hAnsi="Arial" w:cs="Arial"/>
        <w:sz w:val="20"/>
        <w:szCs w:val="20"/>
      </w:rPr>
    </w:pPr>
    <w:smartTag w:uri="urn:schemas-microsoft-com:office:smarttags" w:element="PlaceName">
      <w:smartTag w:uri="urn:schemas-microsoft-com:office:smarttags" w:element="place">
        <w:r>
          <w:rPr>
            <w:rFonts w:ascii="Arial" w:hAnsi="Arial" w:cs="Arial"/>
            <w:sz w:val="20"/>
            <w:szCs w:val="20"/>
          </w:rPr>
          <w:t>Harborview</w:t>
        </w:r>
      </w:smartTag>
      <w:r>
        <w:rPr>
          <w:rFonts w:ascii="Arial" w:hAnsi="Arial" w:cs="Arial"/>
          <w:sz w:val="20"/>
          <w:szCs w:val="20"/>
        </w:rPr>
        <w:t xml:space="preserve"> </w:t>
      </w:r>
      <w:smartTag w:uri="urn:schemas-microsoft-com:office:smarttags" w:element="PostalCode">
        <w:smartTag w:uri="urn:schemas-microsoft-com:office:smarttags" w:element="PlaceName">
          <w:r>
            <w:rPr>
              <w:rFonts w:ascii="Arial" w:hAnsi="Arial" w:cs="Arial"/>
              <w:sz w:val="20"/>
              <w:szCs w:val="20"/>
            </w:rPr>
            <w:t>Medical</w:t>
          </w:r>
        </w:smartTag>
      </w:smartTag>
      <w:r>
        <w:rPr>
          <w:rFonts w:ascii="Arial" w:hAnsi="Arial" w:cs="Arial"/>
          <w:sz w:val="20"/>
          <w:szCs w:val="20"/>
        </w:rPr>
        <w:t xml:space="preserve"> </w:t>
      </w:r>
      <w:smartTag w:uri="urn:schemas-microsoft-com:office:smarttags" w:element="PostalCode">
        <w:smartTag w:uri="urn:schemas-microsoft-com:office:smarttags" w:element="PlaceType">
          <w:r>
            <w:rPr>
              <w:rFonts w:ascii="Arial" w:hAnsi="Arial" w:cs="Arial"/>
              <w:sz w:val="20"/>
              <w:szCs w:val="20"/>
            </w:rPr>
            <w:t>Center</w:t>
          </w:r>
        </w:smartTag>
      </w:smartTag>
    </w:smartTag>
    <w:r>
      <w:rPr>
        <w:rFonts w:ascii="Arial" w:hAnsi="Arial" w:cs="Arial"/>
        <w:sz w:val="20"/>
        <w:szCs w:val="20"/>
      </w:rPr>
      <w:t xml:space="preserve">, </w:t>
    </w:r>
    <w:smartTag w:uri="urn:schemas-microsoft-com:office:smarttags" w:element="PostalCode">
      <w:smartTag w:uri="urn:schemas-microsoft-com:office:smarttags" w:element="address">
        <w:smartTag w:uri="urn:schemas-microsoft-com:office:smarttags" w:element="Street">
          <w:r>
            <w:rPr>
              <w:rFonts w:ascii="Arial" w:hAnsi="Arial" w:cs="Arial"/>
              <w:sz w:val="20"/>
              <w:szCs w:val="20"/>
            </w:rPr>
            <w:t>325 Ninth Ave.</w:t>
          </w:r>
        </w:smartTag>
      </w:smartTag>
      <w:r>
        <w:rPr>
          <w:rFonts w:ascii="Arial" w:hAnsi="Arial" w:cs="Arial"/>
          <w:sz w:val="20"/>
          <w:szCs w:val="20"/>
        </w:rPr>
        <w:t xml:space="preserve"> </w:t>
      </w:r>
      <w:smartTag w:uri="urn:schemas-microsoft-com:office:smarttags" w:element="PostalCode">
        <w:smartTag w:uri="urn:schemas-microsoft-com:office:smarttags" w:element="City">
          <w:r>
            <w:rPr>
              <w:rFonts w:ascii="Arial" w:hAnsi="Arial" w:cs="Arial"/>
              <w:sz w:val="20"/>
              <w:szCs w:val="20"/>
            </w:rPr>
            <w:t>Seattle</w:t>
          </w:r>
        </w:smartTag>
      </w:smartTag>
      <w:r>
        <w:rPr>
          <w:rFonts w:ascii="Arial" w:hAnsi="Arial" w:cs="Arial"/>
          <w:sz w:val="20"/>
          <w:szCs w:val="20"/>
        </w:rPr>
        <w:t xml:space="preserve">, </w:t>
      </w:r>
      <w:smartTag w:uri="urn:schemas-microsoft-com:office:smarttags" w:element="PostalCode">
        <w:smartTag w:uri="urn:schemas-microsoft-com:office:smarttags" w:element="State">
          <w:r>
            <w:rPr>
              <w:rFonts w:ascii="Arial" w:hAnsi="Arial" w:cs="Arial"/>
              <w:sz w:val="20"/>
              <w:szCs w:val="20"/>
            </w:rPr>
            <w:t>WA</w:t>
          </w:r>
        </w:smartTag>
      </w:smartTag>
      <w:r>
        <w:rPr>
          <w:rFonts w:ascii="Arial" w:hAnsi="Arial" w:cs="Arial"/>
          <w:sz w:val="20"/>
          <w:szCs w:val="20"/>
        </w:rPr>
        <w:t xml:space="preserve"> </w:t>
      </w:r>
      <w:smartTag w:uri="urn:schemas-microsoft-com:office:smarttags" w:element="PostalCode">
        <w:r>
          <w:rPr>
            <w:rFonts w:ascii="Arial" w:hAnsi="Arial" w:cs="Arial"/>
            <w:sz w:val="20"/>
            <w:szCs w:val="20"/>
          </w:rPr>
          <w:t>98104</w:t>
        </w:r>
      </w:smartTag>
    </w:smartTag>
  </w:p>
  <w:p w:rsidR="00417ECA" w:rsidRPr="008031B5" w:rsidRDefault="00417ECA">
    <w:pPr>
      <w:pStyle w:val="Foo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CA" w:rsidRPr="008E77B8" w:rsidRDefault="00417ECA">
    <w:pPr>
      <w:pStyle w:val="Footer"/>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CA" w:rsidRDefault="00417ECA" w:rsidP="005B4617">
      <w:r>
        <w:separator/>
      </w:r>
    </w:p>
  </w:footnote>
  <w:footnote w:type="continuationSeparator" w:id="0">
    <w:p w:rsidR="00417ECA" w:rsidRDefault="00417ECA" w:rsidP="005B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CA" w:rsidRPr="00A90119" w:rsidRDefault="00417ECA" w:rsidP="005B4617">
    <w:pPr>
      <w:pStyle w:val="Header"/>
      <w:rPr>
        <w:rFonts w:ascii="Arial" w:hAnsi="Arial" w:cs="Arial"/>
        <w:sz w:val="20"/>
        <w:szCs w:val="20"/>
      </w:rPr>
    </w:pPr>
    <w:r>
      <w:rPr>
        <w:rFonts w:ascii="Arial" w:hAnsi="Arial" w:cs="Arial"/>
        <w:sz w:val="20"/>
        <w:szCs w:val="20"/>
      </w:rPr>
      <w:t xml:space="preserve">Tango </w:t>
    </w:r>
    <w:r w:rsidRPr="00A90119">
      <w:rPr>
        <w:rFonts w:ascii="Arial" w:hAnsi="Arial" w:cs="Arial"/>
        <w:sz w:val="20"/>
        <w:szCs w:val="20"/>
      </w:rPr>
      <w:t>Liquid Reagent Loading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CA" w:rsidRPr="00A90119" w:rsidRDefault="00417ECA" w:rsidP="008E77B8">
    <w:pPr>
      <w:jc w:val="both"/>
      <w:rPr>
        <w:sz w:val="16"/>
        <w:szCs w:val="16"/>
      </w:rPr>
    </w:pPr>
    <w:hyperlink r:id="rId1" w:history="1">
      <w:r w:rsidRPr="00410A21">
        <w:rPr>
          <w:rFonts w:ascii="Verdana" w:hAnsi="Verdana"/>
          <w:noProof/>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aboratory Medicine banner" href="http://depts.washington.edu/labweb/ind" style="width:501pt;height:52.5pt;visibility:visible" o:button="t">
            <v:fill o:detectmouseclick="t"/>
            <v:imagedata r:id="rId2" o:title=""/>
          </v:shape>
        </w:pict>
      </w:r>
    </w:hyperlink>
  </w:p>
  <w:tbl>
    <w:tblPr>
      <w:tblW w:w="10173" w:type="dxa"/>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417ECA" w:rsidTr="00A90119">
      <w:trPr>
        <w:cantSplit/>
        <w:trHeight w:val="480"/>
      </w:trPr>
      <w:tc>
        <w:tcPr>
          <w:tcW w:w="5175" w:type="dxa"/>
          <w:vMerge w:val="restart"/>
          <w:tcBorders>
            <w:top w:val="double" w:sz="4" w:space="0" w:color="auto"/>
            <w:bottom w:val="single" w:sz="4" w:space="0" w:color="auto"/>
            <w:right w:val="single" w:sz="4" w:space="0" w:color="auto"/>
          </w:tcBorders>
          <w:vAlign w:val="center"/>
        </w:tcPr>
        <w:p w:rsidR="00417ECA" w:rsidRPr="008E77B8" w:rsidRDefault="00417ECA" w:rsidP="009917BC">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8E77B8">
                  <w:rPr>
                    <w:rFonts w:ascii="Arial" w:hAnsi="Arial" w:cs="Arial"/>
                    <w:b/>
                    <w:sz w:val="22"/>
                    <w:szCs w:val="22"/>
                  </w:rPr>
                  <w:t>University</w:t>
                </w:r>
              </w:smartTag>
            </w:smartTag>
            <w:r w:rsidRPr="008E77B8">
              <w:rPr>
                <w:rFonts w:ascii="Arial" w:hAnsi="Arial" w:cs="Arial"/>
                <w:b/>
                <w:sz w:val="22"/>
                <w:szCs w:val="22"/>
              </w:rPr>
              <w:t xml:space="preserve"> of </w:t>
            </w:r>
            <w:smartTag w:uri="urn:schemas-microsoft-com:office:smarttags" w:element="PostalCode">
              <w:smartTag w:uri="urn:schemas-microsoft-com:office:smarttags" w:element="PlaceName">
                <w:r w:rsidRPr="008E77B8">
                  <w:rPr>
                    <w:rFonts w:ascii="Arial" w:hAnsi="Arial" w:cs="Arial"/>
                    <w:b/>
                    <w:sz w:val="22"/>
                    <w:szCs w:val="22"/>
                  </w:rPr>
                  <w:t>Washington</w:t>
                </w:r>
              </w:smartTag>
            </w:smartTag>
          </w:smartTag>
          <w:r w:rsidRPr="008E77B8">
            <w:rPr>
              <w:rFonts w:ascii="Arial" w:hAnsi="Arial" w:cs="Arial"/>
              <w:b/>
              <w:sz w:val="22"/>
              <w:szCs w:val="22"/>
            </w:rPr>
            <w:t xml:space="preserve">, </w:t>
          </w:r>
        </w:p>
        <w:p w:rsidR="00417ECA" w:rsidRPr="008E77B8" w:rsidRDefault="00417ECA" w:rsidP="009917BC">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8E77B8">
                  <w:rPr>
                    <w:rFonts w:ascii="Arial" w:hAnsi="Arial" w:cs="Arial"/>
                    <w:b/>
                    <w:sz w:val="22"/>
                    <w:szCs w:val="22"/>
                  </w:rPr>
                  <w:t>Harborview</w:t>
                </w:r>
              </w:smartTag>
            </w:smartTag>
            <w:r w:rsidRPr="008E77B8">
              <w:rPr>
                <w:rFonts w:ascii="Arial" w:hAnsi="Arial" w:cs="Arial"/>
                <w:b/>
                <w:sz w:val="22"/>
                <w:szCs w:val="22"/>
              </w:rPr>
              <w:t xml:space="preserve"> </w:t>
            </w:r>
            <w:smartTag w:uri="urn:schemas-microsoft-com:office:smarttags" w:element="PostalCode">
              <w:smartTag w:uri="urn:schemas-microsoft-com:office:smarttags" w:element="PlaceName">
                <w:r w:rsidRPr="008E77B8">
                  <w:rPr>
                    <w:rFonts w:ascii="Arial" w:hAnsi="Arial" w:cs="Arial"/>
                    <w:b/>
                    <w:sz w:val="22"/>
                    <w:szCs w:val="22"/>
                  </w:rPr>
                  <w:t>Medical</w:t>
                </w:r>
              </w:smartTag>
            </w:smartTag>
            <w:r w:rsidRPr="008E77B8">
              <w:rPr>
                <w:rFonts w:ascii="Arial" w:hAnsi="Arial" w:cs="Arial"/>
                <w:b/>
                <w:sz w:val="22"/>
                <w:szCs w:val="22"/>
              </w:rPr>
              <w:t xml:space="preserve"> </w:t>
            </w:r>
            <w:smartTag w:uri="urn:schemas-microsoft-com:office:smarttags" w:element="PostalCode">
              <w:smartTag w:uri="urn:schemas-microsoft-com:office:smarttags" w:element="PlaceType">
                <w:r w:rsidRPr="008E77B8">
                  <w:rPr>
                    <w:rFonts w:ascii="Arial" w:hAnsi="Arial" w:cs="Arial"/>
                    <w:b/>
                    <w:sz w:val="22"/>
                    <w:szCs w:val="22"/>
                  </w:rPr>
                  <w:t>Center</w:t>
                </w:r>
              </w:smartTag>
            </w:smartTag>
          </w:smartTag>
        </w:p>
        <w:p w:rsidR="00417ECA" w:rsidRPr="008E77B8" w:rsidRDefault="00417ECA" w:rsidP="009917BC">
          <w:pPr>
            <w:rPr>
              <w:rFonts w:ascii="Arial" w:hAnsi="Arial" w:cs="Arial"/>
              <w:b/>
            </w:rPr>
          </w:pPr>
          <w:smartTag w:uri="urn:schemas-microsoft-com:office:smarttags" w:element="PostalCode">
            <w:smartTag w:uri="urn:schemas-microsoft-com:office:smarttags" w:element="Street">
              <w:r w:rsidRPr="008E77B8">
                <w:rPr>
                  <w:rFonts w:ascii="Arial" w:hAnsi="Arial" w:cs="Arial"/>
                  <w:b/>
                  <w:sz w:val="22"/>
                  <w:szCs w:val="22"/>
                </w:rPr>
                <w:t>325 9</w:t>
              </w:r>
              <w:r w:rsidRPr="008E77B8">
                <w:rPr>
                  <w:rFonts w:ascii="Arial" w:hAnsi="Arial" w:cs="Arial"/>
                  <w:b/>
                  <w:sz w:val="22"/>
                  <w:szCs w:val="22"/>
                  <w:vertAlign w:val="superscript"/>
                </w:rPr>
                <w:t>th</w:t>
              </w:r>
              <w:r w:rsidRPr="008E77B8">
                <w:rPr>
                  <w:rFonts w:ascii="Arial" w:hAnsi="Arial" w:cs="Arial"/>
                  <w:b/>
                  <w:sz w:val="22"/>
                  <w:szCs w:val="22"/>
                </w:rPr>
                <w:t xml:space="preserve"> Ave.</w:t>
              </w:r>
            </w:smartTag>
          </w:smartTag>
          <w:r w:rsidRPr="008E77B8">
            <w:rPr>
              <w:rFonts w:ascii="Arial" w:hAnsi="Arial" w:cs="Arial"/>
              <w:b/>
              <w:sz w:val="22"/>
              <w:szCs w:val="22"/>
            </w:rPr>
            <w:t xml:space="preserve"> </w:t>
          </w:r>
          <w:smartTag w:uri="urn:schemas-microsoft-com:office:smarttags" w:element="PostalCode">
            <w:r w:rsidRPr="008E77B8">
              <w:rPr>
                <w:rFonts w:ascii="Arial" w:hAnsi="Arial" w:cs="Arial"/>
                <w:b/>
                <w:sz w:val="22"/>
                <w:szCs w:val="22"/>
              </w:rPr>
              <w:t>Seattle</w:t>
            </w:r>
          </w:smartTag>
          <w:r w:rsidRPr="008E77B8">
            <w:rPr>
              <w:rFonts w:ascii="Arial" w:hAnsi="Arial" w:cs="Arial"/>
              <w:b/>
              <w:sz w:val="22"/>
              <w:szCs w:val="22"/>
            </w:rPr>
            <w:t xml:space="preserve">, </w:t>
          </w:r>
          <w:smartTag w:uri="urn:schemas-microsoft-com:office:smarttags" w:element="PostalCode">
            <w:r w:rsidRPr="008E77B8">
              <w:rPr>
                <w:rFonts w:ascii="Arial" w:hAnsi="Arial" w:cs="Arial"/>
                <w:b/>
                <w:sz w:val="22"/>
                <w:szCs w:val="22"/>
              </w:rPr>
              <w:t>WA</w:t>
            </w:r>
          </w:smartTag>
          <w:r w:rsidRPr="008E77B8">
            <w:rPr>
              <w:rFonts w:ascii="Arial" w:hAnsi="Arial" w:cs="Arial"/>
              <w:b/>
              <w:sz w:val="22"/>
              <w:szCs w:val="22"/>
            </w:rPr>
            <w:t xml:space="preserve">,  </w:t>
          </w:r>
          <w:smartTag w:uri="urn:schemas-microsoft-com:office:smarttags" w:element="PostalCode">
            <w:r w:rsidRPr="008E77B8">
              <w:rPr>
                <w:rFonts w:ascii="Arial" w:hAnsi="Arial" w:cs="Arial"/>
                <w:b/>
                <w:sz w:val="22"/>
                <w:szCs w:val="22"/>
              </w:rPr>
              <w:t>98104</w:t>
            </w:r>
          </w:smartTag>
        </w:p>
        <w:p w:rsidR="00417ECA" w:rsidRPr="008E77B8" w:rsidRDefault="00417ECA" w:rsidP="009917BC">
          <w:pPr>
            <w:rPr>
              <w:rFonts w:ascii="Arial" w:hAnsi="Arial" w:cs="Arial"/>
              <w:b/>
            </w:rPr>
          </w:pPr>
          <w:r w:rsidRPr="008E77B8">
            <w:rPr>
              <w:rFonts w:ascii="Arial" w:hAnsi="Arial" w:cs="Arial"/>
              <w:b/>
              <w:sz w:val="22"/>
              <w:szCs w:val="22"/>
            </w:rPr>
            <w:t>Transfusion Services Laboratory</w:t>
          </w:r>
        </w:p>
        <w:p w:rsidR="00417ECA" w:rsidRPr="008E77B8" w:rsidRDefault="00417ECA" w:rsidP="009917BC">
          <w:pPr>
            <w:rPr>
              <w:rFonts w:ascii="Arial" w:hAnsi="Arial" w:cs="Arial"/>
              <w:b/>
            </w:rPr>
          </w:pPr>
          <w:r w:rsidRPr="008E77B8">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417ECA" w:rsidRPr="008E77B8" w:rsidRDefault="00417ECA" w:rsidP="009917BC">
          <w:pPr>
            <w:rPr>
              <w:rFonts w:ascii="Arial" w:hAnsi="Arial" w:cs="Arial"/>
              <w:b/>
            </w:rPr>
          </w:pPr>
          <w:r w:rsidRPr="008E77B8">
            <w:rPr>
              <w:rFonts w:ascii="Arial" w:hAnsi="Arial" w:cs="Arial"/>
              <w:b/>
              <w:sz w:val="22"/>
              <w:szCs w:val="22"/>
            </w:rPr>
            <w:t>Original Effective Date:</w:t>
          </w:r>
        </w:p>
        <w:p w:rsidR="00417ECA" w:rsidRPr="008E77B8" w:rsidRDefault="00417ECA" w:rsidP="009917BC">
          <w:pPr>
            <w:jc w:val="both"/>
            <w:rPr>
              <w:rFonts w:ascii="Arial" w:hAnsi="Arial" w:cs="Arial"/>
              <w:b/>
            </w:rPr>
          </w:pPr>
          <w:r>
            <w:rPr>
              <w:rFonts w:ascii="Arial" w:hAnsi="Arial" w:cs="Arial"/>
              <w:b/>
              <w:sz w:val="22"/>
              <w:szCs w:val="22"/>
            </w:rPr>
            <w:t>April 1st</w:t>
          </w:r>
          <w:r w:rsidRPr="008E77B8">
            <w:rPr>
              <w:rFonts w:ascii="Arial" w:hAnsi="Arial" w:cs="Arial"/>
              <w:b/>
              <w:sz w:val="22"/>
              <w:szCs w:val="22"/>
            </w:rPr>
            <w:t xml:space="preserve"> 2011</w:t>
          </w:r>
        </w:p>
      </w:tc>
      <w:tc>
        <w:tcPr>
          <w:tcW w:w="2251" w:type="dxa"/>
          <w:tcBorders>
            <w:top w:val="double" w:sz="4" w:space="0" w:color="auto"/>
            <w:left w:val="nil"/>
            <w:bottom w:val="nil"/>
          </w:tcBorders>
        </w:tcPr>
        <w:p w:rsidR="00417ECA" w:rsidRPr="008E77B8" w:rsidRDefault="00417ECA" w:rsidP="009917BC">
          <w:pPr>
            <w:jc w:val="both"/>
            <w:rPr>
              <w:rFonts w:ascii="Arial" w:hAnsi="Arial" w:cs="Arial"/>
              <w:b/>
            </w:rPr>
          </w:pPr>
          <w:r w:rsidRPr="008E77B8">
            <w:rPr>
              <w:rFonts w:ascii="Arial" w:hAnsi="Arial" w:cs="Arial"/>
              <w:b/>
              <w:sz w:val="22"/>
              <w:szCs w:val="22"/>
            </w:rPr>
            <w:t xml:space="preserve">Number: </w:t>
          </w:r>
        </w:p>
        <w:p w:rsidR="00417ECA" w:rsidRPr="008031B5" w:rsidRDefault="00417ECA" w:rsidP="009917BC">
          <w:pPr>
            <w:jc w:val="both"/>
            <w:rPr>
              <w:rFonts w:ascii="Arial" w:hAnsi="Arial" w:cs="Arial"/>
              <w:b/>
            </w:rPr>
          </w:pPr>
          <w:r>
            <w:rPr>
              <w:rFonts w:ascii="Arial" w:hAnsi="Arial" w:cs="Arial"/>
              <w:b/>
              <w:sz w:val="22"/>
              <w:szCs w:val="22"/>
            </w:rPr>
            <w:t>5512-1</w:t>
          </w:r>
        </w:p>
      </w:tc>
    </w:tr>
    <w:tr w:rsidR="00417ECA" w:rsidTr="00A90119">
      <w:trPr>
        <w:cantSplit/>
        <w:trHeight w:val="132"/>
      </w:trPr>
      <w:tc>
        <w:tcPr>
          <w:tcW w:w="5175" w:type="dxa"/>
          <w:vMerge/>
          <w:tcBorders>
            <w:top w:val="nil"/>
            <w:bottom w:val="single" w:sz="4" w:space="0" w:color="auto"/>
            <w:right w:val="single" w:sz="4" w:space="0" w:color="auto"/>
          </w:tcBorders>
        </w:tcPr>
        <w:p w:rsidR="00417ECA" w:rsidRPr="008E77B8" w:rsidRDefault="00417ECA" w:rsidP="009917BC">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417ECA" w:rsidRPr="008E77B8" w:rsidRDefault="00417ECA" w:rsidP="009917BC">
          <w:pPr>
            <w:jc w:val="both"/>
            <w:rPr>
              <w:rFonts w:ascii="Arial" w:hAnsi="Arial" w:cs="Arial"/>
              <w:b/>
            </w:rPr>
          </w:pPr>
          <w:r w:rsidRPr="008E77B8">
            <w:rPr>
              <w:rFonts w:ascii="Arial" w:hAnsi="Arial" w:cs="Arial"/>
              <w:b/>
              <w:sz w:val="22"/>
              <w:szCs w:val="22"/>
            </w:rPr>
            <w:t>Revision Effective Date:</w:t>
          </w:r>
        </w:p>
        <w:p w:rsidR="00417ECA" w:rsidRPr="008E77B8" w:rsidRDefault="00417ECA" w:rsidP="009917BC">
          <w:pPr>
            <w:jc w:val="both"/>
            <w:rPr>
              <w:rFonts w:ascii="Arial" w:hAnsi="Arial" w:cs="Arial"/>
              <w:b/>
            </w:rPr>
          </w:pPr>
        </w:p>
      </w:tc>
      <w:tc>
        <w:tcPr>
          <w:tcW w:w="2251" w:type="dxa"/>
          <w:tcBorders>
            <w:top w:val="single" w:sz="4" w:space="0" w:color="auto"/>
            <w:left w:val="nil"/>
            <w:bottom w:val="single" w:sz="4" w:space="0" w:color="auto"/>
          </w:tcBorders>
        </w:tcPr>
        <w:p w:rsidR="00417ECA" w:rsidRPr="008E77B8" w:rsidRDefault="00417ECA" w:rsidP="009917BC">
          <w:pPr>
            <w:jc w:val="both"/>
            <w:rPr>
              <w:rFonts w:ascii="Arial" w:hAnsi="Arial" w:cs="Arial"/>
              <w:b/>
            </w:rPr>
          </w:pPr>
          <w:r w:rsidRPr="008E77B8">
            <w:rPr>
              <w:rFonts w:ascii="Arial" w:hAnsi="Arial" w:cs="Arial"/>
              <w:b/>
              <w:sz w:val="22"/>
              <w:szCs w:val="22"/>
            </w:rPr>
            <w:t xml:space="preserve">Pages: </w:t>
          </w:r>
          <w:r>
            <w:rPr>
              <w:rFonts w:ascii="Arial" w:hAnsi="Arial" w:cs="Arial"/>
              <w:b/>
              <w:sz w:val="22"/>
              <w:szCs w:val="22"/>
            </w:rPr>
            <w:t>3</w:t>
          </w:r>
        </w:p>
      </w:tc>
    </w:tr>
    <w:tr w:rsidR="00417ECA" w:rsidTr="00A90119">
      <w:trPr>
        <w:cantSplit/>
        <w:trHeight w:val="590"/>
      </w:trPr>
      <w:tc>
        <w:tcPr>
          <w:tcW w:w="10173" w:type="dxa"/>
          <w:gridSpan w:val="3"/>
          <w:tcBorders>
            <w:top w:val="nil"/>
            <w:bottom w:val="double" w:sz="4" w:space="0" w:color="auto"/>
          </w:tcBorders>
          <w:vAlign w:val="center"/>
        </w:tcPr>
        <w:p w:rsidR="00417ECA" w:rsidRPr="00A90119" w:rsidRDefault="00417ECA" w:rsidP="009917BC">
          <w:pPr>
            <w:rPr>
              <w:rFonts w:ascii="Arial" w:hAnsi="Arial" w:cs="Arial"/>
              <w:sz w:val="28"/>
              <w:szCs w:val="28"/>
            </w:rPr>
          </w:pPr>
          <w:r w:rsidRPr="00A90119">
            <w:rPr>
              <w:rFonts w:ascii="Arial" w:hAnsi="Arial" w:cs="Arial"/>
              <w:sz w:val="28"/>
              <w:szCs w:val="28"/>
            </w:rPr>
            <w:t xml:space="preserve">TITLE:  </w:t>
          </w:r>
          <w:r>
            <w:rPr>
              <w:rFonts w:ascii="Arial" w:hAnsi="Arial" w:cs="Arial"/>
              <w:sz w:val="28"/>
              <w:szCs w:val="28"/>
            </w:rPr>
            <w:t xml:space="preserve">Tango </w:t>
          </w:r>
          <w:r w:rsidRPr="00A90119">
            <w:rPr>
              <w:rFonts w:ascii="Arial" w:hAnsi="Arial" w:cs="Arial"/>
              <w:sz w:val="28"/>
              <w:szCs w:val="28"/>
            </w:rPr>
            <w:t>Liquid Reagent Loading</w:t>
          </w:r>
        </w:p>
      </w:tc>
    </w:tr>
  </w:tbl>
  <w:p w:rsidR="00417ECA" w:rsidRDefault="00417E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4D0"/>
    <w:multiLevelType w:val="hybridMultilevel"/>
    <w:tmpl w:val="E70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745E8"/>
    <w:multiLevelType w:val="hybridMultilevel"/>
    <w:tmpl w:val="818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0671B"/>
    <w:multiLevelType w:val="multilevel"/>
    <w:tmpl w:val="A3F45658"/>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1440"/>
        </w:tabs>
        <w:ind w:left="180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0EF5356"/>
    <w:multiLevelType w:val="hybridMultilevel"/>
    <w:tmpl w:val="BA2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0266F1"/>
    <w:multiLevelType w:val="hybridMultilevel"/>
    <w:tmpl w:val="2B1C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0024"/>
    <w:multiLevelType w:val="hybridMultilevel"/>
    <w:tmpl w:val="DCF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452709A"/>
    <w:multiLevelType w:val="multilevel"/>
    <w:tmpl w:val="2DA431A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A1D2D"/>
    <w:multiLevelType w:val="hybridMultilevel"/>
    <w:tmpl w:val="F5C40FA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2F2FAF"/>
    <w:multiLevelType w:val="hybridMultilevel"/>
    <w:tmpl w:val="0D2E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E2226E"/>
    <w:multiLevelType w:val="multilevel"/>
    <w:tmpl w:val="D2C0B61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803CAF"/>
    <w:multiLevelType w:val="multilevel"/>
    <w:tmpl w:val="D2C0B616"/>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080"/>
        </w:tabs>
        <w:ind w:left="1440" w:hanging="360"/>
      </w:pPr>
      <w:rPr>
        <w:rFonts w:ascii="Symbol" w:hAnsi="Symbol" w:hint="default"/>
      </w:rPr>
    </w:lvl>
    <w:lvl w:ilvl="2">
      <w:start w:val="1"/>
      <w:numFmt w:val="lowerLetter"/>
      <w:lvlText w:val="%3."/>
      <w:lvlJc w:val="left"/>
      <w:pPr>
        <w:tabs>
          <w:tab w:val="num" w:pos="1800"/>
        </w:tabs>
        <w:ind w:left="1800" w:hanging="36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8">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
  </w:num>
  <w:num w:numId="2">
    <w:abstractNumId w:val="29"/>
  </w:num>
  <w:num w:numId="3">
    <w:abstractNumId w:val="12"/>
  </w:num>
  <w:num w:numId="4">
    <w:abstractNumId w:val="30"/>
  </w:num>
  <w:num w:numId="5">
    <w:abstractNumId w:val="14"/>
  </w:num>
  <w:num w:numId="6">
    <w:abstractNumId w:val="9"/>
  </w:num>
  <w:num w:numId="7">
    <w:abstractNumId w:val="16"/>
  </w:num>
  <w:num w:numId="8">
    <w:abstractNumId w:val="7"/>
  </w:num>
  <w:num w:numId="9">
    <w:abstractNumId w:val="19"/>
  </w:num>
  <w:num w:numId="10">
    <w:abstractNumId w:val="28"/>
  </w:num>
  <w:num w:numId="11">
    <w:abstractNumId w:val="24"/>
  </w:num>
  <w:num w:numId="12">
    <w:abstractNumId w:val="26"/>
  </w:num>
  <w:num w:numId="13">
    <w:abstractNumId w:val="11"/>
  </w:num>
  <w:num w:numId="14">
    <w:abstractNumId w:val="5"/>
  </w:num>
  <w:num w:numId="15">
    <w:abstractNumId w:val="31"/>
  </w:num>
  <w:num w:numId="16">
    <w:abstractNumId w:val="20"/>
  </w:num>
  <w:num w:numId="17">
    <w:abstractNumId w:val="17"/>
  </w:num>
  <w:num w:numId="18">
    <w:abstractNumId w:val="25"/>
  </w:num>
  <w:num w:numId="19">
    <w:abstractNumId w:val="15"/>
  </w:num>
  <w:num w:numId="20">
    <w:abstractNumId w:val="10"/>
  </w:num>
  <w:num w:numId="21">
    <w:abstractNumId w:val="23"/>
  </w:num>
  <w:num w:numId="22">
    <w:abstractNumId w:val="22"/>
  </w:num>
  <w:num w:numId="23">
    <w:abstractNumId w:val="4"/>
  </w:num>
  <w:num w:numId="24">
    <w:abstractNumId w:val="6"/>
  </w:num>
  <w:num w:numId="25">
    <w:abstractNumId w:val="2"/>
  </w:num>
  <w:num w:numId="26">
    <w:abstractNumId w:val="27"/>
  </w:num>
  <w:num w:numId="27">
    <w:abstractNumId w:val="1"/>
  </w:num>
  <w:num w:numId="28">
    <w:abstractNumId w:val="13"/>
  </w:num>
  <w:num w:numId="29">
    <w:abstractNumId w:val="21"/>
  </w:num>
  <w:num w:numId="30">
    <w:abstractNumId w:val="8"/>
  </w:num>
  <w:num w:numId="31">
    <w:abstractNumId w:val="0"/>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247"/>
    <w:rsid w:val="000054DB"/>
    <w:rsid w:val="0001041C"/>
    <w:rsid w:val="00013C43"/>
    <w:rsid w:val="00020C51"/>
    <w:rsid w:val="000614D9"/>
    <w:rsid w:val="0006575D"/>
    <w:rsid w:val="00067AC5"/>
    <w:rsid w:val="00093949"/>
    <w:rsid w:val="000A0A34"/>
    <w:rsid w:val="000A74A7"/>
    <w:rsid w:val="000C0429"/>
    <w:rsid w:val="000F5CCD"/>
    <w:rsid w:val="0013118A"/>
    <w:rsid w:val="00135D76"/>
    <w:rsid w:val="00136256"/>
    <w:rsid w:val="002009C8"/>
    <w:rsid w:val="00283592"/>
    <w:rsid w:val="002B468B"/>
    <w:rsid w:val="002E2076"/>
    <w:rsid w:val="003479EC"/>
    <w:rsid w:val="00373735"/>
    <w:rsid w:val="003755AA"/>
    <w:rsid w:val="003C1114"/>
    <w:rsid w:val="003D773B"/>
    <w:rsid w:val="003E27C9"/>
    <w:rsid w:val="0040677B"/>
    <w:rsid w:val="00410A21"/>
    <w:rsid w:val="00417ECA"/>
    <w:rsid w:val="00455D69"/>
    <w:rsid w:val="0048178C"/>
    <w:rsid w:val="00484060"/>
    <w:rsid w:val="004B0247"/>
    <w:rsid w:val="004C0EB3"/>
    <w:rsid w:val="004D70D4"/>
    <w:rsid w:val="005606C6"/>
    <w:rsid w:val="005609FE"/>
    <w:rsid w:val="00584408"/>
    <w:rsid w:val="005B4617"/>
    <w:rsid w:val="005B4B21"/>
    <w:rsid w:val="006406C1"/>
    <w:rsid w:val="0065476C"/>
    <w:rsid w:val="00662102"/>
    <w:rsid w:val="00666E62"/>
    <w:rsid w:val="006C3C49"/>
    <w:rsid w:val="006D4395"/>
    <w:rsid w:val="006E4CAA"/>
    <w:rsid w:val="006E5DC4"/>
    <w:rsid w:val="006F1F38"/>
    <w:rsid w:val="00771D4A"/>
    <w:rsid w:val="007925EA"/>
    <w:rsid w:val="007C2F88"/>
    <w:rsid w:val="007F6392"/>
    <w:rsid w:val="008031B5"/>
    <w:rsid w:val="0080418E"/>
    <w:rsid w:val="00836932"/>
    <w:rsid w:val="0085516D"/>
    <w:rsid w:val="00872F1A"/>
    <w:rsid w:val="00891D82"/>
    <w:rsid w:val="008A24AE"/>
    <w:rsid w:val="008D1734"/>
    <w:rsid w:val="008E2005"/>
    <w:rsid w:val="008E77B8"/>
    <w:rsid w:val="00917D96"/>
    <w:rsid w:val="009803A4"/>
    <w:rsid w:val="009917BC"/>
    <w:rsid w:val="009F4EC0"/>
    <w:rsid w:val="00A21B70"/>
    <w:rsid w:val="00A258D7"/>
    <w:rsid w:val="00A369E0"/>
    <w:rsid w:val="00A63EF7"/>
    <w:rsid w:val="00A82A1B"/>
    <w:rsid w:val="00A84E15"/>
    <w:rsid w:val="00A87E85"/>
    <w:rsid w:val="00A90119"/>
    <w:rsid w:val="00AB2D5F"/>
    <w:rsid w:val="00AD33FB"/>
    <w:rsid w:val="00AE0C26"/>
    <w:rsid w:val="00AF55E8"/>
    <w:rsid w:val="00B00BF0"/>
    <w:rsid w:val="00B225CF"/>
    <w:rsid w:val="00B52FE3"/>
    <w:rsid w:val="00B54794"/>
    <w:rsid w:val="00B66B3A"/>
    <w:rsid w:val="00B962F6"/>
    <w:rsid w:val="00BA3E52"/>
    <w:rsid w:val="00BB28C8"/>
    <w:rsid w:val="00BC38DF"/>
    <w:rsid w:val="00BE640C"/>
    <w:rsid w:val="00BF40B0"/>
    <w:rsid w:val="00C06149"/>
    <w:rsid w:val="00C1650D"/>
    <w:rsid w:val="00C42899"/>
    <w:rsid w:val="00C50A7E"/>
    <w:rsid w:val="00C57B0F"/>
    <w:rsid w:val="00C71971"/>
    <w:rsid w:val="00C93463"/>
    <w:rsid w:val="00CA2D2F"/>
    <w:rsid w:val="00CC77C5"/>
    <w:rsid w:val="00CF128B"/>
    <w:rsid w:val="00D61F9B"/>
    <w:rsid w:val="00D733D0"/>
    <w:rsid w:val="00E12A59"/>
    <w:rsid w:val="00E178E0"/>
    <w:rsid w:val="00E22B15"/>
    <w:rsid w:val="00E439CF"/>
    <w:rsid w:val="00EB37A2"/>
    <w:rsid w:val="00ED4868"/>
    <w:rsid w:val="00F712B7"/>
    <w:rsid w:val="00F80DF2"/>
    <w:rsid w:val="00F82DFE"/>
    <w:rsid w:val="00FA2380"/>
    <w:rsid w:val="00FB5E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r="http://schemas.openxmlformats.org/officeDocument/2006/relationships" xmlns:w="http://schemas.openxmlformats.org/wordprocessingml/2006/main">
  <w:divs>
    <w:div w:id="47654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3</Pages>
  <Words>751</Words>
  <Characters>4287</Characters>
  <Application>Microsoft Office Outlook</Application>
  <DocSecurity>0</DocSecurity>
  <Lines>0</Lines>
  <Paragraphs>0</Paragraphs>
  <ScaleCrop>false</ScaleCrop>
  <Company>UWMC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Katchatag</dc:creator>
  <cp:keywords/>
  <dc:description/>
  <cp:lastModifiedBy>jad2210</cp:lastModifiedBy>
  <cp:revision>23</cp:revision>
  <cp:lastPrinted>2011-06-03T21:59:00Z</cp:lastPrinted>
  <dcterms:created xsi:type="dcterms:W3CDTF">2010-09-20T20:53:00Z</dcterms:created>
  <dcterms:modified xsi:type="dcterms:W3CDTF">2011-06-05T03:43:00Z</dcterms:modified>
</cp:coreProperties>
</file>