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F9" w:rsidRPr="00484060" w:rsidRDefault="00632AF9" w:rsidP="00A63EF7">
      <w:pPr>
        <w:rPr>
          <w:rFonts w:ascii="Arial" w:hAnsi="Arial" w:cs="Arial"/>
          <w:b/>
          <w:sz w:val="22"/>
          <w:szCs w:val="22"/>
        </w:rPr>
      </w:pPr>
      <w:bookmarkStart w:id="0" w:name="_GoBack"/>
      <w:bookmarkEnd w:id="0"/>
      <w:r w:rsidRPr="00484060">
        <w:rPr>
          <w:rFonts w:ascii="Arial" w:hAnsi="Arial" w:cs="Arial"/>
          <w:b/>
          <w:sz w:val="22"/>
          <w:szCs w:val="22"/>
        </w:rPr>
        <w:t>Purpose:</w:t>
      </w:r>
    </w:p>
    <w:p w:rsidR="00632AF9" w:rsidRPr="00484060" w:rsidRDefault="00632AF9" w:rsidP="002D5276">
      <w:pPr>
        <w:ind w:left="720"/>
        <w:rPr>
          <w:rFonts w:ascii="Arial" w:hAnsi="Arial" w:cs="Arial"/>
          <w:sz w:val="22"/>
          <w:szCs w:val="22"/>
        </w:rPr>
      </w:pPr>
      <w:r w:rsidRPr="00484060">
        <w:rPr>
          <w:rFonts w:ascii="Arial" w:hAnsi="Arial" w:cs="Arial"/>
          <w:sz w:val="22"/>
          <w:szCs w:val="22"/>
        </w:rPr>
        <w:t xml:space="preserve">To assure that </w:t>
      </w:r>
      <w:r>
        <w:rPr>
          <w:rFonts w:ascii="Arial" w:hAnsi="Arial" w:cs="Arial"/>
          <w:sz w:val="22"/>
          <w:szCs w:val="22"/>
        </w:rPr>
        <w:t>the reagent shelf life is recorded and monitored in an appropriate and accurate manner on the Tango analyzer.</w:t>
      </w:r>
    </w:p>
    <w:p w:rsidR="00632AF9" w:rsidRDefault="00632AF9" w:rsidP="00584408">
      <w:pPr>
        <w:pStyle w:val="ListParagraph"/>
        <w:rPr>
          <w:rFonts w:ascii="Arial" w:hAnsi="Arial" w:cs="Arial"/>
          <w:sz w:val="22"/>
          <w:szCs w:val="22"/>
        </w:rPr>
      </w:pPr>
    </w:p>
    <w:p w:rsidR="00632AF9" w:rsidRDefault="00632AF9" w:rsidP="00584408">
      <w:pPr>
        <w:pStyle w:val="ListParagraph"/>
        <w:ind w:left="0"/>
        <w:rPr>
          <w:rFonts w:ascii="Arial" w:hAnsi="Arial" w:cs="Arial"/>
          <w:b/>
          <w:sz w:val="22"/>
          <w:szCs w:val="22"/>
        </w:rPr>
      </w:pPr>
      <w:r>
        <w:rPr>
          <w:rFonts w:ascii="Arial" w:hAnsi="Arial" w:cs="Arial"/>
          <w:b/>
          <w:sz w:val="22"/>
          <w:szCs w:val="22"/>
        </w:rPr>
        <w:t>Limitations And Precautions:</w:t>
      </w:r>
    </w:p>
    <w:p w:rsidR="00632AF9" w:rsidRPr="002D5276" w:rsidRDefault="00632AF9" w:rsidP="00484060">
      <w:pPr>
        <w:pStyle w:val="ListParagraph"/>
        <w:numPr>
          <w:ilvl w:val="0"/>
          <w:numId w:val="22"/>
        </w:numPr>
        <w:rPr>
          <w:rFonts w:ascii="Arial" w:hAnsi="Arial" w:cs="Arial"/>
          <w:b/>
          <w:sz w:val="22"/>
          <w:szCs w:val="22"/>
        </w:rPr>
      </w:pPr>
      <w:r w:rsidRPr="002D5276">
        <w:rPr>
          <w:rFonts w:ascii="Arial" w:hAnsi="Arial" w:cs="Arial"/>
          <w:sz w:val="22"/>
          <w:szCs w:val="22"/>
        </w:rPr>
        <w:t>If the Tango is turned off (mechanical error) and goes through initialization, the liquid reagent information is deleted. The liquid reagents must be removed from the analyzer and then loaded. The shelf life must be corrected to show the reduced on board time (shelf life) for the reagent.</w:t>
      </w:r>
    </w:p>
    <w:p w:rsidR="00632AF9" w:rsidRPr="00484060" w:rsidRDefault="00632AF9" w:rsidP="00484060">
      <w:pPr>
        <w:rPr>
          <w:rFonts w:ascii="Arial" w:hAnsi="Arial" w:cs="Arial"/>
          <w:b/>
          <w:sz w:val="22"/>
          <w:szCs w:val="22"/>
        </w:rPr>
      </w:pPr>
    </w:p>
    <w:p w:rsidR="00632AF9" w:rsidRPr="00484060" w:rsidRDefault="00632AF9" w:rsidP="00A63EF7">
      <w:pPr>
        <w:rPr>
          <w:rFonts w:ascii="Arial" w:hAnsi="Arial" w:cs="Arial"/>
          <w:b/>
          <w:sz w:val="22"/>
          <w:szCs w:val="22"/>
        </w:rPr>
      </w:pPr>
      <w:r w:rsidRPr="00484060">
        <w:rPr>
          <w:rFonts w:ascii="Arial" w:hAnsi="Arial" w:cs="Arial"/>
          <w:b/>
          <w:sz w:val="22"/>
          <w:szCs w:val="22"/>
        </w:rPr>
        <w:t>Procedure:</w:t>
      </w:r>
    </w:p>
    <w:p w:rsidR="00632AF9" w:rsidRDefault="00632AF9" w:rsidP="00A63EF7">
      <w:pPr>
        <w:ind w:left="1080"/>
        <w:rPr>
          <w:rFonts w:ascii="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9"/>
        <w:gridCol w:w="7510"/>
        <w:gridCol w:w="1707"/>
      </w:tblGrid>
      <w:tr w:rsidR="00632AF9" w:rsidTr="005B1079">
        <w:tc>
          <w:tcPr>
            <w:tcW w:w="362" w:type="pct"/>
            <w:vAlign w:val="center"/>
          </w:tcPr>
          <w:p w:rsidR="00632AF9" w:rsidRPr="005B1079" w:rsidRDefault="00632AF9" w:rsidP="005B1079">
            <w:pPr>
              <w:jc w:val="center"/>
              <w:rPr>
                <w:rFonts w:ascii="Arial" w:hAnsi="Arial" w:cs="Arial"/>
                <w:b/>
              </w:rPr>
            </w:pPr>
            <w:r w:rsidRPr="005B1079">
              <w:rPr>
                <w:rFonts w:ascii="Arial" w:hAnsi="Arial" w:cs="Arial"/>
                <w:b/>
                <w:sz w:val="22"/>
                <w:szCs w:val="22"/>
              </w:rPr>
              <w:t>Step</w:t>
            </w:r>
          </w:p>
        </w:tc>
        <w:tc>
          <w:tcPr>
            <w:tcW w:w="3779" w:type="pct"/>
            <w:vAlign w:val="center"/>
          </w:tcPr>
          <w:p w:rsidR="00632AF9" w:rsidRPr="005B1079" w:rsidRDefault="00632AF9" w:rsidP="005B1079">
            <w:pPr>
              <w:jc w:val="center"/>
              <w:rPr>
                <w:rFonts w:ascii="Arial" w:hAnsi="Arial" w:cs="Arial"/>
                <w:b/>
              </w:rPr>
            </w:pPr>
            <w:r w:rsidRPr="005B1079">
              <w:rPr>
                <w:rFonts w:ascii="Arial" w:hAnsi="Arial" w:cs="Arial"/>
                <w:b/>
                <w:sz w:val="22"/>
                <w:szCs w:val="22"/>
              </w:rPr>
              <w:t>Action</w:t>
            </w:r>
          </w:p>
        </w:tc>
        <w:tc>
          <w:tcPr>
            <w:tcW w:w="859" w:type="pct"/>
            <w:vAlign w:val="center"/>
          </w:tcPr>
          <w:p w:rsidR="00632AF9" w:rsidRPr="005B1079" w:rsidRDefault="00632AF9" w:rsidP="005B1079">
            <w:pPr>
              <w:jc w:val="center"/>
              <w:rPr>
                <w:rFonts w:ascii="Arial" w:hAnsi="Arial" w:cs="Arial"/>
                <w:b/>
              </w:rPr>
            </w:pPr>
            <w:r w:rsidRPr="005B1079">
              <w:rPr>
                <w:rFonts w:ascii="Arial" w:hAnsi="Arial" w:cs="Arial"/>
                <w:b/>
                <w:sz w:val="22"/>
                <w:szCs w:val="22"/>
              </w:rPr>
              <w:t xml:space="preserve">Related Documents </w:t>
            </w:r>
          </w:p>
        </w:tc>
      </w:tr>
      <w:tr w:rsidR="00632AF9" w:rsidTr="005B1079">
        <w:tc>
          <w:tcPr>
            <w:tcW w:w="362" w:type="pct"/>
          </w:tcPr>
          <w:p w:rsidR="00632AF9" w:rsidRPr="004E32D7" w:rsidRDefault="00632AF9" w:rsidP="00A63EF7">
            <w:pPr>
              <w:rPr>
                <w:rFonts w:ascii="Arial" w:hAnsi="Arial" w:cs="Arial"/>
                <w:b/>
              </w:rPr>
            </w:pPr>
            <w:r w:rsidRPr="004E32D7">
              <w:rPr>
                <w:rFonts w:ascii="Arial" w:hAnsi="Arial" w:cs="Arial"/>
                <w:b/>
                <w:sz w:val="22"/>
                <w:szCs w:val="22"/>
              </w:rPr>
              <w:t>A.</w:t>
            </w:r>
          </w:p>
        </w:tc>
        <w:tc>
          <w:tcPr>
            <w:tcW w:w="3779" w:type="pct"/>
          </w:tcPr>
          <w:p w:rsidR="00632AF9" w:rsidRPr="005B1079" w:rsidRDefault="00632AF9" w:rsidP="000C09B9">
            <w:pPr>
              <w:rPr>
                <w:rFonts w:ascii="Arial" w:hAnsi="Arial" w:cs="Arial"/>
              </w:rPr>
            </w:pPr>
            <w:r w:rsidRPr="005B1079">
              <w:rPr>
                <w:rFonts w:ascii="Arial" w:hAnsi="Arial" w:cs="Arial"/>
                <w:sz w:val="22"/>
                <w:szCs w:val="22"/>
              </w:rPr>
              <w:t>Upon opening a new reagent bottle, date and initial the reagent box and container.</w:t>
            </w:r>
          </w:p>
        </w:tc>
        <w:tc>
          <w:tcPr>
            <w:tcW w:w="859" w:type="pct"/>
          </w:tcPr>
          <w:p w:rsidR="00632AF9" w:rsidRPr="005B1079" w:rsidRDefault="00632AF9" w:rsidP="005B1079">
            <w:pPr>
              <w:jc w:val="center"/>
              <w:rPr>
                <w:rFonts w:ascii="Arial" w:hAnsi="Arial" w:cs="Arial"/>
              </w:rPr>
            </w:pPr>
          </w:p>
        </w:tc>
      </w:tr>
      <w:tr w:rsidR="00632AF9" w:rsidTr="005B1079">
        <w:tc>
          <w:tcPr>
            <w:tcW w:w="362" w:type="pct"/>
          </w:tcPr>
          <w:p w:rsidR="00632AF9" w:rsidRPr="004E32D7" w:rsidRDefault="00632AF9" w:rsidP="00A63EF7">
            <w:pPr>
              <w:rPr>
                <w:rFonts w:ascii="Arial" w:hAnsi="Arial" w:cs="Arial"/>
                <w:b/>
              </w:rPr>
            </w:pPr>
            <w:r w:rsidRPr="004E32D7">
              <w:rPr>
                <w:rFonts w:ascii="Arial" w:hAnsi="Arial" w:cs="Arial"/>
                <w:b/>
                <w:sz w:val="22"/>
                <w:szCs w:val="22"/>
              </w:rPr>
              <w:t>B.</w:t>
            </w:r>
          </w:p>
        </w:tc>
        <w:tc>
          <w:tcPr>
            <w:tcW w:w="3779" w:type="pct"/>
          </w:tcPr>
          <w:p w:rsidR="00632AF9" w:rsidRPr="005B1079" w:rsidRDefault="00632AF9" w:rsidP="000C09B9">
            <w:pPr>
              <w:rPr>
                <w:rFonts w:ascii="Arial" w:hAnsi="Arial" w:cs="Arial"/>
              </w:rPr>
            </w:pPr>
            <w:r w:rsidRPr="005B1079">
              <w:rPr>
                <w:rFonts w:ascii="Arial" w:hAnsi="Arial" w:cs="Arial"/>
                <w:sz w:val="22"/>
                <w:szCs w:val="22"/>
              </w:rPr>
              <w:t>Once newly opened reagent is loaded on the Tango, the shelf life of the reagent is set at 168 hrs or 7 days.</w:t>
            </w:r>
          </w:p>
          <w:p w:rsidR="00632AF9" w:rsidRPr="005B1079" w:rsidRDefault="00632AF9" w:rsidP="005B1079">
            <w:pPr>
              <w:pStyle w:val="ListParagraph"/>
              <w:numPr>
                <w:ilvl w:val="0"/>
                <w:numId w:val="22"/>
              </w:numPr>
              <w:rPr>
                <w:rFonts w:ascii="Arial" w:hAnsi="Arial" w:cs="Arial"/>
              </w:rPr>
            </w:pPr>
            <w:r w:rsidRPr="005B1079">
              <w:rPr>
                <w:rFonts w:ascii="Arial" w:hAnsi="Arial" w:cs="Arial"/>
                <w:sz w:val="22"/>
                <w:szCs w:val="22"/>
              </w:rPr>
              <w:t>Except bromelin solution which has a 24 hr shelf life from preparation.</w:t>
            </w:r>
          </w:p>
          <w:p w:rsidR="00632AF9" w:rsidRPr="005B1079" w:rsidRDefault="00632AF9" w:rsidP="005B1079">
            <w:pPr>
              <w:pStyle w:val="ListParagraph"/>
              <w:numPr>
                <w:ilvl w:val="0"/>
                <w:numId w:val="22"/>
              </w:numPr>
              <w:rPr>
                <w:rFonts w:ascii="Arial" w:hAnsi="Arial" w:cs="Arial"/>
              </w:rPr>
            </w:pPr>
            <w:r w:rsidRPr="005B1079">
              <w:rPr>
                <w:rFonts w:ascii="Arial" w:hAnsi="Arial" w:cs="Arial"/>
                <w:sz w:val="22"/>
                <w:szCs w:val="22"/>
              </w:rPr>
              <w:t>The Tango will count down the shelf life of the reagents from the time they are loaded onto the instrument.</w:t>
            </w:r>
          </w:p>
        </w:tc>
        <w:tc>
          <w:tcPr>
            <w:tcW w:w="859" w:type="pct"/>
          </w:tcPr>
          <w:p w:rsidR="00632AF9" w:rsidRPr="005B1079" w:rsidRDefault="00632AF9" w:rsidP="004E32D7">
            <w:pPr>
              <w:rPr>
                <w:rFonts w:ascii="Arial" w:hAnsi="Arial" w:cs="Arial"/>
              </w:rPr>
            </w:pPr>
            <w:r w:rsidRPr="005B1079">
              <w:rPr>
                <w:rFonts w:ascii="Arial" w:hAnsi="Arial" w:cs="Arial"/>
                <w:sz w:val="22"/>
                <w:szCs w:val="22"/>
              </w:rPr>
              <w:t>Reagent Shelf Life</w:t>
            </w:r>
          </w:p>
        </w:tc>
      </w:tr>
      <w:tr w:rsidR="00632AF9" w:rsidTr="005B1079">
        <w:tc>
          <w:tcPr>
            <w:tcW w:w="362" w:type="pct"/>
          </w:tcPr>
          <w:p w:rsidR="00632AF9" w:rsidRPr="004E32D7" w:rsidRDefault="00632AF9" w:rsidP="00A63EF7">
            <w:pPr>
              <w:rPr>
                <w:rFonts w:ascii="Arial" w:hAnsi="Arial" w:cs="Arial"/>
                <w:b/>
              </w:rPr>
            </w:pPr>
            <w:r w:rsidRPr="004E32D7">
              <w:rPr>
                <w:rFonts w:ascii="Arial" w:hAnsi="Arial" w:cs="Arial"/>
                <w:b/>
                <w:sz w:val="22"/>
                <w:szCs w:val="22"/>
              </w:rPr>
              <w:t>C.</w:t>
            </w:r>
          </w:p>
        </w:tc>
        <w:tc>
          <w:tcPr>
            <w:tcW w:w="3779" w:type="pct"/>
          </w:tcPr>
          <w:p w:rsidR="00632AF9" w:rsidRPr="005B1079" w:rsidRDefault="004C62B9" w:rsidP="000C09B9">
            <w:pPr>
              <w:rPr>
                <w:rFonts w:ascii="Arial" w:hAnsi="Arial" w:cs="Arial"/>
              </w:rPr>
            </w:pPr>
            <w:r w:rsidRPr="002F44F8">
              <w:rPr>
                <w:rFonts w:ascii="Arial" w:hAnsi="Arial" w:cs="Arial"/>
                <w:sz w:val="22"/>
                <w:szCs w:val="22"/>
              </w:rPr>
              <w:t>When</w:t>
            </w:r>
            <w:r w:rsidR="00632AF9" w:rsidRPr="002F44F8">
              <w:rPr>
                <w:rFonts w:ascii="Arial" w:hAnsi="Arial" w:cs="Arial"/>
                <w:sz w:val="22"/>
                <w:szCs w:val="22"/>
              </w:rPr>
              <w:t xml:space="preserve"> the liquid reagents are removed from the instrument, the shelf life </w:t>
            </w:r>
            <w:r w:rsidRPr="002F44F8">
              <w:rPr>
                <w:rFonts w:ascii="Arial" w:hAnsi="Arial" w:cs="Arial"/>
                <w:sz w:val="22"/>
                <w:szCs w:val="22"/>
              </w:rPr>
              <w:t xml:space="preserve">and volume </w:t>
            </w:r>
            <w:r w:rsidR="00632AF9" w:rsidRPr="002F44F8">
              <w:rPr>
                <w:rFonts w:ascii="Arial" w:hAnsi="Arial" w:cs="Arial"/>
                <w:sz w:val="22"/>
                <w:szCs w:val="22"/>
              </w:rPr>
              <w:t xml:space="preserve">of the reagent(s) </w:t>
            </w:r>
            <w:r w:rsidRPr="002F44F8">
              <w:rPr>
                <w:rFonts w:ascii="Arial" w:hAnsi="Arial" w:cs="Arial"/>
                <w:sz w:val="22"/>
                <w:szCs w:val="22"/>
              </w:rPr>
              <w:t>will be retained until the next loading event</w:t>
            </w:r>
            <w:r>
              <w:rPr>
                <w:rFonts w:ascii="Arial" w:hAnsi="Arial" w:cs="Arial"/>
                <w:sz w:val="22"/>
                <w:szCs w:val="22"/>
              </w:rPr>
              <w:t>.</w:t>
            </w:r>
          </w:p>
        </w:tc>
        <w:tc>
          <w:tcPr>
            <w:tcW w:w="859" w:type="pct"/>
          </w:tcPr>
          <w:p w:rsidR="00632AF9" w:rsidRPr="005B1079" w:rsidRDefault="00632AF9" w:rsidP="004E32D7">
            <w:pPr>
              <w:rPr>
                <w:rFonts w:ascii="Arial" w:hAnsi="Arial" w:cs="Arial"/>
              </w:rPr>
            </w:pPr>
          </w:p>
        </w:tc>
      </w:tr>
      <w:tr w:rsidR="00632AF9" w:rsidTr="005B1079">
        <w:tc>
          <w:tcPr>
            <w:tcW w:w="362" w:type="pct"/>
          </w:tcPr>
          <w:p w:rsidR="00632AF9" w:rsidRPr="004E32D7" w:rsidRDefault="00632AF9" w:rsidP="00191D57">
            <w:pPr>
              <w:rPr>
                <w:rFonts w:ascii="Arial" w:hAnsi="Arial" w:cs="Arial"/>
                <w:b/>
              </w:rPr>
            </w:pPr>
            <w:r w:rsidRPr="004E32D7">
              <w:rPr>
                <w:rFonts w:ascii="Arial" w:hAnsi="Arial" w:cs="Arial"/>
                <w:b/>
                <w:sz w:val="22"/>
                <w:szCs w:val="22"/>
              </w:rPr>
              <w:t>D.</w:t>
            </w:r>
          </w:p>
        </w:tc>
        <w:tc>
          <w:tcPr>
            <w:tcW w:w="3779" w:type="pct"/>
          </w:tcPr>
          <w:p w:rsidR="00632AF9" w:rsidRPr="005B1079" w:rsidRDefault="00632AF9" w:rsidP="00191D57">
            <w:pPr>
              <w:rPr>
                <w:rFonts w:ascii="Arial" w:hAnsi="Arial" w:cs="Arial"/>
              </w:rPr>
            </w:pPr>
            <w:r w:rsidRPr="005B1079">
              <w:rPr>
                <w:rFonts w:ascii="Arial" w:hAnsi="Arial" w:cs="Arial"/>
                <w:sz w:val="22"/>
                <w:szCs w:val="22"/>
              </w:rPr>
              <w:t>Record the shelf life of the reagents by opening the ‘Reagent loading’ window and writing the shelf life hours onto the corresponding reagent box.</w:t>
            </w:r>
          </w:p>
        </w:tc>
        <w:tc>
          <w:tcPr>
            <w:tcW w:w="859" w:type="pct"/>
          </w:tcPr>
          <w:p w:rsidR="00632AF9" w:rsidRPr="005B1079" w:rsidRDefault="00632AF9" w:rsidP="004E32D7">
            <w:pPr>
              <w:rPr>
                <w:rFonts w:ascii="Arial" w:hAnsi="Arial" w:cs="Arial"/>
              </w:rPr>
            </w:pPr>
          </w:p>
        </w:tc>
      </w:tr>
      <w:tr w:rsidR="00632AF9" w:rsidTr="005B1079">
        <w:tc>
          <w:tcPr>
            <w:tcW w:w="362" w:type="pct"/>
          </w:tcPr>
          <w:p w:rsidR="00632AF9" w:rsidRPr="004E32D7" w:rsidRDefault="00632AF9" w:rsidP="00191D57">
            <w:pPr>
              <w:rPr>
                <w:rFonts w:ascii="Arial" w:hAnsi="Arial" w:cs="Arial"/>
                <w:b/>
              </w:rPr>
            </w:pPr>
            <w:r w:rsidRPr="004E32D7">
              <w:rPr>
                <w:rFonts w:ascii="Arial" w:hAnsi="Arial" w:cs="Arial"/>
                <w:b/>
                <w:sz w:val="22"/>
                <w:szCs w:val="22"/>
              </w:rPr>
              <w:t>E.</w:t>
            </w:r>
          </w:p>
        </w:tc>
        <w:tc>
          <w:tcPr>
            <w:tcW w:w="3779" w:type="pct"/>
          </w:tcPr>
          <w:p w:rsidR="00632AF9" w:rsidRPr="005B1079" w:rsidRDefault="00632AF9" w:rsidP="00191D57">
            <w:pPr>
              <w:rPr>
                <w:rFonts w:ascii="Arial" w:hAnsi="Arial" w:cs="Arial"/>
              </w:rPr>
            </w:pPr>
            <w:r w:rsidRPr="005B1079">
              <w:rPr>
                <w:rFonts w:ascii="Arial" w:hAnsi="Arial" w:cs="Arial"/>
                <w:sz w:val="22"/>
                <w:szCs w:val="22"/>
              </w:rPr>
              <w:t>Upon reloading an opened liquid reagent onto the instrument, note the hours remaining on reagent box and edit the ‘Reagent loading’ window when loading the liquid reagent.</w:t>
            </w:r>
          </w:p>
        </w:tc>
        <w:tc>
          <w:tcPr>
            <w:tcW w:w="859" w:type="pct"/>
          </w:tcPr>
          <w:p w:rsidR="00632AF9" w:rsidRPr="005B1079" w:rsidRDefault="00632AF9" w:rsidP="004E32D7">
            <w:pPr>
              <w:rPr>
                <w:rFonts w:ascii="Arial" w:hAnsi="Arial" w:cs="Arial"/>
              </w:rPr>
            </w:pPr>
            <w:r w:rsidRPr="005B1079">
              <w:rPr>
                <w:rFonts w:ascii="Arial" w:hAnsi="Arial" w:cs="Arial"/>
                <w:sz w:val="22"/>
                <w:szCs w:val="22"/>
              </w:rPr>
              <w:t xml:space="preserve">Liquid Reagent Loading </w:t>
            </w:r>
          </w:p>
        </w:tc>
      </w:tr>
      <w:tr w:rsidR="00632AF9" w:rsidTr="005B1079">
        <w:tc>
          <w:tcPr>
            <w:tcW w:w="362" w:type="pct"/>
          </w:tcPr>
          <w:p w:rsidR="00632AF9" w:rsidRPr="004E32D7" w:rsidRDefault="00632AF9" w:rsidP="00191D57">
            <w:pPr>
              <w:rPr>
                <w:rFonts w:ascii="Arial" w:hAnsi="Arial" w:cs="Arial"/>
                <w:b/>
              </w:rPr>
            </w:pPr>
            <w:r w:rsidRPr="004E32D7">
              <w:rPr>
                <w:rFonts w:ascii="Arial" w:hAnsi="Arial" w:cs="Arial"/>
                <w:b/>
                <w:sz w:val="22"/>
                <w:szCs w:val="22"/>
              </w:rPr>
              <w:t>F.</w:t>
            </w:r>
          </w:p>
        </w:tc>
        <w:tc>
          <w:tcPr>
            <w:tcW w:w="3779" w:type="pct"/>
          </w:tcPr>
          <w:p w:rsidR="00632AF9" w:rsidRPr="005B1079" w:rsidRDefault="00632AF9" w:rsidP="00191D57">
            <w:pPr>
              <w:rPr>
                <w:rFonts w:ascii="Arial" w:hAnsi="Arial" w:cs="Arial"/>
              </w:rPr>
            </w:pPr>
            <w:r w:rsidRPr="005B1079">
              <w:rPr>
                <w:rFonts w:ascii="Arial" w:hAnsi="Arial" w:cs="Arial"/>
                <w:sz w:val="22"/>
                <w:szCs w:val="22"/>
              </w:rPr>
              <w:t>Should an unexpected shut down and re</w:t>
            </w:r>
            <w:r w:rsidR="002F44F8">
              <w:rPr>
                <w:rFonts w:ascii="Arial" w:hAnsi="Arial" w:cs="Arial"/>
                <w:sz w:val="22"/>
                <w:szCs w:val="22"/>
              </w:rPr>
              <w:t>-</w:t>
            </w:r>
            <w:r w:rsidRPr="005B1079">
              <w:rPr>
                <w:rFonts w:ascii="Arial" w:hAnsi="Arial" w:cs="Arial"/>
                <w:sz w:val="22"/>
                <w:szCs w:val="22"/>
              </w:rPr>
              <w:t>initialization occur on the Tango, the liquid reagent information will be deleted. The operator should refer the ‘Event log’ to find out the last time the liquid reagent was loaded onto the Tango. The hours elapsed from the last time the reagent was loaded can be subtracted from the hours written on the corresponding reagent box to give the current shelf life of the liquid reagent.</w:t>
            </w:r>
          </w:p>
        </w:tc>
        <w:tc>
          <w:tcPr>
            <w:tcW w:w="859" w:type="pct"/>
          </w:tcPr>
          <w:p w:rsidR="00632AF9" w:rsidRPr="005B1079" w:rsidRDefault="00632AF9" w:rsidP="004E32D7">
            <w:pPr>
              <w:rPr>
                <w:rFonts w:ascii="Arial" w:hAnsi="Arial" w:cs="Arial"/>
              </w:rPr>
            </w:pPr>
          </w:p>
        </w:tc>
      </w:tr>
    </w:tbl>
    <w:p w:rsidR="00632AF9" w:rsidRDefault="00632AF9" w:rsidP="002D5276">
      <w:pPr>
        <w:rPr>
          <w:rFonts w:ascii="Arial" w:hAnsi="Arial" w:cs="Arial"/>
          <w:b/>
          <w:sz w:val="22"/>
          <w:szCs w:val="22"/>
        </w:rPr>
      </w:pPr>
    </w:p>
    <w:p w:rsidR="00632AF9" w:rsidRDefault="00632AF9" w:rsidP="002D5276">
      <w:pPr>
        <w:rPr>
          <w:rFonts w:ascii="Arial" w:hAnsi="Arial" w:cs="Arial"/>
          <w:b/>
          <w:sz w:val="22"/>
          <w:szCs w:val="22"/>
        </w:rPr>
      </w:pPr>
    </w:p>
    <w:p w:rsidR="00632AF9" w:rsidRDefault="00632AF9" w:rsidP="008A392C">
      <w:pPr>
        <w:ind w:hanging="120"/>
        <w:rPr>
          <w:rFonts w:ascii="Arial" w:hAnsi="Arial" w:cs="Arial"/>
          <w:b/>
          <w:sz w:val="22"/>
          <w:szCs w:val="22"/>
        </w:rPr>
      </w:pPr>
      <w:r w:rsidRPr="00484060">
        <w:rPr>
          <w:rFonts w:ascii="Arial" w:hAnsi="Arial" w:cs="Arial"/>
          <w:b/>
          <w:sz w:val="22"/>
          <w:szCs w:val="22"/>
        </w:rPr>
        <w:t>Referenced Documents:</w:t>
      </w:r>
    </w:p>
    <w:p w:rsidR="00632AF9" w:rsidRPr="002D5276" w:rsidRDefault="00632AF9" w:rsidP="004E32D7">
      <w:pPr>
        <w:pStyle w:val="ListParagraph"/>
        <w:ind w:left="360"/>
        <w:rPr>
          <w:rFonts w:ascii="Arial" w:hAnsi="Arial" w:cs="Arial"/>
          <w:b/>
          <w:sz w:val="22"/>
          <w:szCs w:val="22"/>
        </w:rPr>
      </w:pPr>
      <w:r>
        <w:rPr>
          <w:rFonts w:ascii="Arial" w:hAnsi="Arial" w:cs="Arial"/>
          <w:sz w:val="22"/>
          <w:szCs w:val="22"/>
        </w:rPr>
        <w:t>Tango User’s Guide, Version 3.0.2</w:t>
      </w:r>
    </w:p>
    <w:sectPr w:rsidR="00632AF9" w:rsidRPr="002D5276" w:rsidSect="004E32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080" w:header="720" w:footer="16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AF9" w:rsidRDefault="00632AF9" w:rsidP="005B4617">
      <w:r>
        <w:separator/>
      </w:r>
    </w:p>
  </w:endnote>
  <w:endnote w:type="continuationSeparator" w:id="0">
    <w:p w:rsidR="00632AF9" w:rsidRDefault="00632AF9" w:rsidP="005B4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B9" w:rsidRDefault="004C62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AF9" w:rsidRDefault="00632AF9">
    <w:pPr>
      <w:pStyle w:val="Footer"/>
      <w:jc w:val="right"/>
    </w:pPr>
  </w:p>
  <w:p w:rsidR="00632AF9" w:rsidRDefault="00B96F12">
    <w:pPr>
      <w:pStyle w:val="Footer"/>
      <w:jc w:val="right"/>
    </w:pPr>
    <w:r w:rsidRPr="000D6EA8">
      <w:rPr>
        <w:rFonts w:ascii="Arial" w:hAnsi="Arial" w:cs="Arial"/>
        <w:sz w:val="22"/>
        <w:szCs w:val="22"/>
      </w:rPr>
      <w:fldChar w:fldCharType="begin"/>
    </w:r>
    <w:r w:rsidR="00632AF9" w:rsidRPr="000D6EA8">
      <w:rPr>
        <w:rFonts w:ascii="Arial" w:hAnsi="Arial" w:cs="Arial"/>
        <w:sz w:val="22"/>
        <w:szCs w:val="22"/>
      </w:rPr>
      <w:instrText xml:space="preserve"> PAGE   \* MERGEFORMAT </w:instrText>
    </w:r>
    <w:r w:rsidRPr="000D6EA8">
      <w:rPr>
        <w:rFonts w:ascii="Arial" w:hAnsi="Arial" w:cs="Arial"/>
        <w:sz w:val="22"/>
        <w:szCs w:val="22"/>
      </w:rPr>
      <w:fldChar w:fldCharType="separate"/>
    </w:r>
    <w:r w:rsidR="00632AF9">
      <w:rPr>
        <w:rFonts w:ascii="Arial" w:hAnsi="Arial" w:cs="Arial"/>
        <w:noProof/>
        <w:sz w:val="22"/>
        <w:szCs w:val="22"/>
      </w:rPr>
      <w:t>2</w:t>
    </w:r>
    <w:r w:rsidRPr="000D6EA8">
      <w:rPr>
        <w:rFonts w:ascii="Arial" w:hAnsi="Arial" w:cs="Arial"/>
        <w:sz w:val="22"/>
        <w:szCs w:val="22"/>
      </w:rPr>
      <w:fldChar w:fldCharType="end"/>
    </w:r>
  </w:p>
  <w:p w:rsidR="00632AF9" w:rsidRPr="000D6EA8" w:rsidRDefault="00632AF9">
    <w:pPr>
      <w:pStyle w:val="Footer"/>
      <w:rPr>
        <w:rFonts w:ascii="Arial" w:hAnsi="Arial" w:cs="Arial"/>
        <w:sz w:val="22"/>
        <w:szCs w:val="22"/>
      </w:rPr>
    </w:pPr>
    <w:r w:rsidRPr="000D6EA8">
      <w:rPr>
        <w:rFonts w:ascii="Arial" w:hAnsi="Arial" w:cs="Arial"/>
        <w:sz w:val="22"/>
        <w:szCs w:val="22"/>
      </w:rPr>
      <w:t>Prepared By: Brennan Katchatag</w:t>
    </w:r>
    <w:r>
      <w:rPr>
        <w:rFonts w:ascii="Arial" w:hAnsi="Arial" w:cs="Arial"/>
        <w:sz w:val="22"/>
        <w:szCs w:val="22"/>
      </w:rPr>
      <w:t>, MT(ASCP)</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AF9" w:rsidRDefault="00632AF9">
    <w:pPr>
      <w:pStyle w:val="Footer"/>
      <w:jc w:val="right"/>
    </w:pPr>
  </w:p>
  <w:p w:rsidR="00632AF9" w:rsidRDefault="00632AF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AF9" w:rsidRDefault="00632AF9" w:rsidP="005B4617">
      <w:r>
        <w:separator/>
      </w:r>
    </w:p>
  </w:footnote>
  <w:footnote w:type="continuationSeparator" w:id="0">
    <w:p w:rsidR="00632AF9" w:rsidRDefault="00632AF9" w:rsidP="005B4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B9" w:rsidRDefault="004C62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AF9" w:rsidRPr="006E5DC4" w:rsidRDefault="00632AF9" w:rsidP="000D6EA8">
    <w:pPr>
      <w:pStyle w:val="Header"/>
      <w:jc w:val="center"/>
      <w:rPr>
        <w:rFonts w:ascii="Calibri" w:hAnsi="Calibri"/>
        <w:b/>
      </w:rPr>
    </w:pPr>
  </w:p>
  <w:p w:rsidR="00632AF9" w:rsidRPr="002D5276" w:rsidRDefault="00632AF9" w:rsidP="002D5276">
    <w:pPr>
      <w:pStyle w:val="Header"/>
      <w:rPr>
        <w:rFonts w:ascii="Arial" w:hAnsi="Arial" w:cs="Arial"/>
        <w:sz w:val="20"/>
        <w:szCs w:val="20"/>
      </w:rPr>
    </w:pPr>
    <w:r>
      <w:rPr>
        <w:rFonts w:ascii="Arial" w:hAnsi="Arial" w:cs="Arial"/>
        <w:sz w:val="20"/>
        <w:szCs w:val="20"/>
      </w:rPr>
      <w:t>Liquid Reagent Shelf Life</w:t>
    </w:r>
  </w:p>
  <w:p w:rsidR="00632AF9" w:rsidRPr="006E5DC4" w:rsidRDefault="00632AF9" w:rsidP="005B4617">
    <w:pPr>
      <w:pStyle w:val="Header"/>
      <w:rPr>
        <w:rFonts w:ascii="Calibri" w:hAnsi="Calibri"/>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AF9" w:rsidRPr="004E32D7" w:rsidRDefault="00B96F12" w:rsidP="004E32D7">
    <w:pPr>
      <w:ind w:hanging="240"/>
      <w:jc w:val="both"/>
      <w:rPr>
        <w:sz w:val="16"/>
        <w:szCs w:val="16"/>
      </w:rPr>
    </w:pPr>
    <w:hyperlink r:id="rId1" w:history="1">
      <w:r w:rsidRPr="00B96F12">
        <w:rPr>
          <w:rFonts w:ascii="Verdana" w:hAnsi="Verdana"/>
          <w:noProof/>
          <w:color w:val="0082D9"/>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aboratory Medicine banner" href="http://depts.washington.edu/labweb/index" style="width:500.75pt;height:52.55pt;visibility:visible" o:button="t">
            <v:fill o:detectmouseclick="t"/>
            <v:imagedata r:id="rId2" o:title=""/>
          </v:shape>
        </w:pict>
      </w:r>
    </w:hyperlink>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tblPr>
    <w:tblGrid>
      <w:gridCol w:w="5175"/>
      <w:gridCol w:w="2747"/>
      <w:gridCol w:w="2251"/>
    </w:tblGrid>
    <w:tr w:rsidR="00632AF9" w:rsidTr="000F1480">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632AF9" w:rsidRPr="000D6EA8" w:rsidRDefault="00632AF9" w:rsidP="000F1480">
          <w:pPr>
            <w:rPr>
              <w:rFonts w:ascii="Arial" w:hAnsi="Arial" w:cs="Arial"/>
              <w:b/>
            </w:rPr>
          </w:pPr>
          <w:smartTag w:uri="urn:schemas-microsoft-com:office:smarttags" w:element="PlaceType">
            <w:smartTag w:uri="urn:schemas-microsoft-com:office:smarttags" w:element="place">
              <w:r w:rsidRPr="000D6EA8">
                <w:rPr>
                  <w:rFonts w:ascii="Arial" w:hAnsi="Arial" w:cs="Arial"/>
                  <w:b/>
                  <w:sz w:val="22"/>
                  <w:szCs w:val="22"/>
                </w:rPr>
                <w:t>University</w:t>
              </w:r>
            </w:smartTag>
            <w:r w:rsidRPr="000D6EA8">
              <w:rPr>
                <w:rFonts w:ascii="Arial" w:hAnsi="Arial" w:cs="Arial"/>
                <w:b/>
                <w:sz w:val="22"/>
                <w:szCs w:val="22"/>
              </w:rPr>
              <w:t xml:space="preserve"> of </w:t>
            </w:r>
            <w:smartTag w:uri="urn:schemas-microsoft-com:office:smarttags" w:element="PostalCode">
              <w:smartTag w:uri="urn:schemas-microsoft-com:office:smarttags" w:element="PlaceName">
                <w:r w:rsidRPr="000D6EA8">
                  <w:rPr>
                    <w:rFonts w:ascii="Arial" w:hAnsi="Arial" w:cs="Arial"/>
                    <w:b/>
                    <w:sz w:val="22"/>
                    <w:szCs w:val="22"/>
                  </w:rPr>
                  <w:t>Washington</w:t>
                </w:r>
              </w:smartTag>
            </w:smartTag>
          </w:smartTag>
          <w:r w:rsidRPr="000D6EA8">
            <w:rPr>
              <w:rFonts w:ascii="Arial" w:hAnsi="Arial" w:cs="Arial"/>
              <w:b/>
              <w:sz w:val="22"/>
              <w:szCs w:val="22"/>
            </w:rPr>
            <w:t xml:space="preserve">, </w:t>
          </w:r>
        </w:p>
        <w:p w:rsidR="00632AF9" w:rsidRPr="000D6EA8" w:rsidRDefault="00632AF9" w:rsidP="000F1480">
          <w:pPr>
            <w:rPr>
              <w:rFonts w:ascii="Arial" w:hAnsi="Arial" w:cs="Arial"/>
              <w:b/>
            </w:rPr>
          </w:pPr>
          <w:smartTag w:uri="urn:schemas-microsoft-com:office:smarttags" w:element="PostalCode">
            <w:smartTag w:uri="urn:schemas-microsoft-com:office:smarttags" w:element="place">
              <w:smartTag w:uri="urn:schemas-microsoft-com:office:smarttags" w:element="PlaceName">
                <w:r w:rsidRPr="000D6EA8">
                  <w:rPr>
                    <w:rFonts w:ascii="Arial" w:hAnsi="Arial" w:cs="Arial"/>
                    <w:b/>
                    <w:sz w:val="22"/>
                    <w:szCs w:val="22"/>
                  </w:rPr>
                  <w:t>Harborview</w:t>
                </w:r>
              </w:smartTag>
            </w:smartTag>
            <w:r w:rsidRPr="000D6EA8">
              <w:rPr>
                <w:rFonts w:ascii="Arial" w:hAnsi="Arial" w:cs="Arial"/>
                <w:b/>
                <w:sz w:val="22"/>
                <w:szCs w:val="22"/>
              </w:rPr>
              <w:t xml:space="preserve"> </w:t>
            </w:r>
            <w:smartTag w:uri="urn:schemas-microsoft-com:office:smarttags" w:element="PostalCode">
              <w:smartTag w:uri="urn:schemas-microsoft-com:office:smarttags" w:element="PlaceName">
                <w:r w:rsidRPr="000D6EA8">
                  <w:rPr>
                    <w:rFonts w:ascii="Arial" w:hAnsi="Arial" w:cs="Arial"/>
                    <w:b/>
                    <w:sz w:val="22"/>
                    <w:szCs w:val="22"/>
                  </w:rPr>
                  <w:t>Medical</w:t>
                </w:r>
              </w:smartTag>
            </w:smartTag>
            <w:r w:rsidRPr="000D6EA8">
              <w:rPr>
                <w:rFonts w:ascii="Arial" w:hAnsi="Arial" w:cs="Arial"/>
                <w:b/>
                <w:sz w:val="22"/>
                <w:szCs w:val="22"/>
              </w:rPr>
              <w:t xml:space="preserve"> </w:t>
            </w:r>
            <w:smartTag w:uri="urn:schemas-microsoft-com:office:smarttags" w:element="PostalCode">
              <w:smartTag w:uri="urn:schemas-microsoft-com:office:smarttags" w:element="PlaceType">
                <w:r w:rsidRPr="000D6EA8">
                  <w:rPr>
                    <w:rFonts w:ascii="Arial" w:hAnsi="Arial" w:cs="Arial"/>
                    <w:b/>
                    <w:sz w:val="22"/>
                    <w:szCs w:val="22"/>
                  </w:rPr>
                  <w:t>Center</w:t>
                </w:r>
              </w:smartTag>
            </w:smartTag>
          </w:smartTag>
        </w:p>
        <w:p w:rsidR="00632AF9" w:rsidRPr="000D6EA8" w:rsidRDefault="00632AF9" w:rsidP="000F1480">
          <w:pPr>
            <w:rPr>
              <w:rFonts w:ascii="Arial" w:hAnsi="Arial" w:cs="Arial"/>
              <w:b/>
            </w:rPr>
          </w:pPr>
          <w:smartTag w:uri="urn:schemas-microsoft-com:office:smarttags" w:element="PostalCode">
            <w:smartTag w:uri="urn:schemas-microsoft-com:office:smarttags" w:element="Street">
              <w:r w:rsidRPr="000D6EA8">
                <w:rPr>
                  <w:rFonts w:ascii="Arial" w:hAnsi="Arial" w:cs="Arial"/>
                  <w:b/>
                  <w:sz w:val="22"/>
                  <w:szCs w:val="22"/>
                </w:rPr>
                <w:t>325 9</w:t>
              </w:r>
              <w:r w:rsidRPr="000D6EA8">
                <w:rPr>
                  <w:rFonts w:ascii="Arial" w:hAnsi="Arial" w:cs="Arial"/>
                  <w:b/>
                  <w:sz w:val="22"/>
                  <w:szCs w:val="22"/>
                  <w:vertAlign w:val="superscript"/>
                </w:rPr>
                <w:t>th</w:t>
              </w:r>
              <w:r w:rsidRPr="000D6EA8">
                <w:rPr>
                  <w:rFonts w:ascii="Arial" w:hAnsi="Arial" w:cs="Arial"/>
                  <w:b/>
                  <w:sz w:val="22"/>
                  <w:szCs w:val="22"/>
                </w:rPr>
                <w:t xml:space="preserve"> Ave.</w:t>
              </w:r>
            </w:smartTag>
          </w:smartTag>
          <w:r w:rsidRPr="000D6EA8">
            <w:rPr>
              <w:rFonts w:ascii="Arial" w:hAnsi="Arial" w:cs="Arial"/>
              <w:b/>
              <w:sz w:val="22"/>
              <w:szCs w:val="22"/>
            </w:rPr>
            <w:t xml:space="preserve"> </w:t>
          </w:r>
          <w:smartTag w:uri="urn:schemas-microsoft-com:office:smarttags" w:element="PostalCode">
            <w:r w:rsidRPr="000D6EA8">
              <w:rPr>
                <w:rFonts w:ascii="Arial" w:hAnsi="Arial" w:cs="Arial"/>
                <w:b/>
                <w:sz w:val="22"/>
                <w:szCs w:val="22"/>
              </w:rPr>
              <w:t>Seattle</w:t>
            </w:r>
          </w:smartTag>
          <w:r w:rsidRPr="000D6EA8">
            <w:rPr>
              <w:rFonts w:ascii="Arial" w:hAnsi="Arial" w:cs="Arial"/>
              <w:b/>
              <w:sz w:val="22"/>
              <w:szCs w:val="22"/>
            </w:rPr>
            <w:t xml:space="preserve">, </w:t>
          </w:r>
          <w:smartTag w:uri="urn:schemas-microsoft-com:office:smarttags" w:element="PostalCode">
            <w:r w:rsidRPr="000D6EA8">
              <w:rPr>
                <w:rFonts w:ascii="Arial" w:hAnsi="Arial" w:cs="Arial"/>
                <w:b/>
                <w:sz w:val="22"/>
                <w:szCs w:val="22"/>
              </w:rPr>
              <w:t>WA</w:t>
            </w:r>
          </w:smartTag>
          <w:r w:rsidRPr="000D6EA8">
            <w:rPr>
              <w:rFonts w:ascii="Arial" w:hAnsi="Arial" w:cs="Arial"/>
              <w:b/>
              <w:sz w:val="22"/>
              <w:szCs w:val="22"/>
            </w:rPr>
            <w:t xml:space="preserve">,  </w:t>
          </w:r>
          <w:smartTag w:uri="urn:schemas-microsoft-com:office:smarttags" w:element="PostalCode">
            <w:r w:rsidRPr="000D6EA8">
              <w:rPr>
                <w:rFonts w:ascii="Arial" w:hAnsi="Arial" w:cs="Arial"/>
                <w:b/>
                <w:sz w:val="22"/>
                <w:szCs w:val="22"/>
              </w:rPr>
              <w:t>98104</w:t>
            </w:r>
          </w:smartTag>
        </w:p>
        <w:p w:rsidR="00632AF9" w:rsidRPr="000D6EA8" w:rsidRDefault="00632AF9" w:rsidP="000F1480">
          <w:pPr>
            <w:rPr>
              <w:rFonts w:ascii="Arial" w:hAnsi="Arial" w:cs="Arial"/>
              <w:b/>
            </w:rPr>
          </w:pPr>
          <w:r w:rsidRPr="000D6EA8">
            <w:rPr>
              <w:rFonts w:ascii="Arial" w:hAnsi="Arial" w:cs="Arial"/>
              <w:b/>
              <w:sz w:val="22"/>
              <w:szCs w:val="22"/>
            </w:rPr>
            <w:t>Transfusion Services Laboratory</w:t>
          </w:r>
        </w:p>
        <w:p w:rsidR="00632AF9" w:rsidRPr="000D6EA8" w:rsidRDefault="00632AF9" w:rsidP="000F1480">
          <w:pPr>
            <w:rPr>
              <w:rFonts w:ascii="Arial" w:hAnsi="Arial" w:cs="Arial"/>
              <w:b/>
            </w:rPr>
          </w:pPr>
          <w:r w:rsidRPr="000D6EA8">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632AF9" w:rsidRPr="000D6EA8" w:rsidRDefault="00632AF9" w:rsidP="000F1480">
          <w:pPr>
            <w:rPr>
              <w:rFonts w:ascii="Arial" w:hAnsi="Arial" w:cs="Arial"/>
              <w:b/>
            </w:rPr>
          </w:pPr>
          <w:r w:rsidRPr="000D6EA8">
            <w:rPr>
              <w:rFonts w:ascii="Arial" w:hAnsi="Arial" w:cs="Arial"/>
              <w:b/>
              <w:sz w:val="22"/>
              <w:szCs w:val="22"/>
            </w:rPr>
            <w:t>Original Effective Date:</w:t>
          </w:r>
        </w:p>
        <w:p w:rsidR="00632AF9" w:rsidRPr="000D6EA8" w:rsidRDefault="00632AF9" w:rsidP="000F1480">
          <w:pPr>
            <w:jc w:val="both"/>
            <w:rPr>
              <w:rFonts w:ascii="Arial" w:hAnsi="Arial" w:cs="Arial"/>
              <w:b/>
            </w:rPr>
          </w:pPr>
          <w:r>
            <w:rPr>
              <w:rFonts w:ascii="Arial" w:hAnsi="Arial" w:cs="Arial"/>
              <w:b/>
              <w:sz w:val="22"/>
              <w:szCs w:val="22"/>
            </w:rPr>
            <w:t>April 1st</w:t>
          </w:r>
          <w:r w:rsidRPr="000D6EA8">
            <w:rPr>
              <w:rFonts w:ascii="Arial" w:hAnsi="Arial" w:cs="Arial"/>
              <w:b/>
              <w:sz w:val="22"/>
              <w:szCs w:val="22"/>
            </w:rPr>
            <w:t xml:space="preserve"> 2011</w:t>
          </w:r>
        </w:p>
      </w:tc>
      <w:tc>
        <w:tcPr>
          <w:tcW w:w="2251" w:type="dxa"/>
          <w:tcBorders>
            <w:top w:val="double" w:sz="4" w:space="0" w:color="auto"/>
            <w:left w:val="nil"/>
            <w:bottom w:val="nil"/>
          </w:tcBorders>
        </w:tcPr>
        <w:p w:rsidR="00632AF9" w:rsidRPr="000D6EA8" w:rsidRDefault="00632AF9" w:rsidP="000F1480">
          <w:pPr>
            <w:jc w:val="both"/>
            <w:rPr>
              <w:rFonts w:ascii="Arial" w:hAnsi="Arial" w:cs="Arial"/>
              <w:b/>
            </w:rPr>
          </w:pPr>
          <w:r w:rsidRPr="000D6EA8">
            <w:rPr>
              <w:rFonts w:ascii="Arial" w:hAnsi="Arial" w:cs="Arial"/>
              <w:b/>
              <w:sz w:val="22"/>
              <w:szCs w:val="22"/>
            </w:rPr>
            <w:t xml:space="preserve">Number: </w:t>
          </w:r>
        </w:p>
        <w:p w:rsidR="00632AF9" w:rsidRPr="002D5276" w:rsidRDefault="00084C87" w:rsidP="000F1480">
          <w:pPr>
            <w:jc w:val="both"/>
            <w:rPr>
              <w:rFonts w:ascii="Arial" w:hAnsi="Arial" w:cs="Arial"/>
              <w:b/>
            </w:rPr>
          </w:pPr>
          <w:r>
            <w:rPr>
              <w:rFonts w:ascii="Arial" w:hAnsi="Arial" w:cs="Arial"/>
              <w:b/>
              <w:sz w:val="22"/>
              <w:szCs w:val="22"/>
            </w:rPr>
            <w:t>5513-2</w:t>
          </w:r>
        </w:p>
      </w:tc>
    </w:tr>
    <w:tr w:rsidR="00632AF9" w:rsidTr="000F1480">
      <w:trPr>
        <w:cantSplit/>
        <w:trHeight w:val="132"/>
        <w:jc w:val="center"/>
      </w:trPr>
      <w:tc>
        <w:tcPr>
          <w:tcW w:w="5175" w:type="dxa"/>
          <w:vMerge/>
          <w:tcBorders>
            <w:top w:val="nil"/>
            <w:bottom w:val="single" w:sz="4" w:space="0" w:color="auto"/>
            <w:right w:val="single" w:sz="4" w:space="0" w:color="auto"/>
          </w:tcBorders>
        </w:tcPr>
        <w:p w:rsidR="00632AF9" w:rsidRPr="000D6EA8" w:rsidRDefault="00632AF9" w:rsidP="000F1480">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632AF9" w:rsidRPr="000D6EA8" w:rsidRDefault="00632AF9" w:rsidP="000F1480">
          <w:pPr>
            <w:jc w:val="both"/>
            <w:rPr>
              <w:rFonts w:ascii="Arial" w:hAnsi="Arial" w:cs="Arial"/>
              <w:b/>
            </w:rPr>
          </w:pPr>
          <w:r w:rsidRPr="000D6EA8">
            <w:rPr>
              <w:rFonts w:ascii="Arial" w:hAnsi="Arial" w:cs="Arial"/>
              <w:b/>
              <w:sz w:val="22"/>
              <w:szCs w:val="22"/>
            </w:rPr>
            <w:t>Revision Effective Date:</w:t>
          </w:r>
        </w:p>
        <w:p w:rsidR="00632AF9" w:rsidRPr="001150C2" w:rsidRDefault="001150C2" w:rsidP="000F1480">
          <w:pPr>
            <w:jc w:val="both"/>
            <w:rPr>
              <w:rFonts w:ascii="Arial" w:hAnsi="Arial" w:cs="Arial"/>
            </w:rPr>
          </w:pPr>
          <w:r>
            <w:rPr>
              <w:rFonts w:ascii="Arial" w:hAnsi="Arial" w:cs="Arial"/>
              <w:sz w:val="22"/>
              <w:szCs w:val="22"/>
            </w:rPr>
            <w:t>September 15, 2011</w:t>
          </w:r>
        </w:p>
      </w:tc>
      <w:tc>
        <w:tcPr>
          <w:tcW w:w="2251" w:type="dxa"/>
          <w:tcBorders>
            <w:top w:val="single" w:sz="4" w:space="0" w:color="auto"/>
            <w:left w:val="nil"/>
            <w:bottom w:val="single" w:sz="4" w:space="0" w:color="auto"/>
          </w:tcBorders>
        </w:tcPr>
        <w:p w:rsidR="00632AF9" w:rsidRPr="000D6EA8" w:rsidRDefault="00632AF9" w:rsidP="000F1480">
          <w:pPr>
            <w:jc w:val="both"/>
            <w:rPr>
              <w:rFonts w:ascii="Arial" w:hAnsi="Arial" w:cs="Arial"/>
              <w:b/>
            </w:rPr>
          </w:pPr>
          <w:r w:rsidRPr="000D6EA8">
            <w:rPr>
              <w:rFonts w:ascii="Arial" w:hAnsi="Arial" w:cs="Arial"/>
              <w:b/>
              <w:sz w:val="22"/>
              <w:szCs w:val="22"/>
            </w:rPr>
            <w:t xml:space="preserve">Pages: </w:t>
          </w:r>
          <w:r>
            <w:rPr>
              <w:rFonts w:ascii="Arial" w:hAnsi="Arial" w:cs="Arial"/>
              <w:b/>
              <w:sz w:val="22"/>
              <w:szCs w:val="22"/>
            </w:rPr>
            <w:t>1</w:t>
          </w:r>
        </w:p>
      </w:tc>
    </w:tr>
    <w:tr w:rsidR="00632AF9" w:rsidTr="000F1480">
      <w:trPr>
        <w:cantSplit/>
        <w:trHeight w:val="590"/>
        <w:jc w:val="center"/>
      </w:trPr>
      <w:tc>
        <w:tcPr>
          <w:tcW w:w="10173" w:type="dxa"/>
          <w:gridSpan w:val="3"/>
          <w:tcBorders>
            <w:top w:val="nil"/>
            <w:bottom w:val="double" w:sz="4" w:space="0" w:color="auto"/>
          </w:tcBorders>
          <w:vAlign w:val="center"/>
        </w:tcPr>
        <w:p w:rsidR="00632AF9" w:rsidRPr="004E32D7" w:rsidRDefault="00632AF9" w:rsidP="000F1480">
          <w:pPr>
            <w:rPr>
              <w:rFonts w:ascii="Arial" w:hAnsi="Arial" w:cs="Arial"/>
              <w:sz w:val="28"/>
              <w:szCs w:val="28"/>
            </w:rPr>
          </w:pPr>
          <w:r w:rsidRPr="004E32D7">
            <w:rPr>
              <w:rFonts w:ascii="Arial" w:hAnsi="Arial" w:cs="Arial"/>
              <w:sz w:val="28"/>
              <w:szCs w:val="28"/>
            </w:rPr>
            <w:t xml:space="preserve">TITLE: </w:t>
          </w:r>
          <w:r>
            <w:rPr>
              <w:rFonts w:ascii="Arial" w:hAnsi="Arial" w:cs="Arial"/>
              <w:sz w:val="28"/>
              <w:szCs w:val="28"/>
            </w:rPr>
            <w:t xml:space="preserve">Tango </w:t>
          </w:r>
          <w:r w:rsidRPr="004E32D7">
            <w:rPr>
              <w:rFonts w:ascii="Arial" w:hAnsi="Arial" w:cs="Arial"/>
              <w:sz w:val="28"/>
              <w:szCs w:val="28"/>
            </w:rPr>
            <w:t>Liquid Reagent Shelf Life</w:t>
          </w:r>
        </w:p>
      </w:tc>
    </w:tr>
  </w:tbl>
  <w:p w:rsidR="00632AF9" w:rsidRDefault="00632A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B509A"/>
    <w:multiLevelType w:val="multilevel"/>
    <w:tmpl w:val="E930655E"/>
    <w:lvl w:ilvl="0">
      <w:start w:val="1"/>
      <w:numFmt w:val="upperLetter"/>
      <w:lvlText w:val="%1."/>
      <w:lvlJc w:val="left"/>
      <w:pPr>
        <w:tabs>
          <w:tab w:val="num" w:pos="720"/>
        </w:tabs>
        <w:ind w:left="1080" w:hanging="108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11C014C0"/>
    <w:multiLevelType w:val="hybridMultilevel"/>
    <w:tmpl w:val="C66CB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B1157A"/>
    <w:multiLevelType w:val="hybridMultilevel"/>
    <w:tmpl w:val="EC82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E4347"/>
    <w:multiLevelType w:val="hybridMultilevel"/>
    <w:tmpl w:val="54BA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D6B3D"/>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2C7D66CB"/>
    <w:multiLevelType w:val="hybridMultilevel"/>
    <w:tmpl w:val="8786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294693"/>
    <w:multiLevelType w:val="hybridMultilevel"/>
    <w:tmpl w:val="C5FA99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0A77B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39A07D94"/>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40857E74"/>
    <w:multiLevelType w:val="hybridMultilevel"/>
    <w:tmpl w:val="E40A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B916D1"/>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448D18C7"/>
    <w:multiLevelType w:val="hybridMultilevel"/>
    <w:tmpl w:val="6446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76716C"/>
    <w:multiLevelType w:val="hybridMultilevel"/>
    <w:tmpl w:val="373C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507222"/>
    <w:multiLevelType w:val="hybridMultilevel"/>
    <w:tmpl w:val="AA92243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2F55154"/>
    <w:multiLevelType w:val="hybridMultilevel"/>
    <w:tmpl w:val="88CE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EB7FFE"/>
    <w:multiLevelType w:val="hybridMultilevel"/>
    <w:tmpl w:val="11D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EA0FB6"/>
    <w:multiLevelType w:val="multilevel"/>
    <w:tmpl w:val="CC567BD6"/>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611D5A0D"/>
    <w:multiLevelType w:val="hybridMultilevel"/>
    <w:tmpl w:val="937E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665124"/>
    <w:multiLevelType w:val="hybridMultilevel"/>
    <w:tmpl w:val="3A426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84C7389"/>
    <w:multiLevelType w:val="hybridMultilevel"/>
    <w:tmpl w:val="58B4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A836D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7F1F20E7"/>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7F5656AF"/>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20"/>
  </w:num>
  <w:num w:numId="3">
    <w:abstractNumId w:val="7"/>
  </w:num>
  <w:num w:numId="4">
    <w:abstractNumId w:val="21"/>
  </w:num>
  <w:num w:numId="5">
    <w:abstractNumId w:val="8"/>
  </w:num>
  <w:num w:numId="6">
    <w:abstractNumId w:val="4"/>
  </w:num>
  <w:num w:numId="7">
    <w:abstractNumId w:val="10"/>
  </w:num>
  <w:num w:numId="8">
    <w:abstractNumId w:val="3"/>
  </w:num>
  <w:num w:numId="9">
    <w:abstractNumId w:val="12"/>
  </w:num>
  <w:num w:numId="10">
    <w:abstractNumId w:val="19"/>
  </w:num>
  <w:num w:numId="11">
    <w:abstractNumId w:val="16"/>
  </w:num>
  <w:num w:numId="12">
    <w:abstractNumId w:val="18"/>
  </w:num>
  <w:num w:numId="13">
    <w:abstractNumId w:val="6"/>
  </w:num>
  <w:num w:numId="14">
    <w:abstractNumId w:val="1"/>
  </w:num>
  <w:num w:numId="15">
    <w:abstractNumId w:val="22"/>
  </w:num>
  <w:num w:numId="16">
    <w:abstractNumId w:val="13"/>
  </w:num>
  <w:num w:numId="17">
    <w:abstractNumId w:val="11"/>
  </w:num>
  <w:num w:numId="18">
    <w:abstractNumId w:val="17"/>
  </w:num>
  <w:num w:numId="19">
    <w:abstractNumId w:val="9"/>
  </w:num>
  <w:num w:numId="20">
    <w:abstractNumId w:val="5"/>
  </w:num>
  <w:num w:numId="21">
    <w:abstractNumId w:val="15"/>
  </w:num>
  <w:num w:numId="22">
    <w:abstractNumId w:val="2"/>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197"/>
    <w:rsid w:val="000054DB"/>
    <w:rsid w:val="00013C43"/>
    <w:rsid w:val="00020C51"/>
    <w:rsid w:val="000614D9"/>
    <w:rsid w:val="0006575D"/>
    <w:rsid w:val="00066048"/>
    <w:rsid w:val="00067AC5"/>
    <w:rsid w:val="00084C87"/>
    <w:rsid w:val="000A0A34"/>
    <w:rsid w:val="000C0429"/>
    <w:rsid w:val="000C09B9"/>
    <w:rsid w:val="000D6EA8"/>
    <w:rsid w:val="000F1480"/>
    <w:rsid w:val="000F5CCD"/>
    <w:rsid w:val="00111AB3"/>
    <w:rsid w:val="001150C2"/>
    <w:rsid w:val="0013118A"/>
    <w:rsid w:val="00135D76"/>
    <w:rsid w:val="00136256"/>
    <w:rsid w:val="00145179"/>
    <w:rsid w:val="00177399"/>
    <w:rsid w:val="00191D57"/>
    <w:rsid w:val="001C13D2"/>
    <w:rsid w:val="001C5F22"/>
    <w:rsid w:val="001F7C21"/>
    <w:rsid w:val="00282BCB"/>
    <w:rsid w:val="0029011C"/>
    <w:rsid w:val="002B468B"/>
    <w:rsid w:val="002D5276"/>
    <w:rsid w:val="002E2076"/>
    <w:rsid w:val="002F44F8"/>
    <w:rsid w:val="00315F67"/>
    <w:rsid w:val="00343315"/>
    <w:rsid w:val="003755AA"/>
    <w:rsid w:val="003D773B"/>
    <w:rsid w:val="004307A0"/>
    <w:rsid w:val="00455D69"/>
    <w:rsid w:val="0048178C"/>
    <w:rsid w:val="00484060"/>
    <w:rsid w:val="004C0EB3"/>
    <w:rsid w:val="004C62B9"/>
    <w:rsid w:val="004E32D7"/>
    <w:rsid w:val="00544EBE"/>
    <w:rsid w:val="005606C6"/>
    <w:rsid w:val="00584408"/>
    <w:rsid w:val="005B1079"/>
    <w:rsid w:val="005B4617"/>
    <w:rsid w:val="005B4B21"/>
    <w:rsid w:val="005C07BE"/>
    <w:rsid w:val="005C3426"/>
    <w:rsid w:val="00613F6B"/>
    <w:rsid w:val="00632AF9"/>
    <w:rsid w:val="0065476C"/>
    <w:rsid w:val="00666E62"/>
    <w:rsid w:val="006A0CFB"/>
    <w:rsid w:val="006A7EB3"/>
    <w:rsid w:val="006B307F"/>
    <w:rsid w:val="006C3C49"/>
    <w:rsid w:val="006D4395"/>
    <w:rsid w:val="006E5DC4"/>
    <w:rsid w:val="006F1F38"/>
    <w:rsid w:val="00721AC3"/>
    <w:rsid w:val="00727C55"/>
    <w:rsid w:val="00751668"/>
    <w:rsid w:val="007761C5"/>
    <w:rsid w:val="007C2F88"/>
    <w:rsid w:val="007E07FC"/>
    <w:rsid w:val="00817F53"/>
    <w:rsid w:val="00836932"/>
    <w:rsid w:val="00864EC0"/>
    <w:rsid w:val="00872F1A"/>
    <w:rsid w:val="008A23F4"/>
    <w:rsid w:val="008A392C"/>
    <w:rsid w:val="008C0B4B"/>
    <w:rsid w:val="008C15C1"/>
    <w:rsid w:val="008C7DED"/>
    <w:rsid w:val="008D1734"/>
    <w:rsid w:val="008E2005"/>
    <w:rsid w:val="00942BA8"/>
    <w:rsid w:val="009803A4"/>
    <w:rsid w:val="009E51A1"/>
    <w:rsid w:val="009E5B1F"/>
    <w:rsid w:val="00A258D7"/>
    <w:rsid w:val="00A63EF7"/>
    <w:rsid w:val="00A821C0"/>
    <w:rsid w:val="00A82A1B"/>
    <w:rsid w:val="00A87E85"/>
    <w:rsid w:val="00AB2D5F"/>
    <w:rsid w:val="00AD33FB"/>
    <w:rsid w:val="00AE0C26"/>
    <w:rsid w:val="00B00BF0"/>
    <w:rsid w:val="00B265F3"/>
    <w:rsid w:val="00B500CA"/>
    <w:rsid w:val="00B52FE3"/>
    <w:rsid w:val="00B54794"/>
    <w:rsid w:val="00B76B7E"/>
    <w:rsid w:val="00B962F6"/>
    <w:rsid w:val="00B96F12"/>
    <w:rsid w:val="00BB28C8"/>
    <w:rsid w:val="00BD189C"/>
    <w:rsid w:val="00C06149"/>
    <w:rsid w:val="00C1650D"/>
    <w:rsid w:val="00C42899"/>
    <w:rsid w:val="00C50A7E"/>
    <w:rsid w:val="00C57B0F"/>
    <w:rsid w:val="00CE0206"/>
    <w:rsid w:val="00CF128B"/>
    <w:rsid w:val="00D046F7"/>
    <w:rsid w:val="00D23197"/>
    <w:rsid w:val="00D733D0"/>
    <w:rsid w:val="00DC2374"/>
    <w:rsid w:val="00DF224E"/>
    <w:rsid w:val="00E04D5D"/>
    <w:rsid w:val="00EB37A2"/>
    <w:rsid w:val="00F107D7"/>
    <w:rsid w:val="00F10EB5"/>
    <w:rsid w:val="00FA2021"/>
    <w:rsid w:val="00FA2380"/>
    <w:rsid w:val="00FC7FD0"/>
    <w:rsid w:val="00FE5D90"/>
    <w:rsid w:val="00FE70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Type"/>
  <w:smartTagType w:namespaceuri="urn:schemas-microsoft-com:office:smarttags" w:name="PostalCode"/>
  <w:smartTagType w:namespaceuri="urn:schemas-microsoft-com:office:smarttags" w:name="PlaceName"/>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484060"/>
    <w:pPr>
      <w:ind w:left="720"/>
      <w:contextualSpacing/>
    </w:pPr>
  </w:style>
</w:styles>
</file>

<file path=word/webSettings.xml><?xml version="1.0" encoding="utf-8"?>
<w:webSettings xmlns:r="http://schemas.openxmlformats.org/officeDocument/2006/relationships" xmlns:w="http://schemas.openxmlformats.org/wordprocessingml/2006/main">
  <w:divs>
    <w:div w:id="721517187">
      <w:marLeft w:val="0"/>
      <w:marRight w:val="0"/>
      <w:marTop w:val="0"/>
      <w:marBottom w:val="0"/>
      <w:divBdr>
        <w:top w:val="none" w:sz="0" w:space="0" w:color="auto"/>
        <w:left w:val="none" w:sz="0" w:space="0" w:color="auto"/>
        <w:bottom w:val="none" w:sz="0" w:space="0" w:color="auto"/>
        <w:right w:val="none" w:sz="0" w:space="0" w:color="auto"/>
      </w:divBdr>
    </w:div>
    <w:div w:id="721517188">
      <w:marLeft w:val="0"/>
      <w:marRight w:val="0"/>
      <w:marTop w:val="0"/>
      <w:marBottom w:val="0"/>
      <w:divBdr>
        <w:top w:val="none" w:sz="0" w:space="0" w:color="auto"/>
        <w:left w:val="none" w:sz="0" w:space="0" w:color="auto"/>
        <w:bottom w:val="none" w:sz="0" w:space="0" w:color="auto"/>
        <w:right w:val="none" w:sz="0" w:space="0" w:color="auto"/>
      </w:divBdr>
    </w:div>
    <w:div w:id="721517189">
      <w:marLeft w:val="0"/>
      <w:marRight w:val="0"/>
      <w:marTop w:val="0"/>
      <w:marBottom w:val="0"/>
      <w:divBdr>
        <w:top w:val="none" w:sz="0" w:space="0" w:color="auto"/>
        <w:left w:val="none" w:sz="0" w:space="0" w:color="auto"/>
        <w:bottom w:val="none" w:sz="0" w:space="0" w:color="auto"/>
        <w:right w:val="none" w:sz="0" w:space="0" w:color="auto"/>
      </w:divBdr>
    </w:div>
    <w:div w:id="72151719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1574</Characters>
  <Application>Microsoft Office Word</Application>
  <DocSecurity>0</DocSecurity>
  <Lines>13</Lines>
  <Paragraphs>3</Paragraphs>
  <ScaleCrop>false</ScaleCrop>
  <Company>UWMC</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Katchatag</dc:creator>
  <cp:keywords/>
  <dc:description/>
  <cp:lastModifiedBy>Brenda Hayden</cp:lastModifiedBy>
  <cp:revision>2</cp:revision>
  <cp:lastPrinted>2011-09-08T22:02:00Z</cp:lastPrinted>
  <dcterms:created xsi:type="dcterms:W3CDTF">2011-10-05T22:55:00Z</dcterms:created>
  <dcterms:modified xsi:type="dcterms:W3CDTF">2011-10-05T22:55:00Z</dcterms:modified>
</cp:coreProperties>
</file>