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AF4A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9D0337" w:rsidRPr="00AF4AC9" w:rsidRDefault="00AF4AC9">
      <w:pPr>
        <w:rPr>
          <w:rFonts w:ascii="Arial" w:hAnsi="Arial" w:cs="Arial"/>
          <w:sz w:val="22"/>
          <w:szCs w:val="22"/>
        </w:rPr>
      </w:pPr>
      <w:r w:rsidRPr="00AF4AC9">
        <w:rPr>
          <w:rFonts w:ascii="Arial" w:hAnsi="Arial" w:cs="Arial"/>
          <w:sz w:val="22"/>
          <w:szCs w:val="22"/>
        </w:rPr>
        <w:t>To describe the process for Transfusion Service Operations during Computer Down</w:t>
      </w:r>
      <w:bookmarkStart w:id="0" w:name="_GoBack"/>
      <w:bookmarkEnd w:id="0"/>
      <w:r w:rsidRPr="00AF4AC9">
        <w:rPr>
          <w:rFonts w:ascii="Arial" w:hAnsi="Arial" w:cs="Arial"/>
          <w:sz w:val="22"/>
          <w:szCs w:val="22"/>
        </w:rPr>
        <w:t>time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7020"/>
        <w:gridCol w:w="2520"/>
      </w:tblGrid>
      <w:tr w:rsidR="00A94508" w:rsidTr="00DC3BFD">
        <w:trPr>
          <w:trHeight w:val="287"/>
        </w:trPr>
        <w:tc>
          <w:tcPr>
            <w:tcW w:w="8208" w:type="dxa"/>
            <w:gridSpan w:val="2"/>
          </w:tcPr>
          <w:p w:rsidR="00A94508" w:rsidRDefault="00A945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ORCA Downtime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Up</w:t>
            </w:r>
          </w:p>
        </w:tc>
        <w:tc>
          <w:tcPr>
            <w:tcW w:w="2520" w:type="dxa"/>
          </w:tcPr>
          <w:p w:rsidR="00A94508" w:rsidRDefault="00A945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94508" w:rsidTr="000F645C">
        <w:tc>
          <w:tcPr>
            <w:tcW w:w="8208" w:type="dxa"/>
            <w:gridSpan w:val="2"/>
          </w:tcPr>
          <w:p w:rsidR="00A94508" w:rsidRPr="00D24CC6" w:rsidRDefault="00A94508" w:rsidP="00A94508">
            <w:pPr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24CC6">
              <w:rPr>
                <w:rFonts w:ascii="Arial" w:hAnsi="Arial" w:cs="Arial"/>
                <w:sz w:val="22"/>
                <w:szCs w:val="22"/>
              </w:rPr>
              <w:t xml:space="preserve">Samples/Orders may arrive on patients who are not registered in </w:t>
            </w:r>
            <w:proofErr w:type="spellStart"/>
            <w:r w:rsidRPr="00D24CC6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Pr="00D24CC6">
              <w:rPr>
                <w:rFonts w:ascii="Arial" w:hAnsi="Arial" w:cs="Arial"/>
                <w:sz w:val="22"/>
                <w:szCs w:val="22"/>
              </w:rPr>
              <w:t xml:space="preserve"> because the patient information from Admitting Registration could not cross the interface into </w:t>
            </w:r>
            <w:proofErr w:type="spellStart"/>
            <w:r w:rsidRPr="00D24CC6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Pr="00D24CC6">
              <w:rPr>
                <w:rFonts w:ascii="Arial" w:hAnsi="Arial" w:cs="Arial"/>
                <w:sz w:val="22"/>
                <w:szCs w:val="22"/>
              </w:rPr>
              <w:t xml:space="preserve"> due to ORCA or Epic Registration being down.</w:t>
            </w:r>
          </w:p>
          <w:p w:rsidR="00A94508" w:rsidRPr="003325D6" w:rsidRDefault="00A94508" w:rsidP="00D33FF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Cr</w:t>
            </w:r>
            <w:r w:rsidR="00D33FF3">
              <w:rPr>
                <w:rFonts w:ascii="Arial" w:hAnsi="Arial" w:cs="Arial"/>
                <w:sz w:val="22"/>
                <w:szCs w:val="22"/>
              </w:rPr>
              <w:t xml:space="preserve">eate a new patient in </w:t>
            </w:r>
            <w:proofErr w:type="spellStart"/>
            <w:r w:rsidR="00D33FF3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  <w:p w:rsidR="00A94508" w:rsidRDefault="00A94508" w:rsidP="00D33FF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Order the tests listed on the requisition.</w:t>
            </w:r>
          </w:p>
          <w:p w:rsidR="00A94508" w:rsidRPr="003325D6" w:rsidRDefault="00A94508" w:rsidP="00A9450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Testing—proceed as usual.</w:t>
            </w:r>
          </w:p>
          <w:p w:rsidR="00A94508" w:rsidRPr="00A94508" w:rsidRDefault="00A94508" w:rsidP="00A94508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94508">
              <w:rPr>
                <w:rFonts w:ascii="Arial" w:hAnsi="Arial" w:cs="Arial"/>
                <w:sz w:val="22"/>
                <w:szCs w:val="22"/>
              </w:rPr>
              <w:t>Resulting—Results will be queued up in the middleware system, and will cross the interface back to ORCA once the system is up.</w:t>
            </w:r>
          </w:p>
        </w:tc>
        <w:tc>
          <w:tcPr>
            <w:tcW w:w="2520" w:type="dxa"/>
          </w:tcPr>
          <w:p w:rsidR="00A94508" w:rsidRPr="004C4B68" w:rsidRDefault="00D33FF3" w:rsidP="004C4B6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>Sample Acceptance Evaluation</w:t>
            </w:r>
          </w:p>
          <w:p w:rsidR="004C4B68" w:rsidRDefault="004C4B68" w:rsidP="004C4B6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33FF3" w:rsidRPr="004C4B68" w:rsidRDefault="00D33FF3" w:rsidP="004C4B6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>SQ Order Entry Process</w:t>
            </w:r>
          </w:p>
        </w:tc>
      </w:tr>
      <w:tr w:rsidR="00AF4AC9" w:rsidTr="000F645C">
        <w:trPr>
          <w:trHeight w:val="305"/>
        </w:trPr>
        <w:tc>
          <w:tcPr>
            <w:tcW w:w="8208" w:type="dxa"/>
            <w:gridSpan w:val="2"/>
          </w:tcPr>
          <w:p w:rsidR="00AF4AC9" w:rsidRPr="00AF4AC9" w:rsidRDefault="00AF4AC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F4AC9"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 w:rsidRPr="00AF4AC9">
              <w:rPr>
                <w:rFonts w:ascii="Arial" w:hAnsi="Arial" w:cs="Arial"/>
                <w:b/>
                <w:sz w:val="22"/>
                <w:szCs w:val="22"/>
              </w:rPr>
              <w:t xml:space="preserve"> Downtime, ORCA up or down</w:t>
            </w:r>
          </w:p>
        </w:tc>
        <w:tc>
          <w:tcPr>
            <w:tcW w:w="2520" w:type="dxa"/>
          </w:tcPr>
          <w:p w:rsidR="00AF4AC9" w:rsidRPr="00AF4AC9" w:rsidRDefault="00AF4A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F4AC9" w:rsidTr="000F645C">
        <w:tc>
          <w:tcPr>
            <w:tcW w:w="8208" w:type="dxa"/>
            <w:gridSpan w:val="2"/>
          </w:tcPr>
          <w:p w:rsidR="00AF4AC9" w:rsidRPr="00DA0CEB" w:rsidRDefault="00AF4AC9" w:rsidP="008C7F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Preparation for </w:t>
            </w:r>
            <w:r w:rsidRPr="00DA0CEB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0CEB">
              <w:rPr>
                <w:rFonts w:ascii="Arial" w:hAnsi="Arial" w:cs="Arial"/>
                <w:b/>
                <w:sz w:val="22"/>
                <w:szCs w:val="22"/>
              </w:rPr>
              <w:t>Downtime:</w:t>
            </w:r>
          </w:p>
          <w:p w:rsidR="00AF4AC9" w:rsidRDefault="00AF4AC9" w:rsidP="00AF4AC9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Immediately before go-down, print a </w:t>
            </w:r>
            <w:r w:rsidRPr="00201C31">
              <w:rPr>
                <w:rFonts w:ascii="Arial" w:hAnsi="Arial" w:cs="Arial"/>
                <w:sz w:val="22"/>
                <w:szCs w:val="22"/>
                <w:highlight w:val="yellow"/>
              </w:rPr>
              <w:t>Product File List</w:t>
            </w:r>
            <w:r w:rsidR="00D33FF3">
              <w:rPr>
                <w:rFonts w:ascii="Arial" w:hAnsi="Arial" w:cs="Arial"/>
                <w:sz w:val="22"/>
                <w:szCs w:val="22"/>
              </w:rPr>
              <w:t xml:space="preserve">, BBR2. </w:t>
            </w:r>
            <w:r>
              <w:rPr>
                <w:rFonts w:ascii="Arial" w:hAnsi="Arial" w:cs="Arial"/>
                <w:sz w:val="22"/>
                <w:szCs w:val="22"/>
              </w:rPr>
              <w:t xml:space="preserve">Use this to choose units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0DA4" w:rsidRDefault="00DC3BFD" w:rsidP="00AF4AC9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00DA4">
              <w:rPr>
                <w:rFonts w:ascii="Arial" w:hAnsi="Arial" w:cs="Arial"/>
                <w:sz w:val="22"/>
                <w:szCs w:val="22"/>
                <w:highlight w:val="yellow"/>
              </w:rPr>
              <w:t>An</w:t>
            </w:r>
            <w:r w:rsidR="00A00DA4" w:rsidRPr="00A00DA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hour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a half</w:t>
            </w:r>
            <w:r w:rsidR="00A00DA4" w:rsidRPr="00A00DA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prior to go down, run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BEX</w:t>
            </w:r>
            <w:r w:rsidR="00A00DA4" w:rsidRPr="00A00DA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capture reports BBR6, BBR15, and BBR22.</w:t>
            </w:r>
          </w:p>
          <w:p w:rsidR="00DC3BFD" w:rsidRDefault="00DC3BFD" w:rsidP="00DC3B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For any patients tested after running reports but before downtime print results from BBI</w:t>
            </w:r>
          </w:p>
          <w:p w:rsidR="00DC3BFD" w:rsidRPr="00A00DA4" w:rsidRDefault="00904B7C" w:rsidP="00DC3B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Save reports to Lilith, HMC_TSS/downtime SQ reports. This ensures they are</w:t>
            </w:r>
            <w:r w:rsidR="00DC3B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accessible to all TSL staff</w:t>
            </w:r>
          </w:p>
          <w:p w:rsidR="00AF4AC9" w:rsidRDefault="00AF4AC9" w:rsidP="00AF4AC9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hour before planned downtime, allocate any units ordered for transfusion or surgery patients who qualify for computer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since this function will be unavailable during computer down.</w:t>
            </w:r>
          </w:p>
          <w:p w:rsidR="000F645C" w:rsidRPr="003325D6" w:rsidRDefault="00DC3BFD" w:rsidP="00DC3B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blood location inventory</w:t>
            </w:r>
          </w:p>
        </w:tc>
        <w:tc>
          <w:tcPr>
            <w:tcW w:w="2520" w:type="dxa"/>
          </w:tcPr>
          <w:p w:rsidR="00AF4AC9" w:rsidRPr="004C4B68" w:rsidRDefault="00AF4AC9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</w:rPr>
              <w:t>SQ Daily Operations Reports</w:t>
            </w:r>
          </w:p>
          <w:p w:rsidR="004C4B68" w:rsidRDefault="004C4B68" w:rsidP="004C4B6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AF4AC9" w:rsidRPr="004C4B68" w:rsidRDefault="00AF4AC9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>Monthly Blood Product Usage Reports</w:t>
            </w:r>
          </w:p>
          <w:p w:rsidR="004C4B68" w:rsidRDefault="004C4B68" w:rsidP="004C4B6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21385E" w:rsidRPr="004C4B68" w:rsidRDefault="0021385E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>SQ Patient History Backup Reports</w:t>
            </w:r>
          </w:p>
        </w:tc>
      </w:tr>
      <w:tr w:rsidR="00AF4AC9" w:rsidTr="000F645C">
        <w:trPr>
          <w:trHeight w:val="242"/>
        </w:trPr>
        <w:tc>
          <w:tcPr>
            <w:tcW w:w="10728" w:type="dxa"/>
            <w:gridSpan w:val="3"/>
          </w:tcPr>
          <w:p w:rsidR="00AF4AC9" w:rsidRPr="00AF4AC9" w:rsidRDefault="00AF4AC9" w:rsidP="00AF4A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Unplanned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Downtime, ORCA up or down</w:t>
            </w:r>
          </w:p>
        </w:tc>
      </w:tr>
      <w:tr w:rsidR="00AF4AC9" w:rsidTr="00E7049B">
        <w:tc>
          <w:tcPr>
            <w:tcW w:w="10728" w:type="dxa"/>
            <w:gridSpan w:val="3"/>
          </w:tcPr>
          <w:p w:rsidR="00AF4AC9" w:rsidRPr="00372267" w:rsidRDefault="00AF4AC9" w:rsidP="00AF4AC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t>NO preparation for unplanned SQ downtime</w:t>
            </w:r>
          </w:p>
          <w:p w:rsidR="000F645C" w:rsidRPr="00AF4AC9" w:rsidRDefault="00C80D1F" w:rsidP="006159F7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80D1F">
              <w:rPr>
                <w:rFonts w:ascii="Arial" w:hAnsi="Arial" w:cs="Arial"/>
                <w:sz w:val="22"/>
                <w:szCs w:val="22"/>
                <w:highlight w:val="yellow"/>
              </w:rPr>
              <w:t>All testing performed since backup reports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were run</w:t>
            </w:r>
            <w:r w:rsidRPr="00C80D1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must be retested. This includes patient samples and donor units.</w:t>
            </w:r>
          </w:p>
        </w:tc>
      </w:tr>
      <w:tr w:rsidR="00AF4AC9" w:rsidTr="000F645C">
        <w:trPr>
          <w:trHeight w:val="278"/>
        </w:trPr>
        <w:tc>
          <w:tcPr>
            <w:tcW w:w="10728" w:type="dxa"/>
            <w:gridSpan w:val="3"/>
          </w:tcPr>
          <w:p w:rsidR="00AF4AC9" w:rsidRDefault="00AF4AC9" w:rsidP="008C7F18">
            <w:pPr>
              <w:rPr>
                <w:rFonts w:ascii="Arial" w:hAnsi="Arial" w:cs="Arial"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proofErr w:type="spellStart"/>
            <w:r w:rsidRPr="00372267"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 w:rsidRPr="00372267">
              <w:rPr>
                <w:rFonts w:ascii="Arial" w:hAnsi="Arial" w:cs="Arial"/>
                <w:b/>
                <w:sz w:val="22"/>
                <w:szCs w:val="22"/>
              </w:rPr>
              <w:t xml:space="preserve"> Downtimes, ORCA up or down</w:t>
            </w:r>
          </w:p>
        </w:tc>
      </w:tr>
      <w:tr w:rsidR="00AF4AC9" w:rsidTr="000F645C">
        <w:tc>
          <w:tcPr>
            <w:tcW w:w="1188" w:type="dxa"/>
          </w:tcPr>
          <w:p w:rsidR="00AF4AC9" w:rsidRPr="00AF4AC9" w:rsidRDefault="00AF4A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</w:tcPr>
          <w:p w:rsidR="00AF4AC9" w:rsidRPr="00AF4AC9" w:rsidRDefault="00AF4A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</w:tcPr>
          <w:p w:rsidR="00AF4AC9" w:rsidRPr="00AF4AC9" w:rsidRDefault="00AF4A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F4AC9" w:rsidTr="000F645C">
        <w:tc>
          <w:tcPr>
            <w:tcW w:w="1188" w:type="dxa"/>
          </w:tcPr>
          <w:p w:rsidR="00AF4AC9" w:rsidRPr="00AF4AC9" w:rsidRDefault="00A945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A94508" w:rsidRDefault="00A94508" w:rsidP="00A9450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 Entry</w:t>
            </w:r>
          </w:p>
          <w:p w:rsidR="00A94508" w:rsidRPr="00CE67F4" w:rsidRDefault="00A94508" w:rsidP="00A94508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 the CPOE order or Paper Requisition.  This is critical for recovery entry when SQ comes back online.</w:t>
            </w:r>
          </w:p>
          <w:p w:rsidR="00A94508" w:rsidRPr="00CE67F4" w:rsidRDefault="00A94508" w:rsidP="00A94508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Downtime Number sets </w:t>
            </w:r>
            <w:r w:rsidRPr="00600EAA">
              <w:rPr>
                <w:rFonts w:ascii="Arial" w:hAnsi="Arial" w:cs="Arial"/>
                <w:sz w:val="22"/>
                <w:szCs w:val="22"/>
              </w:rPr>
              <w:t>(“A” labels with barcode)</w:t>
            </w:r>
            <w:r>
              <w:rPr>
                <w:rFonts w:ascii="Arial" w:hAnsi="Arial" w:cs="Arial"/>
                <w:sz w:val="22"/>
                <w:szCs w:val="22"/>
              </w:rPr>
              <w:t xml:space="preserve"> located in the Downtime Box.</w:t>
            </w:r>
          </w:p>
          <w:p w:rsidR="00A94508" w:rsidRPr="00D32786" w:rsidRDefault="00A94508" w:rsidP="00D32786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 with the lowest number and continue in numerical order.</w:t>
            </w:r>
            <w:r w:rsidR="00D32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786">
              <w:rPr>
                <w:rFonts w:ascii="Arial" w:hAnsi="Arial" w:cs="Arial"/>
                <w:sz w:val="22"/>
                <w:szCs w:val="22"/>
              </w:rPr>
              <w:t>Each numb</w:t>
            </w:r>
            <w:r w:rsidR="00D32786" w:rsidRPr="00D32786">
              <w:rPr>
                <w:rFonts w:ascii="Arial" w:hAnsi="Arial" w:cs="Arial"/>
                <w:sz w:val="22"/>
                <w:szCs w:val="22"/>
              </w:rPr>
              <w:t>er set has four 3-part labels:</w:t>
            </w:r>
          </w:p>
          <w:p w:rsidR="00A94508" w:rsidRPr="00CE67F4" w:rsidRDefault="007F371D" w:rsidP="00A94508">
            <w:pPr>
              <w:pStyle w:val="ListParagraph"/>
              <w:numPr>
                <w:ilvl w:val="1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Affix one to the sample and the </w:t>
            </w:r>
            <w:r w:rsidRPr="007F371D">
              <w:rPr>
                <w:rFonts w:ascii="Arial" w:hAnsi="Arial" w:cs="Arial"/>
                <w:sz w:val="22"/>
                <w:szCs w:val="22"/>
                <w:highlight w:val="yellow"/>
              </w:rPr>
              <w:t>Downtime Order Entry Log</w:t>
            </w:r>
          </w:p>
          <w:p w:rsidR="00A94508" w:rsidRDefault="00A94508" w:rsidP="00A94508">
            <w:pPr>
              <w:pStyle w:val="ListParagraph"/>
              <w:numPr>
                <w:ilvl w:val="1"/>
                <w:numId w:val="7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lastRenderedPageBreak/>
              <w:t>Affix one to the CPOE or paper requisition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DF3701" w:rsidRDefault="00A94508" w:rsidP="00DF3701">
            <w:pPr>
              <w:pStyle w:val="ListParagraph"/>
              <w:numPr>
                <w:ilvl w:val="1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B4D70">
              <w:rPr>
                <w:rFonts w:ascii="Arial" w:hAnsi="Arial" w:cs="Arial"/>
                <w:sz w:val="22"/>
                <w:szCs w:val="22"/>
                <w:highlight w:val="yellow"/>
              </w:rPr>
              <w:t>Handwrite name and HID on labels using</w:t>
            </w:r>
            <w:r w:rsidR="00D3278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</w:t>
            </w:r>
            <w:r w:rsidRPr="00DB4D7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smudge proof pen</w:t>
            </w:r>
          </w:p>
          <w:p w:rsidR="00DF3701" w:rsidRPr="00DF3701" w:rsidRDefault="00DF3701" w:rsidP="00DF3701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F3701">
              <w:rPr>
                <w:rFonts w:ascii="Arial" w:hAnsi="Arial" w:cs="Arial"/>
                <w:sz w:val="22"/>
                <w:szCs w:val="22"/>
                <w:highlight w:val="yellow"/>
              </w:rPr>
              <w:t>Record all orders on the Downtime Order Entry Log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A94508" w:rsidRDefault="00A94508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</w:rPr>
              <w:lastRenderedPageBreak/>
              <w:t>Sample Acceptance Evaluation</w:t>
            </w:r>
          </w:p>
          <w:p w:rsidR="004C4B68" w:rsidRP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AC9" w:rsidRDefault="00A94508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  <w:p w:rsidR="004C4B68" w:rsidRP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F371D" w:rsidRPr="004C4B68" w:rsidRDefault="007F371D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>LIS Downtime Order Entry Log</w:t>
            </w:r>
            <w:r w:rsidRPr="004C4B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 w:rsidP="008C7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</w:tcPr>
          <w:p w:rsidR="00D32786" w:rsidRPr="00AF4AC9" w:rsidRDefault="00D32786" w:rsidP="008C7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</w:tcPr>
          <w:p w:rsidR="00D32786" w:rsidRPr="00AF4AC9" w:rsidRDefault="00D32786" w:rsidP="008C7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D32786" w:rsidRDefault="00D32786" w:rsidP="008C7F1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History Check</w:t>
            </w:r>
          </w:p>
          <w:p w:rsidR="00D32786" w:rsidRPr="00CE67F4" w:rsidRDefault="00D32786" w:rsidP="00A94508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Use Downtime Patient History File</w:t>
            </w:r>
            <w:r w:rsidR="00BD612B">
              <w:rPr>
                <w:rFonts w:ascii="Arial" w:hAnsi="Arial" w:cs="Arial"/>
                <w:sz w:val="22"/>
                <w:szCs w:val="22"/>
              </w:rPr>
              <w:t xml:space="preserve"> found in </w:t>
            </w:r>
            <w:proofErr w:type="spellStart"/>
            <w:proofErr w:type="gramStart"/>
            <w:r w:rsidR="00BD612B">
              <w:rPr>
                <w:rFonts w:ascii="Arial" w:hAnsi="Arial" w:cs="Arial"/>
                <w:sz w:val="22"/>
                <w:szCs w:val="22"/>
              </w:rPr>
              <w:t>lilith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67F4">
              <w:rPr>
                <w:rFonts w:ascii="Arial" w:hAnsi="Arial" w:cs="Arial"/>
                <w:sz w:val="22"/>
                <w:szCs w:val="22"/>
              </w:rPr>
              <w:t>for accessing patient history.</w:t>
            </w:r>
          </w:p>
          <w:p w:rsidR="00D32786" w:rsidRPr="00CE67F4" w:rsidRDefault="00BD612B" w:rsidP="00A94508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Downtime Patient History Files are</w:t>
            </w:r>
            <w:r w:rsidR="00D32786" w:rsidRPr="00CE67F4">
              <w:rPr>
                <w:rFonts w:ascii="Arial" w:hAnsi="Arial" w:cs="Arial"/>
                <w:sz w:val="22"/>
                <w:szCs w:val="22"/>
              </w:rPr>
              <w:t xml:space="preserve"> backed up daily. </w:t>
            </w:r>
          </w:p>
          <w:p w:rsidR="00D32786" w:rsidRPr="00CE67F4" w:rsidRDefault="00D32786" w:rsidP="00A94508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There will be a gap in time between last backup and SQ go-down for which no history will be available.  If ORCA is up, it can be checked for recent TSCR or TXM orders.</w:t>
            </w:r>
          </w:p>
          <w:p w:rsidR="00D32786" w:rsidRDefault="00D32786" w:rsidP="00A94508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Check active antibody files for recent antibody patients</w:t>
            </w:r>
          </w:p>
          <w:p w:rsidR="00D32786" w:rsidRPr="00CE67F4" w:rsidRDefault="00D32786" w:rsidP="00BD612B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any</w:t>
            </w:r>
            <w:r w:rsidR="00BD612B">
              <w:rPr>
                <w:rFonts w:ascii="Arial" w:hAnsi="Arial" w:cs="Arial"/>
                <w:sz w:val="22"/>
                <w:szCs w:val="22"/>
              </w:rPr>
              <w:t xml:space="preserve"> patient histories found on BBR6, BBR15 and BBR22 </w:t>
            </w:r>
            <w:r>
              <w:rPr>
                <w:rFonts w:ascii="Arial" w:hAnsi="Arial" w:cs="Arial"/>
                <w:sz w:val="22"/>
                <w:szCs w:val="22"/>
              </w:rPr>
              <w:t>and attach to order form.</w:t>
            </w:r>
          </w:p>
        </w:tc>
        <w:tc>
          <w:tcPr>
            <w:tcW w:w="2520" w:type="dxa"/>
          </w:tcPr>
          <w:p w:rsidR="00F4601A" w:rsidRPr="004C4B68" w:rsidRDefault="00F4601A" w:rsidP="004C4B6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SQ Patient History Backup Reports </w:t>
            </w:r>
          </w:p>
          <w:p w:rsidR="00D32786" w:rsidRPr="00F4601A" w:rsidRDefault="00D32786" w:rsidP="00F4601A"/>
        </w:tc>
      </w:tr>
      <w:tr w:rsidR="00D32786" w:rsidTr="000F645C">
        <w:tc>
          <w:tcPr>
            <w:tcW w:w="1188" w:type="dxa"/>
          </w:tcPr>
          <w:p w:rsidR="00D32786" w:rsidRPr="00AF4AC9" w:rsidRDefault="00D327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D32786" w:rsidRDefault="00D32786" w:rsidP="008C7F1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  <w:p w:rsidR="00D32786" w:rsidRPr="00A94508" w:rsidRDefault="00D32786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4508">
              <w:rPr>
                <w:rFonts w:ascii="Arial" w:hAnsi="Arial" w:cs="Arial"/>
                <w:sz w:val="22"/>
                <w:szCs w:val="22"/>
              </w:rPr>
              <w:t xml:space="preserve">Document on Manual Bench testing form by writing “History </w:t>
            </w:r>
            <w:r>
              <w:rPr>
                <w:rFonts w:ascii="Arial" w:hAnsi="Arial" w:cs="Arial"/>
                <w:sz w:val="22"/>
                <w:szCs w:val="22"/>
              </w:rPr>
              <w:t>found” or “History not found”</w:t>
            </w:r>
          </w:p>
          <w:p w:rsidR="00D32786" w:rsidRPr="00A94508" w:rsidRDefault="00D32786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4508">
              <w:rPr>
                <w:rFonts w:ascii="Arial" w:hAnsi="Arial" w:cs="Arial"/>
                <w:sz w:val="22"/>
                <w:szCs w:val="22"/>
              </w:rPr>
              <w:t>Document any antibody history or problems on the Manual Bench Testing form.</w:t>
            </w:r>
          </w:p>
          <w:p w:rsidR="00D32786" w:rsidRPr="00B83E70" w:rsidRDefault="00D32786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Document all Unit/Patient Antigen testing on Patient/Unit Typing Worksheet.</w:t>
            </w:r>
          </w:p>
          <w:p w:rsidR="00D32786" w:rsidRPr="00B83E70" w:rsidRDefault="00D32786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Print Patient TANGO records for all TANGO testing</w:t>
            </w:r>
            <w:r w:rsidR="00423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3DFD" w:rsidRPr="00423DFD">
              <w:rPr>
                <w:rFonts w:ascii="Arial" w:hAnsi="Arial" w:cs="Arial"/>
                <w:sz w:val="22"/>
                <w:szCs w:val="22"/>
                <w:highlight w:val="yellow"/>
              </w:rPr>
              <w:t>and leave results in the Daily Journal</w:t>
            </w:r>
            <w:r w:rsidRPr="00423DFD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600E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EAA">
              <w:rPr>
                <w:rFonts w:ascii="Arial" w:hAnsi="Arial" w:cs="Arial"/>
                <w:b/>
                <w:sz w:val="22"/>
                <w:szCs w:val="22"/>
              </w:rPr>
              <w:t>(Note: TANGO will read “A” label barcodes used during downtime order entry</w:t>
            </w:r>
            <w:r w:rsidR="00423DF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;</w:t>
            </w:r>
            <w:r w:rsidR="00EB20B0" w:rsidRPr="00EB20B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these results will</w:t>
            </w:r>
            <w:r w:rsidRPr="00600EAA">
              <w:rPr>
                <w:rFonts w:ascii="Arial" w:hAnsi="Arial" w:cs="Arial"/>
                <w:b/>
                <w:sz w:val="22"/>
                <w:szCs w:val="22"/>
              </w:rPr>
              <w:t xml:space="preserve"> transmit to the LIS. </w:t>
            </w:r>
          </w:p>
          <w:p w:rsidR="00A00DA4" w:rsidRPr="00A00DA4" w:rsidRDefault="00A00DA4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unplanned SQ down, any patient testing post BBR22 capture will need to be re</w:t>
            </w:r>
            <w:r w:rsidR="00BD612B">
              <w:rPr>
                <w:rFonts w:ascii="Arial" w:hAnsi="Arial" w:cs="Arial"/>
                <w:sz w:val="22"/>
                <w:szCs w:val="22"/>
                <w:highlight w:val="yellow"/>
              </w:rPr>
              <w:t>tested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D32786" w:rsidRPr="00B83E70" w:rsidRDefault="00D32786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 xml:space="preserve">Use Immediate Spin </w:t>
            </w:r>
            <w:proofErr w:type="spellStart"/>
            <w:r w:rsidRPr="00B83E70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B83E70">
              <w:rPr>
                <w:rFonts w:ascii="Arial" w:hAnsi="Arial" w:cs="Arial"/>
                <w:sz w:val="22"/>
                <w:szCs w:val="22"/>
              </w:rPr>
              <w:t xml:space="preserve"> in lieu of Computer </w:t>
            </w:r>
            <w:proofErr w:type="spellStart"/>
            <w:r w:rsidRPr="00B83E70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B83E7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32786" w:rsidRPr="00600EAA" w:rsidRDefault="00D32786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600EAA">
              <w:rPr>
                <w:rFonts w:ascii="Arial" w:hAnsi="Arial" w:cs="Arial"/>
                <w:sz w:val="22"/>
                <w:szCs w:val="22"/>
              </w:rPr>
              <w:t xml:space="preserve">When an AHG </w:t>
            </w:r>
            <w:proofErr w:type="spellStart"/>
            <w:r w:rsidRPr="00600EAA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00EAA">
              <w:rPr>
                <w:rFonts w:ascii="Arial" w:hAnsi="Arial" w:cs="Arial"/>
                <w:sz w:val="22"/>
                <w:szCs w:val="22"/>
              </w:rPr>
              <w:t xml:space="preserve"> is indicated by patient history</w:t>
            </w:r>
            <w:r w:rsidR="00BD612B">
              <w:rPr>
                <w:rFonts w:ascii="Arial" w:hAnsi="Arial" w:cs="Arial"/>
                <w:sz w:val="22"/>
                <w:szCs w:val="22"/>
              </w:rPr>
              <w:t>,</w:t>
            </w:r>
            <w:r w:rsidR="000F64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00EA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gramEnd"/>
            <w:r w:rsidRPr="00600EAA">
              <w:rPr>
                <w:rFonts w:ascii="Arial" w:hAnsi="Arial" w:cs="Arial"/>
                <w:b/>
                <w:sz w:val="22"/>
                <w:szCs w:val="22"/>
              </w:rPr>
              <w:t xml:space="preserve"> immediate spin phase must be included to check for ABO compatibility.</w:t>
            </w:r>
          </w:p>
          <w:p w:rsidR="00D32786" w:rsidRPr="00B83E70" w:rsidRDefault="00BD612B" w:rsidP="00A9450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Transfusion Record m</w:t>
            </w:r>
            <w:r w:rsidR="00D32786" w:rsidRPr="00B83E70">
              <w:rPr>
                <w:rFonts w:ascii="Arial" w:hAnsi="Arial" w:cs="Arial"/>
                <w:sz w:val="22"/>
                <w:szCs w:val="22"/>
              </w:rPr>
              <w:t>anually and attach to product</w:t>
            </w:r>
          </w:p>
        </w:tc>
        <w:tc>
          <w:tcPr>
            <w:tcW w:w="2520" w:type="dxa"/>
          </w:tcPr>
          <w:p w:rsidR="00D32786" w:rsidRDefault="00D32786" w:rsidP="004C4B6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</w:rPr>
              <w:t>Manual Bench Testing Form</w:t>
            </w:r>
          </w:p>
          <w:p w:rsidR="004C4B68" w:rsidRPr="004C4B68" w:rsidRDefault="004C4B68" w:rsidP="004C4B6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786" w:rsidRDefault="00D32786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4C4B68" w:rsidRP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2786" w:rsidRDefault="00D32786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</w:rPr>
              <w:t>Antibody Screen by LISS Tube</w:t>
            </w:r>
          </w:p>
          <w:p w:rsidR="004C4B68" w:rsidRP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2786" w:rsidRDefault="00D32786" w:rsidP="004C4B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4B6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4C4B68">
              <w:rPr>
                <w:rFonts w:ascii="Arial" w:hAnsi="Arial" w:cs="Arial"/>
                <w:sz w:val="22"/>
                <w:szCs w:val="22"/>
              </w:rPr>
              <w:t xml:space="preserve"> by Immediate Spin</w:t>
            </w:r>
          </w:p>
          <w:p w:rsidR="004C4B68" w:rsidRP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2786" w:rsidRDefault="00D32786" w:rsidP="004C4B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4B6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4C4B68">
              <w:rPr>
                <w:rFonts w:ascii="Arial" w:hAnsi="Arial" w:cs="Arial"/>
                <w:sz w:val="22"/>
                <w:szCs w:val="22"/>
              </w:rPr>
              <w:t xml:space="preserve"> by LISS Tube IAT</w:t>
            </w:r>
          </w:p>
          <w:p w:rsid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>Crossmatch</w:t>
            </w:r>
            <w:proofErr w:type="spellEnd"/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</w:t>
            </w:r>
            <w:proofErr w:type="spellStart"/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>PeG</w:t>
            </w:r>
            <w:proofErr w:type="spellEnd"/>
            <w:r w:rsidRPr="004C4B6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Tube IAT</w:t>
            </w:r>
          </w:p>
          <w:p w:rsidR="00BD612B" w:rsidRDefault="00BD612B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BD612B" w:rsidRPr="004C4B68" w:rsidRDefault="00BD612B" w:rsidP="004C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D32786" w:rsidRPr="006A1A54" w:rsidRDefault="00D32786" w:rsidP="008C7F1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1A54">
              <w:rPr>
                <w:rFonts w:ascii="Arial" w:hAnsi="Arial" w:cs="Arial"/>
                <w:b/>
                <w:sz w:val="22"/>
                <w:szCs w:val="22"/>
              </w:rPr>
              <w:t>Component Preparation</w:t>
            </w:r>
          </w:p>
          <w:p w:rsidR="00D32786" w:rsidRPr="006A1A54" w:rsidRDefault="00D32786" w:rsidP="00A94508">
            <w:pPr>
              <w:numPr>
                <w:ilvl w:val="0"/>
                <w:numId w:val="10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Use Downtime Component Preparation Worksheet to document each component prepared.  Put one of the Downtime numbers on the worksheet</w:t>
            </w:r>
          </w:p>
          <w:p w:rsidR="00D32786" w:rsidRPr="006A1A54" w:rsidRDefault="00D32786" w:rsidP="00A94508">
            <w:pPr>
              <w:numPr>
                <w:ilvl w:val="0"/>
                <w:numId w:val="10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Attach 2</w:t>
            </w:r>
            <w:r w:rsidRPr="006A1A5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6A1A54">
              <w:rPr>
                <w:rFonts w:ascii="Arial" w:hAnsi="Arial" w:cs="Arial"/>
                <w:sz w:val="22"/>
                <w:szCs w:val="22"/>
              </w:rPr>
              <w:t xml:space="preserve"> copy of product label from </w:t>
            </w:r>
            <w:r w:rsidR="00BD612B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proofErr w:type="spellStart"/>
            <w:r w:rsidRPr="006A1A54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6A1A54">
              <w:rPr>
                <w:rFonts w:ascii="Arial" w:hAnsi="Arial" w:cs="Arial"/>
                <w:sz w:val="22"/>
                <w:szCs w:val="22"/>
              </w:rPr>
              <w:t xml:space="preserve"> to back of worksheet.</w:t>
            </w:r>
          </w:p>
          <w:p w:rsidR="00D32786" w:rsidRPr="004C4B68" w:rsidRDefault="00D32786" w:rsidP="004C4B68">
            <w:pPr>
              <w:numPr>
                <w:ilvl w:val="0"/>
                <w:numId w:val="10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 xml:space="preserve">Use Downtime Label Verification form for all products </w:t>
            </w:r>
            <w:r w:rsidR="00815BE8" w:rsidRPr="00DC3B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requiring a new label. A two person </w:t>
            </w:r>
            <w:proofErr w:type="spellStart"/>
            <w:r w:rsidR="00815BE8" w:rsidRPr="00DC3BFD">
              <w:rPr>
                <w:rFonts w:ascii="Arial" w:hAnsi="Arial" w:cs="Arial"/>
                <w:sz w:val="22"/>
                <w:szCs w:val="22"/>
                <w:highlight w:val="yellow"/>
              </w:rPr>
              <w:t>readback</w:t>
            </w:r>
            <w:proofErr w:type="spellEnd"/>
            <w:r w:rsidR="00815BE8" w:rsidRPr="00DC3B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is performed as part of the verification process</w:t>
            </w:r>
          </w:p>
        </w:tc>
        <w:tc>
          <w:tcPr>
            <w:tcW w:w="2520" w:type="dxa"/>
          </w:tcPr>
          <w:p w:rsidR="00D32786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Component Prep Worksheet</w:t>
            </w:r>
          </w:p>
          <w:p w:rsidR="004C4B68" w:rsidRPr="00B83E70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32786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Label Verification form</w:t>
            </w:r>
          </w:p>
          <w:p w:rsidR="004C4B68" w:rsidRPr="00B83E70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32786" w:rsidRPr="00B83E70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Label Verification Process</w:t>
            </w:r>
          </w:p>
          <w:p w:rsidR="004C4B68" w:rsidRDefault="004C4B68" w:rsidP="004C4B6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2786" w:rsidRPr="004C4B68" w:rsidRDefault="00D32786" w:rsidP="004C4B68">
            <w:pPr>
              <w:rPr>
                <w:rFonts w:ascii="Arial" w:hAnsi="Arial" w:cs="Arial"/>
                <w:sz w:val="22"/>
                <w:szCs w:val="22"/>
              </w:rPr>
            </w:pPr>
            <w:r w:rsidRPr="004C4B68">
              <w:rPr>
                <w:rFonts w:ascii="Arial" w:hAnsi="Arial" w:cs="Arial"/>
                <w:sz w:val="22"/>
                <w:szCs w:val="22"/>
              </w:rPr>
              <w:t xml:space="preserve">Downtime Printing </w:t>
            </w:r>
            <w:proofErr w:type="spellStart"/>
            <w:r w:rsidRPr="004C4B68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4C4B68">
              <w:rPr>
                <w:rFonts w:ascii="Arial" w:hAnsi="Arial" w:cs="Arial"/>
                <w:sz w:val="22"/>
                <w:szCs w:val="22"/>
              </w:rPr>
              <w:t xml:space="preserve"> Labels</w:t>
            </w: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D32786" w:rsidRPr="006A1A54" w:rsidRDefault="00D32786" w:rsidP="008C7F1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1A54">
              <w:rPr>
                <w:rFonts w:ascii="Arial" w:hAnsi="Arial" w:cs="Arial"/>
                <w:b/>
                <w:sz w:val="22"/>
                <w:szCs w:val="22"/>
              </w:rPr>
              <w:t>Issuing Products</w:t>
            </w:r>
          </w:p>
          <w:p w:rsidR="00D32786" w:rsidRPr="006A1A54" w:rsidRDefault="00D32786" w:rsidP="00A94508">
            <w:pPr>
              <w:numPr>
                <w:ilvl w:val="0"/>
                <w:numId w:val="11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Use</w:t>
            </w:r>
            <w:r w:rsidR="00DC3B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1A54">
              <w:rPr>
                <w:rFonts w:ascii="Arial" w:hAnsi="Arial" w:cs="Arial"/>
                <w:sz w:val="22"/>
                <w:szCs w:val="22"/>
              </w:rPr>
              <w:t>the following to record all issued products.</w:t>
            </w:r>
          </w:p>
          <w:p w:rsidR="00DC3BFD" w:rsidRDefault="00DC3BFD" w:rsidP="00A94508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Release Form</w:t>
            </w:r>
          </w:p>
          <w:p w:rsidR="006159F7" w:rsidRDefault="006159F7" w:rsidP="006159F7">
            <w:pPr>
              <w:pStyle w:val="ListParagraph"/>
              <w:tabs>
                <w:tab w:val="left" w:pos="93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785551" w:rsidRDefault="006159F7" w:rsidP="00785551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5551">
              <w:rPr>
                <w:rFonts w:ascii="Arial" w:hAnsi="Arial" w:cs="Arial"/>
                <w:sz w:val="22"/>
                <w:szCs w:val="22"/>
              </w:rPr>
              <w:t>T</w:t>
            </w:r>
            <w:r w:rsidR="00F4601A" w:rsidRPr="00785551">
              <w:rPr>
                <w:rFonts w:ascii="Arial" w:hAnsi="Arial" w:cs="Arial"/>
                <w:sz w:val="22"/>
                <w:szCs w:val="22"/>
              </w:rPr>
              <w:t xml:space="preserve">he Portable Refrigerator Response Log </w:t>
            </w:r>
          </w:p>
          <w:p w:rsidR="00D32786" w:rsidRPr="00785551" w:rsidRDefault="00D32786" w:rsidP="00A94508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551">
              <w:rPr>
                <w:rFonts w:ascii="Arial" w:hAnsi="Arial" w:cs="Arial"/>
                <w:sz w:val="22"/>
                <w:szCs w:val="22"/>
              </w:rPr>
              <w:t xml:space="preserve">Record all information on the appropriate form for entry into </w:t>
            </w:r>
            <w:r w:rsidRPr="00785551">
              <w:rPr>
                <w:rFonts w:ascii="Arial" w:hAnsi="Arial" w:cs="Arial"/>
                <w:sz w:val="22"/>
                <w:szCs w:val="22"/>
              </w:rPr>
              <w:lastRenderedPageBreak/>
              <w:t>SQ during recovery</w:t>
            </w:r>
          </w:p>
          <w:p w:rsidR="00D32786" w:rsidRPr="006A1A54" w:rsidRDefault="00D32786" w:rsidP="00A94508">
            <w:pPr>
              <w:numPr>
                <w:ilvl w:val="0"/>
                <w:numId w:val="11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2662">
              <w:rPr>
                <w:rFonts w:ascii="Arial" w:hAnsi="Arial" w:cs="Arial"/>
                <w:b/>
                <w:sz w:val="22"/>
                <w:szCs w:val="22"/>
              </w:rPr>
              <w:t>Timestamp is essential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for recovery process.</w:t>
            </w:r>
          </w:p>
        </w:tc>
        <w:tc>
          <w:tcPr>
            <w:tcW w:w="2520" w:type="dxa"/>
          </w:tcPr>
          <w:p w:rsidR="00D32786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Blood Product Issue Process</w:t>
            </w:r>
          </w:p>
          <w:p w:rsidR="004C4B68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05E26" w:rsidRDefault="00D05E2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05E26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 Log</w:t>
            </w:r>
          </w:p>
          <w:p w:rsidR="004C4B68" w:rsidRPr="00D05E26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05E26" w:rsidRDefault="00D05E2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05E26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Blood Product Release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 w:rsidP="008C7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</w:tcPr>
          <w:p w:rsidR="00D32786" w:rsidRPr="00AF4AC9" w:rsidRDefault="00D32786" w:rsidP="008C7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</w:tcPr>
          <w:p w:rsidR="00D32786" w:rsidRPr="00AF4AC9" w:rsidRDefault="00D32786" w:rsidP="008C7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AC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D32786" w:rsidRPr="00B83E70" w:rsidRDefault="00D32786" w:rsidP="008C7F1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Returning Blood Products</w:t>
            </w:r>
          </w:p>
          <w:p w:rsidR="00D32786" w:rsidRPr="00BD612B" w:rsidRDefault="00D32786" w:rsidP="00A94508">
            <w:pPr>
              <w:numPr>
                <w:ilvl w:val="0"/>
                <w:numId w:val="13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Use Returned Blood Products Log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products issued</w:t>
            </w:r>
            <w:r w:rsidR="00BD612B">
              <w:rPr>
                <w:rFonts w:ascii="Arial" w:hAnsi="Arial" w:cs="Arial"/>
                <w:sz w:val="22"/>
                <w:szCs w:val="22"/>
              </w:rPr>
              <w:t xml:space="preserve"> via Blood Product Release Form or </w:t>
            </w:r>
            <w:r w:rsidR="00BD612B" w:rsidRPr="00BD612B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 Log</w:t>
            </w:r>
          </w:p>
          <w:p w:rsidR="00D32786" w:rsidRPr="00B83E70" w:rsidRDefault="00D32786" w:rsidP="00A94508">
            <w:pPr>
              <w:numPr>
                <w:ilvl w:val="0"/>
                <w:numId w:val="13"/>
              </w:numPr>
              <w:tabs>
                <w:tab w:val="left" w:pos="930"/>
              </w:tabs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Record all the information in detail for re-entry during recovery.</w:t>
            </w:r>
          </w:p>
          <w:p w:rsidR="00D32786" w:rsidRPr="00B83E70" w:rsidRDefault="00D32786" w:rsidP="00A9450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Designate a special shelf in the refrigerator for these returned units, for easier entry during recovery.</w:t>
            </w:r>
          </w:p>
        </w:tc>
        <w:tc>
          <w:tcPr>
            <w:tcW w:w="2520" w:type="dxa"/>
          </w:tcPr>
          <w:p w:rsidR="00D32786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Returning Products to Inventory after Issue</w:t>
            </w:r>
          </w:p>
          <w:p w:rsidR="004C4B68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32786" w:rsidRPr="00B83E70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062C">
              <w:rPr>
                <w:rFonts w:ascii="Arial" w:hAnsi="Arial" w:cs="Arial"/>
                <w:sz w:val="22"/>
                <w:szCs w:val="22"/>
              </w:rPr>
              <w:t>Downtime Returned Products Log</w:t>
            </w: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D32786" w:rsidRPr="001B1EC9" w:rsidRDefault="00D32786" w:rsidP="008C7F1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1EC9">
              <w:rPr>
                <w:rFonts w:ascii="Arial" w:hAnsi="Arial" w:cs="Arial"/>
                <w:b/>
                <w:sz w:val="22"/>
                <w:szCs w:val="22"/>
              </w:rPr>
              <w:t>Receiving Blood Products into Inventory</w:t>
            </w:r>
          </w:p>
          <w:p w:rsidR="00D32786" w:rsidRPr="001B1EC9" w:rsidRDefault="00D32786" w:rsidP="00A9450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D612B" w:rsidRPr="00BD612B">
              <w:rPr>
                <w:rFonts w:ascii="Arial" w:hAnsi="Arial" w:cs="Arial"/>
                <w:sz w:val="22"/>
                <w:szCs w:val="22"/>
                <w:highlight w:val="yellow"/>
              </w:rPr>
              <w:t>blood supplier</w:t>
            </w:r>
            <w:r>
              <w:rPr>
                <w:rFonts w:ascii="Arial" w:hAnsi="Arial" w:cs="Arial"/>
                <w:sz w:val="22"/>
                <w:szCs w:val="22"/>
              </w:rPr>
              <w:t xml:space="preserve"> Order Distribution Report that accompanies shipment.</w:t>
            </w:r>
          </w:p>
          <w:p w:rsidR="00D32786" w:rsidRPr="001B1EC9" w:rsidRDefault="00D32786" w:rsidP="00A9450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Record all the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required.</w:t>
            </w:r>
          </w:p>
          <w:p w:rsidR="00D32786" w:rsidRDefault="00D32786" w:rsidP="00A9450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Sequester units in unprocessed unit section of refrigerator for type confirmation later if possible.</w:t>
            </w:r>
          </w:p>
          <w:p w:rsidR="00D32786" w:rsidRPr="001B1EC9" w:rsidRDefault="00D32786" w:rsidP="00A9450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C2662">
              <w:rPr>
                <w:rFonts w:ascii="Arial" w:hAnsi="Arial" w:cs="Arial"/>
                <w:b/>
                <w:sz w:val="22"/>
                <w:szCs w:val="22"/>
                <w:u w:val="single"/>
              </w:rPr>
              <w:t>NOTE:</w:t>
            </w:r>
            <w:r w:rsidRPr="00FC2662">
              <w:rPr>
                <w:rFonts w:ascii="Arial" w:hAnsi="Arial" w:cs="Arial"/>
                <w:sz w:val="22"/>
                <w:szCs w:val="22"/>
              </w:rPr>
              <w:t xml:space="preserve"> If blood products should need to be issued and/or processed </w:t>
            </w:r>
            <w:r w:rsidRPr="00FC2662">
              <w:rPr>
                <w:rFonts w:ascii="Arial" w:hAnsi="Arial" w:cs="Arial"/>
                <w:b/>
                <w:sz w:val="22"/>
                <w:szCs w:val="22"/>
              </w:rPr>
              <w:t>BEFORE</w:t>
            </w:r>
            <w:r w:rsidRPr="00FC2662">
              <w:rPr>
                <w:rFonts w:ascii="Arial" w:hAnsi="Arial" w:cs="Arial"/>
                <w:sz w:val="22"/>
                <w:szCs w:val="22"/>
              </w:rPr>
              <w:t xml:space="preserve"> being entered into SQ, make a copy of original product label and attach to ODR and/or component preparation worksheet to aid in SQ entry during recovery.</w:t>
            </w:r>
            <w:r w:rsidR="009667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3A" w:rsidRPr="0096673A">
              <w:rPr>
                <w:rFonts w:ascii="Arial" w:hAnsi="Arial" w:cs="Arial"/>
                <w:sz w:val="22"/>
                <w:szCs w:val="22"/>
                <w:highlight w:val="yellow"/>
              </w:rPr>
              <w:t>Record units on the Downtime blood inventory log</w:t>
            </w:r>
            <w:r w:rsidR="009667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2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D32786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:rsidR="004C4B68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32786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  <w:p w:rsidR="004C4B68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6673A" w:rsidRPr="008B062C" w:rsidRDefault="0096673A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 Downtime Blood Inventory Log</w:t>
            </w:r>
          </w:p>
        </w:tc>
      </w:tr>
      <w:tr w:rsidR="00D32786" w:rsidTr="000F645C">
        <w:tc>
          <w:tcPr>
            <w:tcW w:w="1188" w:type="dxa"/>
          </w:tcPr>
          <w:p w:rsidR="00D32786" w:rsidRPr="00AF4AC9" w:rsidRDefault="00D327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20" w:type="dxa"/>
          </w:tcPr>
          <w:p w:rsidR="00D32786" w:rsidRPr="001B1EC9" w:rsidRDefault="00D32786" w:rsidP="008C7F1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1EC9">
              <w:rPr>
                <w:rFonts w:ascii="Arial" w:hAnsi="Arial" w:cs="Arial"/>
                <w:b/>
                <w:sz w:val="22"/>
                <w:szCs w:val="22"/>
              </w:rPr>
              <w:t>Type Confirming Units if necessary</w:t>
            </w:r>
          </w:p>
          <w:p w:rsidR="00D32786" w:rsidRPr="001B1EC9" w:rsidRDefault="00D32786" w:rsidP="00A94508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Type confirm on TANGO as usual</w:t>
            </w:r>
          </w:p>
          <w:p w:rsidR="00D32786" w:rsidRPr="001B1EC9" w:rsidRDefault="00D32786" w:rsidP="00A94508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 xml:space="preserve">Print unit TANGO records for entry in SQ during recovery. </w:t>
            </w:r>
          </w:p>
          <w:p w:rsidR="00D32786" w:rsidRPr="001B1EC9" w:rsidRDefault="00D32786" w:rsidP="008C7F1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D32786" w:rsidRPr="001B1EC9" w:rsidRDefault="00D32786" w:rsidP="00A94508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Type confirm units using manual bench</w:t>
            </w:r>
          </w:p>
          <w:p w:rsidR="00D32786" w:rsidRPr="001B1EC9" w:rsidRDefault="00D32786" w:rsidP="00A94508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Manual Bench Testing Form</w:t>
            </w:r>
            <w:r w:rsidRPr="001B1EC9">
              <w:rPr>
                <w:rFonts w:ascii="Arial" w:hAnsi="Arial" w:cs="Arial"/>
                <w:sz w:val="22"/>
                <w:szCs w:val="22"/>
              </w:rPr>
              <w:t xml:space="preserve"> for recording reactions and results for entry in SQ during recovery.</w:t>
            </w:r>
          </w:p>
        </w:tc>
        <w:tc>
          <w:tcPr>
            <w:tcW w:w="2520" w:type="dxa"/>
          </w:tcPr>
          <w:p w:rsidR="00D32786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Export of Results and LIS Transfer</w:t>
            </w:r>
          </w:p>
          <w:p w:rsidR="004C4B68" w:rsidRDefault="004C4B68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32786" w:rsidRPr="008B062C" w:rsidRDefault="00D32786" w:rsidP="004C4B68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</w:tc>
      </w:tr>
    </w:tbl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A94508" w:rsidRPr="00D32786" w:rsidRDefault="00A94508" w:rsidP="00A94508">
      <w:pPr>
        <w:rPr>
          <w:rFonts w:ascii="Arial" w:hAnsi="Arial" w:cs="Arial"/>
          <w:b/>
          <w:sz w:val="22"/>
          <w:szCs w:val="20"/>
        </w:rPr>
      </w:pPr>
      <w:r w:rsidRPr="00D32786">
        <w:rPr>
          <w:rFonts w:ascii="Arial" w:hAnsi="Arial" w:cs="Arial"/>
          <w:b/>
          <w:sz w:val="22"/>
          <w:szCs w:val="20"/>
        </w:rPr>
        <w:t>References:</w:t>
      </w:r>
    </w:p>
    <w:p w:rsidR="00A94508" w:rsidRPr="00D32786" w:rsidRDefault="00A94508" w:rsidP="00A94508">
      <w:pPr>
        <w:rPr>
          <w:rFonts w:ascii="Arial" w:hAnsi="Arial" w:cs="Arial"/>
          <w:sz w:val="22"/>
          <w:szCs w:val="20"/>
        </w:rPr>
      </w:pPr>
      <w:r w:rsidRPr="00D32786">
        <w:rPr>
          <w:rFonts w:ascii="Arial" w:hAnsi="Arial" w:cs="Arial"/>
          <w:sz w:val="22"/>
          <w:szCs w:val="20"/>
        </w:rPr>
        <w:t>Standards for Blood Banks and Transfusion Services, AABB, Current Edition</w:t>
      </w:r>
    </w:p>
    <w:p w:rsidR="001065F9" w:rsidRPr="00D32786" w:rsidRDefault="001065F9">
      <w:pPr>
        <w:rPr>
          <w:rFonts w:ascii="Arial" w:hAnsi="Arial" w:cs="Arial"/>
          <w:sz w:val="20"/>
          <w:szCs w:val="22"/>
        </w:rPr>
      </w:pPr>
    </w:p>
    <w:sectPr w:rsidR="001065F9" w:rsidRPr="00D32786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Pr="00A94508" w:rsidRDefault="00D3281B">
            <w:pPr>
              <w:pStyle w:val="Footer"/>
              <w:jc w:val="right"/>
              <w:rPr>
                <w:sz w:val="22"/>
                <w:szCs w:val="22"/>
              </w:rPr>
            </w:pPr>
            <w:r w:rsidRPr="00A94508">
              <w:rPr>
                <w:sz w:val="22"/>
                <w:szCs w:val="22"/>
              </w:rPr>
              <w:t xml:space="preserve">Page </w:t>
            </w:r>
            <w:r w:rsidRPr="00A94508">
              <w:rPr>
                <w:b/>
                <w:bCs/>
                <w:sz w:val="22"/>
                <w:szCs w:val="22"/>
              </w:rPr>
              <w:fldChar w:fldCharType="begin"/>
            </w:r>
            <w:r w:rsidRPr="00A9450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A94508">
              <w:rPr>
                <w:b/>
                <w:bCs/>
                <w:sz w:val="22"/>
                <w:szCs w:val="22"/>
              </w:rPr>
              <w:fldChar w:fldCharType="separate"/>
            </w:r>
            <w:r w:rsidR="0051685C">
              <w:rPr>
                <w:b/>
                <w:bCs/>
                <w:noProof/>
                <w:sz w:val="22"/>
                <w:szCs w:val="22"/>
              </w:rPr>
              <w:t>2</w:t>
            </w:r>
            <w:r w:rsidRPr="00A94508">
              <w:rPr>
                <w:b/>
                <w:bCs/>
                <w:sz w:val="22"/>
                <w:szCs w:val="22"/>
              </w:rPr>
              <w:fldChar w:fldCharType="end"/>
            </w:r>
            <w:r w:rsidRPr="00A94508">
              <w:rPr>
                <w:sz w:val="22"/>
                <w:szCs w:val="22"/>
              </w:rPr>
              <w:t xml:space="preserve"> of </w:t>
            </w:r>
            <w:r w:rsidRPr="00A94508">
              <w:rPr>
                <w:b/>
                <w:bCs/>
                <w:sz w:val="22"/>
                <w:szCs w:val="22"/>
              </w:rPr>
              <w:fldChar w:fldCharType="begin"/>
            </w:r>
            <w:r w:rsidRPr="00A9450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A94508">
              <w:rPr>
                <w:b/>
                <w:bCs/>
                <w:sz w:val="22"/>
                <w:szCs w:val="22"/>
              </w:rPr>
              <w:fldChar w:fldCharType="separate"/>
            </w:r>
            <w:r w:rsidR="0051685C">
              <w:rPr>
                <w:b/>
                <w:bCs/>
                <w:noProof/>
                <w:sz w:val="22"/>
                <w:szCs w:val="22"/>
              </w:rPr>
              <w:t>3</w:t>
            </w:r>
            <w:r w:rsidRPr="00A9450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3281B" w:rsidRPr="00A94508" w:rsidRDefault="00D3281B">
    <w:pPr>
      <w:pStyle w:val="Footer"/>
      <w:rPr>
        <w:sz w:val="22"/>
        <w:szCs w:val="22"/>
      </w:rPr>
    </w:pPr>
    <w:r w:rsidRPr="00A94508">
      <w:rPr>
        <w:sz w:val="22"/>
        <w:szCs w:val="22"/>
      </w:rPr>
      <w:t>Transfusion Services Laboratory</w:t>
    </w:r>
  </w:p>
  <w:p w:rsidR="00D3281B" w:rsidRPr="00A94508" w:rsidRDefault="00D3281B">
    <w:pPr>
      <w:pStyle w:val="Footer"/>
      <w:rPr>
        <w:sz w:val="22"/>
        <w:szCs w:val="22"/>
      </w:rPr>
    </w:pPr>
    <w:r w:rsidRPr="00A94508"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A94508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Downtime Operations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AF4AC9" w:rsidRDefault="00AF4AC9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June 10,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AF4AC9" w:rsidRDefault="00AF4AC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F4AC9">
            <w:rPr>
              <w:rFonts w:ascii="Arial" w:hAnsi="Arial" w:cs="Arial"/>
              <w:b/>
              <w:sz w:val="22"/>
              <w:szCs w:val="22"/>
            </w:rPr>
            <w:t>5701-5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AF4AC9" w:rsidRDefault="0051685C" w:rsidP="00DC3BFD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02/27/15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DB5DC9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AF4AC9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AF4AC9">
            <w:rPr>
              <w:rFonts w:ascii="Arial" w:hAnsi="Arial" w:cs="Arial"/>
              <w:b/>
              <w:sz w:val="28"/>
              <w:szCs w:val="28"/>
            </w:rPr>
            <w:t>Downtime Operations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D85"/>
    <w:multiLevelType w:val="hybridMultilevel"/>
    <w:tmpl w:val="07B29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3B7"/>
    <w:multiLevelType w:val="hybridMultilevel"/>
    <w:tmpl w:val="7180D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8052A"/>
    <w:multiLevelType w:val="hybridMultilevel"/>
    <w:tmpl w:val="AC0E4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F50BF"/>
    <w:multiLevelType w:val="hybridMultilevel"/>
    <w:tmpl w:val="CB78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E27F8"/>
    <w:multiLevelType w:val="hybridMultilevel"/>
    <w:tmpl w:val="AF2C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2313A1"/>
    <w:multiLevelType w:val="hybridMultilevel"/>
    <w:tmpl w:val="6B88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138A8"/>
    <w:multiLevelType w:val="hybridMultilevel"/>
    <w:tmpl w:val="F54C1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13538"/>
    <w:multiLevelType w:val="hybridMultilevel"/>
    <w:tmpl w:val="5DB2D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9E4A1B"/>
    <w:multiLevelType w:val="hybridMultilevel"/>
    <w:tmpl w:val="963AC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0E771F"/>
    <w:multiLevelType w:val="hybridMultilevel"/>
    <w:tmpl w:val="C6A2D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5E6AA8"/>
    <w:multiLevelType w:val="hybridMultilevel"/>
    <w:tmpl w:val="1B30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12338"/>
    <w:multiLevelType w:val="hybridMultilevel"/>
    <w:tmpl w:val="723E1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07454"/>
    <w:multiLevelType w:val="hybridMultilevel"/>
    <w:tmpl w:val="3B44F0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930817"/>
    <w:multiLevelType w:val="hybridMultilevel"/>
    <w:tmpl w:val="56C6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0F5DDB"/>
    <w:multiLevelType w:val="hybridMultilevel"/>
    <w:tmpl w:val="090A1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481B05"/>
    <w:multiLevelType w:val="hybridMultilevel"/>
    <w:tmpl w:val="2D76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F46FA5"/>
    <w:multiLevelType w:val="hybridMultilevel"/>
    <w:tmpl w:val="AE56982A"/>
    <w:lvl w:ilvl="0" w:tplc="F2A8A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CF23E5"/>
    <w:multiLevelType w:val="hybridMultilevel"/>
    <w:tmpl w:val="87E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18"/>
  </w:num>
  <w:num w:numId="6">
    <w:abstractNumId w:val="17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1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F645C"/>
    <w:rsid w:val="001065F9"/>
    <w:rsid w:val="00151146"/>
    <w:rsid w:val="001A731F"/>
    <w:rsid w:val="0021385E"/>
    <w:rsid w:val="002514A4"/>
    <w:rsid w:val="00260E4A"/>
    <w:rsid w:val="003735F1"/>
    <w:rsid w:val="003816DA"/>
    <w:rsid w:val="00423DFD"/>
    <w:rsid w:val="004C4B68"/>
    <w:rsid w:val="004D16C5"/>
    <w:rsid w:val="004E4D9D"/>
    <w:rsid w:val="0051685C"/>
    <w:rsid w:val="006159F7"/>
    <w:rsid w:val="006720F8"/>
    <w:rsid w:val="006E7B0D"/>
    <w:rsid w:val="007049BC"/>
    <w:rsid w:val="00750D94"/>
    <w:rsid w:val="007763E7"/>
    <w:rsid w:val="00785551"/>
    <w:rsid w:val="007F371D"/>
    <w:rsid w:val="00815BE8"/>
    <w:rsid w:val="008660E7"/>
    <w:rsid w:val="00875E69"/>
    <w:rsid w:val="008E1B98"/>
    <w:rsid w:val="008F4BFB"/>
    <w:rsid w:val="00903F57"/>
    <w:rsid w:val="00904B7C"/>
    <w:rsid w:val="009551F8"/>
    <w:rsid w:val="0096673A"/>
    <w:rsid w:val="009D0337"/>
    <w:rsid w:val="00A00DA4"/>
    <w:rsid w:val="00A94508"/>
    <w:rsid w:val="00AF4AC9"/>
    <w:rsid w:val="00B05DB2"/>
    <w:rsid w:val="00B420A2"/>
    <w:rsid w:val="00B82064"/>
    <w:rsid w:val="00BD612B"/>
    <w:rsid w:val="00C6184B"/>
    <w:rsid w:val="00C80D1F"/>
    <w:rsid w:val="00D05E26"/>
    <w:rsid w:val="00D32786"/>
    <w:rsid w:val="00D3281B"/>
    <w:rsid w:val="00D33FF3"/>
    <w:rsid w:val="00DB5DC9"/>
    <w:rsid w:val="00DC3BFD"/>
    <w:rsid w:val="00DF3701"/>
    <w:rsid w:val="00EB20B0"/>
    <w:rsid w:val="00F4601A"/>
    <w:rsid w:val="00FE093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5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4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15B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BE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1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BE8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5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4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15B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BE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1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BE8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61BD-8512-4E44-8A1F-29AB2FC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2015-02-17T23:50:00Z</cp:lastPrinted>
  <dcterms:created xsi:type="dcterms:W3CDTF">2015-02-18T01:11:00Z</dcterms:created>
  <dcterms:modified xsi:type="dcterms:W3CDTF">2015-02-18T01:11:00Z</dcterms:modified>
</cp:coreProperties>
</file>