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49" w:rsidRPr="001D2F2C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1D2F2C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1D2F2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EB5749" w:rsidRPr="001D2F2C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1D2F2C">
        <w:rPr>
          <w:rFonts w:ascii="Arial" w:hAnsi="Arial" w:cs="Arial"/>
          <w:kern w:val="0"/>
          <w:sz w:val="22"/>
          <w:szCs w:val="22"/>
        </w:rPr>
        <w:t>This process provides an overview of workflow for resolving discrepant testing results.</w:t>
      </w:r>
      <w:r w:rsidRPr="001D2F2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:rsidR="00EB5749" w:rsidRPr="001D2F2C" w:rsidRDefault="00EB5749" w:rsidP="006252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16"/>
          <w:szCs w:val="16"/>
        </w:rPr>
      </w:pPr>
    </w:p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24"/>
        <w:gridCol w:w="7"/>
        <w:gridCol w:w="3789"/>
        <w:gridCol w:w="3298"/>
        <w:gridCol w:w="2657"/>
      </w:tblGrid>
      <w:tr w:rsidR="00EB5749" w:rsidRPr="001D2F2C" w:rsidTr="001A1998">
        <w:trPr>
          <w:cantSplit/>
          <w:trHeight w:val="144"/>
        </w:trPr>
        <w:tc>
          <w:tcPr>
            <w:tcW w:w="538" w:type="dxa"/>
            <w:gridSpan w:val="3"/>
            <w:textDirection w:val="btLr"/>
            <w:vAlign w:val="center"/>
          </w:tcPr>
          <w:p w:rsidR="00EB5749" w:rsidRPr="001D2F2C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EB5749" w:rsidRPr="001D2F2C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D2F2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57" w:type="dxa"/>
          </w:tcPr>
          <w:p w:rsidR="00EB5749" w:rsidRPr="001D2F2C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D2F2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1D2F2C" w:rsidRPr="001D2F2C" w:rsidTr="001D2F2C">
        <w:trPr>
          <w:gridBefore w:val="1"/>
          <w:wBefore w:w="7" w:type="dxa"/>
          <w:trHeight w:val="268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I</w:t>
            </w:r>
            <w:r w:rsidR="00332C4A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f</w:t>
            </w:r>
          </w:p>
        </w:tc>
        <w:tc>
          <w:tcPr>
            <w:tcW w:w="3298" w:type="dxa"/>
            <w:vAlign w:val="center"/>
          </w:tcPr>
          <w:p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T</w:t>
            </w:r>
            <w:r w:rsidR="00332C4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hen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EB5749" w:rsidRPr="001D2F2C" w:rsidTr="00332C4A">
        <w:trPr>
          <w:gridBefore w:val="1"/>
          <w:wBefore w:w="7" w:type="dxa"/>
          <w:trHeight w:val="2638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1D2F2C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1D2F2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789" w:type="dxa"/>
            <w:tcMar>
              <w:left w:w="115" w:type="dxa"/>
              <w:right w:w="115" w:type="dxa"/>
            </w:tcMar>
          </w:tcPr>
          <w:p w:rsidR="00EB5749" w:rsidRPr="001D2F2C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 AB</w:t>
            </w:r>
            <w:r w:rsidR="001A1998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O, RH or Antibody Screen test results exhibit the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</w:t>
            </w:r>
            <w:r w:rsid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EB5749" w:rsidRPr="001D2F2C" w:rsidRDefault="004401FD" w:rsidP="00755BC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Current results do not match</w:t>
            </w:r>
            <w:r w:rsidR="00EB5749" w:rsidRPr="001D2F2C">
              <w:rPr>
                <w:rFonts w:ascii="Arial" w:hAnsi="Arial" w:cs="Arial"/>
                <w:sz w:val="22"/>
                <w:szCs w:val="22"/>
              </w:rPr>
              <w:t xml:space="preserve"> previous testing on record. </w:t>
            </w:r>
          </w:p>
          <w:p w:rsidR="00EB5749" w:rsidRPr="001D2F2C" w:rsidRDefault="004401FD" w:rsidP="00755BC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Current results do not correlate between tube and TANGO methods.</w:t>
            </w:r>
          </w:p>
          <w:p w:rsidR="00EB5749" w:rsidRPr="001D2F2C" w:rsidRDefault="004401FD" w:rsidP="004401FD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Current results do not correlate with patient personally communicated results.</w:t>
            </w:r>
          </w:p>
        </w:tc>
        <w:tc>
          <w:tcPr>
            <w:tcW w:w="3298" w:type="dxa"/>
            <w:vAlign w:val="center"/>
          </w:tcPr>
          <w:p w:rsidR="00EB5749" w:rsidRPr="001D2F2C" w:rsidRDefault="00EB5749" w:rsidP="00332C4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Historical Record Investigation</w:t>
            </w:r>
            <w:r w:rsidR="001D2F2C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below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  <w:vAlign w:val="center"/>
          </w:tcPr>
          <w:p w:rsidR="00EB5749" w:rsidRPr="001D2F2C" w:rsidRDefault="00EB5749" w:rsidP="00332C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Historical Data Resolution Policy</w:t>
            </w:r>
          </w:p>
        </w:tc>
      </w:tr>
      <w:tr w:rsidR="00EB5749" w:rsidRPr="001D2F2C" w:rsidTr="001A1998">
        <w:trPr>
          <w:gridBefore w:val="1"/>
          <w:wBefore w:w="7" w:type="dxa"/>
          <w:trHeight w:val="144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1D2F2C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1D2F2C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3789" w:type="dxa"/>
            <w:tcMar>
              <w:left w:w="115" w:type="dxa"/>
              <w:right w:w="115" w:type="dxa"/>
            </w:tcMar>
          </w:tcPr>
          <w:p w:rsidR="00EB5749" w:rsidRPr="001D2F2C" w:rsidRDefault="00EB5749" w:rsidP="00332C4A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ABO forward and reverse type do not ag</w:t>
            </w:r>
            <w:r w:rsidR="004401FD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ree</w:t>
            </w:r>
            <w:r w:rsid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4401FD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 show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unexplained mixed-field results on ABO antisera tubes</w:t>
            </w:r>
          </w:p>
        </w:tc>
        <w:tc>
          <w:tcPr>
            <w:tcW w:w="3298" w:type="dxa"/>
          </w:tcPr>
          <w:p w:rsidR="00EB5749" w:rsidRPr="001D2F2C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Refer to ABO Discrepancy Resolution Process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332C4A" w:rsidRPr="00332C4A" w:rsidRDefault="00332C4A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/D Typing</w:t>
            </w:r>
            <w:r w:rsidRP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Method</w:t>
            </w:r>
          </w:p>
          <w:p w:rsidR="00EB5749" w:rsidRPr="001D2F2C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 Discrepancy Resolution Process</w:t>
            </w:r>
          </w:p>
        </w:tc>
      </w:tr>
      <w:tr w:rsidR="00EB5749" w:rsidRPr="001D2F2C" w:rsidTr="001A1998">
        <w:trPr>
          <w:gridBefore w:val="1"/>
          <w:wBefore w:w="7" w:type="dxa"/>
          <w:trHeight w:val="144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1D2F2C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1D2F2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789" w:type="dxa"/>
            <w:tcMar>
              <w:left w:w="115" w:type="dxa"/>
              <w:right w:w="115" w:type="dxa"/>
            </w:tcMar>
          </w:tcPr>
          <w:p w:rsidR="00133A93" w:rsidRPr="001D2F2C" w:rsidRDefault="00EB5749" w:rsidP="00133A93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1A1998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Rh/D test results have positive reaction strength &lt;2+, unexplained mixed-field reactions, or are negative when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historical results</w:t>
            </w:r>
            <w:r w:rsidR="001A1998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were positive</w:t>
            </w:r>
            <w:r w:rsidR="00133A93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298" w:type="dxa"/>
          </w:tcPr>
          <w:p w:rsidR="00EB5749" w:rsidRPr="001D2F2C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Follow the procedure for performing a weak D test.</w:t>
            </w:r>
          </w:p>
          <w:p w:rsidR="001A1998" w:rsidRPr="001D2F2C" w:rsidRDefault="001A1998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Utilize other manufactured sources of Anti-D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1A1998" w:rsidRPr="001D2F2C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Weak D test by Tube</w:t>
            </w:r>
          </w:p>
          <w:p w:rsidR="00EB5749" w:rsidRPr="001D2F2C" w:rsidRDefault="001A1998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AB</w:t>
            </w:r>
            <w:r w:rsidR="00332C4A">
              <w:rPr>
                <w:rFonts w:ascii="Arial" w:hAnsi="Arial" w:cs="Arial"/>
                <w:kern w:val="0"/>
                <w:sz w:val="22"/>
                <w:szCs w:val="22"/>
              </w:rPr>
              <w:t>O/D Typing</w:t>
            </w: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 xml:space="preserve"> by Tube Method</w:t>
            </w:r>
            <w:r w:rsidR="00EB5749" w:rsidRPr="001D2F2C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1D2F2C" w:rsidRPr="001D2F2C" w:rsidTr="001D2F2C">
        <w:trPr>
          <w:trHeight w:val="340"/>
        </w:trPr>
        <w:tc>
          <w:tcPr>
            <w:tcW w:w="10282" w:type="dxa"/>
            <w:gridSpan w:val="6"/>
            <w:tcMar>
              <w:left w:w="115" w:type="dxa"/>
              <w:right w:w="115" w:type="dxa"/>
            </w:tcMar>
          </w:tcPr>
          <w:p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Historical Record Investigation and Clerical Check</w:t>
            </w:r>
          </w:p>
        </w:tc>
      </w:tr>
      <w:tr w:rsidR="001D2F2C" w:rsidRPr="001D2F2C" w:rsidTr="00B94304">
        <w:trPr>
          <w:trHeight w:val="701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1D2F2C" w:rsidRPr="001D2F2C" w:rsidRDefault="001D2F2C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1D2F2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1.</w:t>
            </w:r>
          </w:p>
        </w:tc>
        <w:tc>
          <w:tcPr>
            <w:tcW w:w="7094" w:type="dxa"/>
            <w:gridSpan w:val="3"/>
            <w:tcMar>
              <w:left w:w="115" w:type="dxa"/>
              <w:right w:w="115" w:type="dxa"/>
            </w:tcMar>
          </w:tcPr>
          <w:p w:rsidR="001D2F2C" w:rsidRPr="001D2F2C" w:rsidRDefault="001D2F2C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Compare patient sample, label, paperwork and SQ result entries for the following information:</w:t>
            </w:r>
          </w:p>
          <w:p w:rsidR="001D2F2C" w:rsidRPr="001D2F2C" w:rsidRDefault="001D2F2C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Full name: last, first, and middle name.</w:t>
            </w:r>
          </w:p>
          <w:p w:rsidR="001D2F2C" w:rsidRPr="001D2F2C" w:rsidRDefault="001D2F2C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Hospital identification number (HID).</w:t>
            </w:r>
          </w:p>
          <w:p w:rsidR="001D2F2C" w:rsidRPr="001D2F2C" w:rsidRDefault="001D2F2C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Phlebotom</w:t>
            </w:r>
            <w:r w:rsidR="00332C4A">
              <w:rPr>
                <w:rFonts w:ascii="Arial" w:hAnsi="Arial" w:cs="Arial"/>
                <w:sz w:val="22"/>
                <w:szCs w:val="22"/>
              </w:rPr>
              <w:t>ist ID (recorded on both sample</w:t>
            </w:r>
            <w:r w:rsidRPr="001D2F2C">
              <w:rPr>
                <w:rFonts w:ascii="Arial" w:hAnsi="Arial" w:cs="Arial"/>
                <w:sz w:val="22"/>
                <w:szCs w:val="22"/>
              </w:rPr>
              <w:t xml:space="preserve"> and order).</w:t>
            </w:r>
          </w:p>
          <w:p w:rsidR="001D2F2C" w:rsidRPr="001D2F2C" w:rsidRDefault="001D2F2C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Date and time of sample collection.</w:t>
            </w:r>
          </w:p>
          <w:p w:rsidR="001D2F2C" w:rsidRPr="001D2F2C" w:rsidRDefault="001D2F2C" w:rsidP="001D2F2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D2F2C">
              <w:rPr>
                <w:rFonts w:ascii="Arial" w:hAnsi="Arial" w:cs="Arial"/>
                <w:sz w:val="22"/>
                <w:szCs w:val="22"/>
                <w:highlight w:val="yellow"/>
              </w:rPr>
              <w:t>Investigate alias names in ORCA/EPIC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1D2F2C" w:rsidRPr="001D2F2C" w:rsidRDefault="001D2F2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Historical Data Resolution Policy</w:t>
            </w:r>
          </w:p>
          <w:p w:rsidR="001D2F2C" w:rsidRPr="001D2F2C" w:rsidRDefault="001D2F2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  <w:p w:rsidR="001D2F2C" w:rsidRPr="001D2F2C" w:rsidRDefault="001D2F2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Rejection Policy</w:t>
            </w:r>
          </w:p>
        </w:tc>
      </w:tr>
    </w:tbl>
    <w:p w:rsidR="001D2F2C" w:rsidRDefault="001D2F2C"/>
    <w:p w:rsidR="001D2F2C" w:rsidRDefault="001D2F2C"/>
    <w:p w:rsidR="001D2F2C" w:rsidRDefault="001D2F2C"/>
    <w:p w:rsidR="001D2F2C" w:rsidRDefault="001D2F2C"/>
    <w:p w:rsidR="00332C4A" w:rsidRDefault="00332C4A"/>
    <w:p w:rsidR="00332C4A" w:rsidRDefault="00332C4A"/>
    <w:p w:rsidR="00332C4A" w:rsidRDefault="00332C4A"/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524"/>
        <w:gridCol w:w="7"/>
        <w:gridCol w:w="3789"/>
        <w:gridCol w:w="3299"/>
        <w:gridCol w:w="2657"/>
      </w:tblGrid>
      <w:tr w:rsidR="00C01351" w:rsidRPr="001D2F2C" w:rsidTr="00AC3B3F">
        <w:trPr>
          <w:trHeight w:val="340"/>
        </w:trPr>
        <w:tc>
          <w:tcPr>
            <w:tcW w:w="10282" w:type="dxa"/>
            <w:gridSpan w:val="6"/>
            <w:tcMar>
              <w:left w:w="115" w:type="dxa"/>
              <w:right w:w="115" w:type="dxa"/>
            </w:tcMar>
          </w:tcPr>
          <w:p w:rsidR="00C01351" w:rsidRPr="001D2F2C" w:rsidRDefault="00C01351" w:rsidP="00AC3B3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Historical Record Investigation and Clerical Check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  </w:t>
            </w:r>
            <w:r w:rsidRPr="00C0135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(continued)</w:t>
            </w:r>
          </w:p>
        </w:tc>
      </w:tr>
      <w:tr w:rsidR="001D2F2C" w:rsidRPr="001D2F2C" w:rsidTr="00C01351">
        <w:trPr>
          <w:gridBefore w:val="1"/>
          <w:wBefore w:w="6" w:type="dxa"/>
          <w:trHeight w:val="268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AC3B3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AC3B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I</w:t>
            </w:r>
            <w:r w:rsidR="00332C4A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f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:rsidR="001D2F2C" w:rsidRPr="001D2F2C" w:rsidRDefault="001D2F2C" w:rsidP="00AC3B3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T</w:t>
            </w:r>
            <w:r w:rsidR="00332C4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hen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AC3B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D2F2C" w:rsidRPr="001D2F2C" w:rsidTr="00332C4A">
        <w:trPr>
          <w:trHeight w:val="2743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D2F2C" w:rsidRPr="001D2F2C" w:rsidRDefault="00C01351" w:rsidP="00C0135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2.</w:t>
            </w:r>
          </w:p>
        </w:tc>
        <w:tc>
          <w:tcPr>
            <w:tcW w:w="3796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D2F2C" w:rsidRPr="001D2F2C" w:rsidRDefault="001D2F2C" w:rsidP="00C0135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</w:t>
            </w:r>
            <w:r w:rsidRPr="00332C4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any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the above patient identification is found discrepant: </w:t>
            </w:r>
          </w:p>
          <w:p w:rsidR="001D2F2C" w:rsidRPr="001D2F2C" w:rsidRDefault="001D2F2C" w:rsidP="00C0135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1D2F2C" w:rsidRPr="001D2F2C" w:rsidRDefault="001D2F2C" w:rsidP="001D2F2C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 xml:space="preserve">Request patient sample redraw. </w:t>
            </w:r>
          </w:p>
          <w:p w:rsidR="001D2F2C" w:rsidRPr="001D2F2C" w:rsidRDefault="001D2F2C" w:rsidP="001D2F2C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Pull all available patient samples.</w:t>
            </w:r>
          </w:p>
          <w:p w:rsidR="001D2F2C" w:rsidRPr="001D2F2C" w:rsidRDefault="001D2F2C" w:rsidP="001D2F2C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 xml:space="preserve">Do not result interpretation of current testing which was found discrepant. </w:t>
            </w:r>
          </w:p>
          <w:p w:rsidR="001D2F2C" w:rsidRPr="001D2F2C" w:rsidRDefault="001D2F2C" w:rsidP="001D2F2C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  <w:lang w:val="en-GB"/>
              </w:rPr>
              <w:t>Reassign the blood bank computer orders to the correct patient HID account.</w:t>
            </w:r>
          </w:p>
          <w:p w:rsidR="001D2F2C" w:rsidRPr="001D2F2C" w:rsidRDefault="001D2F2C" w:rsidP="001D2F2C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  <w:lang w:val="en-GB"/>
              </w:rPr>
              <w:t>Credit any orders that may have been completed on the wrong patient HID, as necessary.</w:t>
            </w:r>
          </w:p>
          <w:p w:rsidR="001D2F2C" w:rsidRPr="001D2F2C" w:rsidRDefault="001D2F2C" w:rsidP="00C01351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Perform</w:t>
            </w:r>
            <w:r w:rsidRPr="001D2F2C">
              <w:rPr>
                <w:rFonts w:ascii="Arial" w:hAnsi="Arial" w:cs="Arial"/>
                <w:sz w:val="22"/>
                <w:szCs w:val="22"/>
                <w:lang w:val="en-GB"/>
              </w:rPr>
              <w:t xml:space="preserve"> testing on redraw sample.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  <w:vAlign w:val="center"/>
          </w:tcPr>
          <w:p w:rsidR="001D2F2C" w:rsidRPr="001D2F2C" w:rsidRDefault="00332C4A" w:rsidP="00332C4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SQ Order Entry Process</w:t>
            </w:r>
          </w:p>
        </w:tc>
      </w:tr>
      <w:tr w:rsidR="001D2F2C" w:rsidRPr="001D2F2C" w:rsidTr="00332C4A">
        <w:trPr>
          <w:trHeight w:val="538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</w:tcPr>
          <w:p w:rsidR="001D2F2C" w:rsidRPr="001D2F2C" w:rsidRDefault="00C01351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3.</w:t>
            </w:r>
          </w:p>
        </w:tc>
        <w:tc>
          <w:tcPr>
            <w:tcW w:w="3796" w:type="dxa"/>
            <w:gridSpan w:val="2"/>
            <w:tcMar>
              <w:left w:w="115" w:type="dxa"/>
              <w:right w:w="115" w:type="dxa"/>
            </w:tcMar>
          </w:tcPr>
          <w:p w:rsidR="001D2F2C" w:rsidRPr="001D2F2C" w:rsidRDefault="001D2F2C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</w:t>
            </w:r>
            <w:r w:rsidRPr="00332C4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none 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of the above patient identification is found discrepant</w:t>
            </w:r>
          </w:p>
        </w:tc>
        <w:tc>
          <w:tcPr>
            <w:tcW w:w="3299" w:type="dxa"/>
          </w:tcPr>
          <w:p w:rsidR="001D2F2C" w:rsidRPr="00C01351" w:rsidRDefault="001D2F2C" w:rsidP="00C0135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C0135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Proceed to </w:t>
            </w:r>
            <w:r w:rsidR="00C01351" w:rsidRPr="00C0135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repeat testing below</w:t>
            </w:r>
            <w:r w:rsidRPr="00C0135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with the existing patient sample.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1D2F2C" w:rsidRPr="001D2F2C" w:rsidRDefault="001D2F2C" w:rsidP="003940F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C01351" w:rsidRPr="001D2F2C" w:rsidTr="00AC3B3F">
        <w:trPr>
          <w:trHeight w:val="340"/>
        </w:trPr>
        <w:tc>
          <w:tcPr>
            <w:tcW w:w="10282" w:type="dxa"/>
            <w:gridSpan w:val="6"/>
            <w:tcMar>
              <w:left w:w="115" w:type="dxa"/>
              <w:right w:w="115" w:type="dxa"/>
            </w:tcMar>
          </w:tcPr>
          <w:p w:rsidR="00C01351" w:rsidRPr="001D2F2C" w:rsidRDefault="00C01351" w:rsidP="00AC3B3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Testing</w:t>
            </w:r>
          </w:p>
        </w:tc>
      </w:tr>
      <w:tr w:rsidR="003940F7" w:rsidRPr="001D2F2C" w:rsidTr="00332C4A">
        <w:trPr>
          <w:trHeight w:val="628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940F7" w:rsidRPr="001D2F2C" w:rsidRDefault="003940F7" w:rsidP="00332C4A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 xml:space="preserve">1. </w:t>
            </w:r>
          </w:p>
        </w:tc>
        <w:tc>
          <w:tcPr>
            <w:tcW w:w="3796" w:type="dxa"/>
            <w:gridSpan w:val="2"/>
            <w:tcMar>
              <w:left w:w="115" w:type="dxa"/>
              <w:right w:w="115" w:type="dxa"/>
            </w:tcMar>
            <w:vAlign w:val="center"/>
          </w:tcPr>
          <w:p w:rsidR="003940F7" w:rsidRPr="001D2F2C" w:rsidRDefault="003940F7" w:rsidP="00332C4A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only ABO/ Rh testing was ordered, </w:t>
            </w:r>
          </w:p>
        </w:tc>
        <w:tc>
          <w:tcPr>
            <w:tcW w:w="3299" w:type="dxa"/>
          </w:tcPr>
          <w:p w:rsidR="003940F7" w:rsidRDefault="003940F7" w:rsidP="003940F7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epeat all immediate spin testing </w:t>
            </w:r>
            <w:r w:rsidRPr="003940F7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on appropriate samples</w:t>
            </w:r>
          </w:p>
          <w:p w:rsidR="003940F7" w:rsidRPr="001D2F2C" w:rsidRDefault="003940F7" w:rsidP="003940F7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ecord results on Discrepancy worksheet.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:rsidR="003940F7" w:rsidRPr="001D2F2C" w:rsidRDefault="003940F7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ABOD by tube method </w:t>
            </w:r>
          </w:p>
          <w:p w:rsidR="003940F7" w:rsidRPr="001D2F2C" w:rsidRDefault="003940F7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Antibody screen by LISS tube IAT </w:t>
            </w:r>
          </w:p>
          <w:p w:rsidR="003940F7" w:rsidRPr="003940F7" w:rsidRDefault="003940F7" w:rsidP="003940F7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 by LISS Tube IAT Method</w:t>
            </w:r>
          </w:p>
          <w:p w:rsidR="003940F7" w:rsidRPr="003940F7" w:rsidRDefault="003940F7" w:rsidP="003940F7">
            <w:pPr>
              <w:pStyle w:val="Header"/>
              <w:numPr>
                <w:ilvl w:val="0"/>
                <w:numId w:val="40"/>
              </w:numPr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Cs w:val="22"/>
                <w:lang w:val="en-GB"/>
              </w:rPr>
              <w:t>ABO/Rh Discrepancy Worksheet</w:t>
            </w:r>
          </w:p>
          <w:p w:rsidR="003940F7" w:rsidRPr="001D2F2C" w:rsidRDefault="003940F7" w:rsidP="003940F7">
            <w:pPr>
              <w:pStyle w:val="Header"/>
              <w:numPr>
                <w:ilvl w:val="0"/>
                <w:numId w:val="40"/>
              </w:numPr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Cs w:val="22"/>
                <w:lang w:val="en-GB"/>
              </w:rPr>
              <w:t>LIS Downtime Manual Bench Testing Form</w:t>
            </w:r>
          </w:p>
        </w:tc>
      </w:tr>
      <w:tr w:rsidR="003940F7" w:rsidRPr="001D2F2C" w:rsidTr="00332C4A">
        <w:trPr>
          <w:trHeight w:val="1303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940F7" w:rsidRPr="001D2F2C" w:rsidRDefault="003940F7" w:rsidP="00332C4A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2.</w:t>
            </w:r>
          </w:p>
          <w:p w:rsidR="003940F7" w:rsidRPr="001D2F2C" w:rsidRDefault="003940F7" w:rsidP="00332C4A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gridSpan w:val="2"/>
            <w:tcMar>
              <w:left w:w="115" w:type="dxa"/>
              <w:right w:w="115" w:type="dxa"/>
            </w:tcMar>
            <w:vAlign w:val="center"/>
          </w:tcPr>
          <w:p w:rsidR="003940F7" w:rsidRPr="001D2F2C" w:rsidRDefault="003940F7" w:rsidP="00332C4A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other testing was ordered on the specimen (Antibody Screen, DAT, Crossmatch)</w:t>
            </w:r>
          </w:p>
          <w:p w:rsidR="003940F7" w:rsidRPr="001D2F2C" w:rsidRDefault="003940F7" w:rsidP="00332C4A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9" w:type="dxa"/>
          </w:tcPr>
          <w:p w:rsidR="003940F7" w:rsidRDefault="003940F7" w:rsidP="00332C4A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omplete full testing phases on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appropriate samples</w:t>
            </w:r>
          </w:p>
          <w:p w:rsidR="003940F7" w:rsidRPr="001D2F2C" w:rsidRDefault="003940F7" w:rsidP="00332C4A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on LIS Downtime Manual Bench Testing  form</w:t>
            </w:r>
          </w:p>
          <w:p w:rsidR="003940F7" w:rsidRDefault="003940F7" w:rsidP="003940F7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3940F7" w:rsidRPr="001D2F2C" w:rsidRDefault="003940F7" w:rsidP="003940F7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3940F7" w:rsidRDefault="003940F7" w:rsidP="00B8313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</w:tbl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p w:rsidR="00332C4A" w:rsidRDefault="00332C4A"/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"/>
        <w:gridCol w:w="1945"/>
        <w:gridCol w:w="11"/>
        <w:gridCol w:w="1939"/>
        <w:gridCol w:w="10"/>
        <w:gridCol w:w="3190"/>
        <w:gridCol w:w="2657"/>
      </w:tblGrid>
      <w:tr w:rsidR="003940F7" w:rsidRPr="001D2F2C" w:rsidTr="00DF1A8B">
        <w:trPr>
          <w:trHeight w:val="345"/>
        </w:trPr>
        <w:tc>
          <w:tcPr>
            <w:tcW w:w="10282" w:type="dxa"/>
            <w:gridSpan w:val="7"/>
            <w:tcMar>
              <w:left w:w="115" w:type="dxa"/>
              <w:right w:w="115" w:type="dxa"/>
            </w:tcMar>
          </w:tcPr>
          <w:p w:rsidR="003940F7" w:rsidRPr="003940F7" w:rsidRDefault="003940F7" w:rsidP="003940F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940F7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Evaluate Discrepancy</w:t>
            </w:r>
          </w:p>
        </w:tc>
      </w:tr>
      <w:tr w:rsidR="003940F7" w:rsidRPr="001D2F2C" w:rsidTr="00332C4A">
        <w:trPr>
          <w:trHeight w:val="345"/>
        </w:trPr>
        <w:tc>
          <w:tcPr>
            <w:tcW w:w="530" w:type="dxa"/>
            <w:vMerge w:val="restart"/>
            <w:tcMar>
              <w:left w:w="115" w:type="dxa"/>
              <w:right w:w="115" w:type="dxa"/>
            </w:tcMar>
          </w:tcPr>
          <w:p w:rsidR="003940F7" w:rsidRPr="001D2F2C" w:rsidRDefault="003940F7" w:rsidP="00B5326D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1</w:t>
            </w:r>
            <w:r w:rsidRPr="001D2F2C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940F7" w:rsidRPr="00332C4A" w:rsidRDefault="003940F7" w:rsidP="00332C4A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332C4A">
              <w:rPr>
                <w:rFonts w:ascii="Arial" w:hAnsi="Arial" w:cs="Arial"/>
                <w:b/>
                <w:spacing w:val="-3"/>
                <w:szCs w:val="22"/>
                <w:lang w:val="en-GB"/>
              </w:rPr>
              <w:t>I</w:t>
            </w:r>
            <w:r w:rsidR="00332C4A" w:rsidRPr="00332C4A">
              <w:rPr>
                <w:rFonts w:ascii="Arial" w:hAnsi="Arial" w:cs="Arial"/>
                <w:b/>
                <w:spacing w:val="-3"/>
                <w:szCs w:val="22"/>
                <w:lang w:val="en-GB"/>
              </w:rPr>
              <w:t>f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40F7" w:rsidRPr="001D2F2C" w:rsidRDefault="003940F7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 discrepancy is</w:t>
            </w:r>
          </w:p>
        </w:tc>
        <w:tc>
          <w:tcPr>
            <w:tcW w:w="3200" w:type="dxa"/>
            <w:gridSpan w:val="2"/>
            <w:tcBorders>
              <w:left w:val="single" w:sz="4" w:space="0" w:color="auto"/>
            </w:tcBorders>
          </w:tcPr>
          <w:p w:rsidR="003940F7" w:rsidRPr="001D2F2C" w:rsidRDefault="003940F7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Take action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:rsidR="003940F7" w:rsidRPr="001D2F2C" w:rsidRDefault="003940F7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Selection of Red Blood Cell Units</w:t>
            </w:r>
          </w:p>
          <w:p w:rsidR="003940F7" w:rsidRPr="001D2F2C" w:rsidRDefault="003940F7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Selection of Platelets, Plasma, and Cryo</w:t>
            </w:r>
          </w:p>
          <w:p w:rsidR="003940F7" w:rsidRPr="001D2F2C" w:rsidRDefault="003940F7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Emergency Release Allocation Process</w:t>
            </w:r>
          </w:p>
        </w:tc>
      </w:tr>
      <w:tr w:rsidR="003940F7" w:rsidRPr="001D2F2C" w:rsidTr="00730A46">
        <w:trPr>
          <w:trHeight w:val="2440"/>
        </w:trPr>
        <w:tc>
          <w:tcPr>
            <w:tcW w:w="530" w:type="dxa"/>
            <w:vMerge/>
            <w:tcMar>
              <w:left w:w="115" w:type="dxa"/>
              <w:right w:w="115" w:type="dxa"/>
            </w:tcMar>
          </w:tcPr>
          <w:p w:rsidR="003940F7" w:rsidRPr="001D2F2C" w:rsidRDefault="003940F7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940F7" w:rsidRPr="001D2F2C" w:rsidRDefault="003940F7" w:rsidP="00755BC3">
            <w:pPr>
              <w:pStyle w:val="Header"/>
              <w:numPr>
                <w:ilvl w:val="1"/>
                <w:numId w:val="39"/>
              </w:numPr>
              <w:spacing w:before="60" w:after="60" w:line="220" w:lineRule="exact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Second set of test results matches original record, alternative test method or patient verbal account of testing, 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F7" w:rsidRPr="001D2F2C" w:rsidRDefault="003940F7" w:rsidP="008F56D6">
            <w:pPr>
              <w:pStyle w:val="Header"/>
              <w:numPr>
                <w:ilvl w:val="0"/>
                <w:numId w:val="36"/>
              </w:numPr>
              <w:spacing w:before="60" w:after="60" w:line="220" w:lineRule="exact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Resolved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:rsidR="003940F7" w:rsidRPr="001D2F2C" w:rsidRDefault="003940F7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Interpret ABO/Rh, antibody screen, and/or other test results</w:t>
            </w:r>
            <w:r w:rsidRPr="001D2F2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3940F7" w:rsidRPr="001D2F2C" w:rsidRDefault="003940F7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ecord on worksheet and in computer.</w:t>
            </w:r>
          </w:p>
          <w:p w:rsidR="003940F7" w:rsidRPr="001D2F2C" w:rsidRDefault="003940F7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Re-assign blood products as requested for patient transfusion.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3940F7" w:rsidRPr="001D2F2C" w:rsidRDefault="003940F7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1D2F2C" w:rsidTr="003940F7">
        <w:trPr>
          <w:trHeight w:val="277"/>
        </w:trPr>
        <w:tc>
          <w:tcPr>
            <w:tcW w:w="530" w:type="dxa"/>
            <w:vMerge/>
            <w:tcMar>
              <w:left w:w="115" w:type="dxa"/>
              <w:right w:w="115" w:type="dxa"/>
            </w:tcMar>
          </w:tcPr>
          <w:p w:rsidR="00EB5749" w:rsidRPr="001D2F2C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</w:tcPr>
          <w:p w:rsidR="00EB5749" w:rsidRPr="001D2F2C" w:rsidRDefault="00EB5749" w:rsidP="00755BC3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testing results does not match original record, alternative test method or patient verbal account of testing,</w:t>
            </w:r>
          </w:p>
        </w:tc>
        <w:tc>
          <w:tcPr>
            <w:tcW w:w="1949" w:type="dxa"/>
            <w:gridSpan w:val="2"/>
            <w:vAlign w:val="center"/>
          </w:tcPr>
          <w:p w:rsidR="00EB5749" w:rsidRPr="001D2F2C" w:rsidRDefault="00EB5749" w:rsidP="003940F7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 resolved</w:t>
            </w:r>
          </w:p>
        </w:tc>
        <w:tc>
          <w:tcPr>
            <w:tcW w:w="3190" w:type="dxa"/>
          </w:tcPr>
          <w:p w:rsidR="00EB5749" w:rsidRPr="001D2F2C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the event of urgent blood transfusion requests, issue universal donor type components and/or uncrossmatched components, as applicable.</w:t>
            </w:r>
          </w:p>
          <w:p w:rsidR="00EB5749" w:rsidRPr="001D2F2C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TS Manager and TS Medical Director.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1D2F2C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</w:tbl>
    <w:p w:rsidR="00332C4A" w:rsidRDefault="00332C4A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332C4A" w:rsidRDefault="00332C4A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332C4A" w:rsidRDefault="00332C4A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Pr="001D2F2C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  <w:r w:rsidRPr="001D2F2C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EB5749" w:rsidRPr="00332C4A" w:rsidRDefault="00EB5749" w:rsidP="00332C4A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Cs/>
          <w:i/>
          <w:kern w:val="0"/>
          <w:sz w:val="22"/>
          <w:szCs w:val="22"/>
        </w:rPr>
      </w:pPr>
      <w:r w:rsidRPr="001D2F2C">
        <w:rPr>
          <w:rFonts w:ascii="Arial" w:hAnsi="Arial" w:cs="Arial"/>
          <w:bCs/>
          <w:kern w:val="0"/>
          <w:sz w:val="22"/>
          <w:szCs w:val="22"/>
        </w:rPr>
        <w:t>AABB Standards for Blood Banks and Transfusion Services, Current Edition.</w:t>
      </w:r>
    </w:p>
    <w:sectPr w:rsidR="00EB5749" w:rsidRPr="00332C4A" w:rsidSect="00755BC3">
      <w:headerReference w:type="default" r:id="rId8"/>
      <w:footerReference w:type="default" r:id="rId9"/>
      <w:headerReference w:type="first" r:id="rId10"/>
      <w:pgSz w:w="12240" w:h="15840" w:code="1"/>
      <w:pgMar w:top="144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FD" w:rsidRDefault="004401FD" w:rsidP="00F20330">
      <w:r>
        <w:separator/>
      </w:r>
    </w:p>
  </w:endnote>
  <w:endnote w:type="continuationSeparator" w:id="0">
    <w:p w:rsidR="004401FD" w:rsidRDefault="004401FD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FD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Transfusion Service</w:t>
    </w:r>
  </w:p>
  <w:p w:rsidR="004401FD" w:rsidRPr="00D422E3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325 Ninth Ave.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</w:smartTag>
    <w:r>
      <w:rPr>
        <w:rFonts w:ascii="Arial" w:hAnsi="Arial" w:cs="Arial"/>
        <w:sz w:val="20"/>
        <w:szCs w:val="20"/>
      </w:rPr>
      <w:t>, WA 98104</w:t>
    </w: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E4629C">
      <w:rPr>
        <w:rStyle w:val="PageNumber"/>
        <w:rFonts w:ascii="Arial" w:hAnsi="Arial" w:cs="Arial"/>
        <w:noProof/>
        <w:sz w:val="20"/>
        <w:szCs w:val="20"/>
      </w:rPr>
      <w:t>2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FD" w:rsidRDefault="004401FD" w:rsidP="00F20330">
      <w:r>
        <w:separator/>
      </w:r>
    </w:p>
  </w:footnote>
  <w:footnote w:type="continuationSeparator" w:id="0">
    <w:p w:rsidR="004401FD" w:rsidRDefault="004401FD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FD" w:rsidRPr="00D43E57" w:rsidRDefault="004401FD">
    <w:pPr>
      <w:pStyle w:val="Header"/>
      <w:rPr>
        <w:rFonts w:ascii="Arial" w:hAnsi="Arial" w:cs="Arial"/>
        <w:sz w:val="20"/>
      </w:rPr>
    </w:pPr>
    <w:r w:rsidRPr="00D43E57">
      <w:rPr>
        <w:rFonts w:ascii="Arial" w:hAnsi="Arial" w:cs="Arial"/>
        <w:sz w:val="20"/>
      </w:rPr>
      <w:t>Discrepant Result Resolution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FD" w:rsidRDefault="00615092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FA7EBAE" wp14:editId="28093FC3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1FD" w:rsidRDefault="004401FD">
    <w:pPr>
      <w:pStyle w:val="Header"/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200"/>
      <w:gridCol w:w="3570"/>
      <w:gridCol w:w="2310"/>
    </w:tblGrid>
    <w:tr w:rsidR="004401FD" w:rsidTr="00D43E57">
      <w:trPr>
        <w:cantSplit/>
        <w:trHeight w:val="537"/>
      </w:trPr>
      <w:tc>
        <w:tcPr>
          <w:tcW w:w="42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D684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401FD" w:rsidRDefault="004401FD" w:rsidP="008F56D6">
          <w:pPr>
            <w:rPr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7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4617A">
            <w:rPr>
              <w:rFonts w:ascii="Arial" w:hAnsi="Arial" w:cs="Arial"/>
              <w:sz w:val="22"/>
              <w:szCs w:val="22"/>
            </w:rPr>
            <w:t>April 1</w:t>
          </w:r>
          <w:r w:rsidRPr="00A4617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4617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10" w:type="dxa"/>
          <w:tcBorders>
            <w:top w:val="double" w:sz="4" w:space="0" w:color="auto"/>
            <w:left w:val="nil"/>
            <w:bottom w:val="nil"/>
          </w:tcBorders>
        </w:tcPr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1D2F2C">
            <w:rPr>
              <w:rFonts w:ascii="Arial" w:hAnsi="Arial" w:cs="Arial"/>
              <w:b/>
              <w:sz w:val="22"/>
              <w:szCs w:val="22"/>
              <w:highlight w:val="yellow"/>
            </w:rPr>
            <w:t>5400-</w:t>
          </w:r>
          <w:r w:rsidR="001D2F2C" w:rsidRPr="001D2F2C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4401FD" w:rsidTr="00D43E57">
      <w:trPr>
        <w:cantSplit/>
        <w:trHeight w:val="126"/>
      </w:trPr>
      <w:tc>
        <w:tcPr>
          <w:tcW w:w="42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401FD" w:rsidRDefault="004401FD" w:rsidP="008F56D6">
          <w:pPr>
            <w:rPr>
              <w:b/>
            </w:rPr>
          </w:pPr>
        </w:p>
      </w:tc>
      <w:tc>
        <w:tcPr>
          <w:tcW w:w="3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401FD" w:rsidRPr="001A1998" w:rsidRDefault="001D2F2C" w:rsidP="008F56D6">
          <w:pPr>
            <w:jc w:val="both"/>
            <w:rPr>
              <w:rFonts w:ascii="Arial" w:hAnsi="Arial" w:cs="Arial"/>
            </w:rPr>
          </w:pPr>
          <w:r w:rsidRPr="001D2F2C">
            <w:rPr>
              <w:rFonts w:ascii="Arial" w:hAnsi="Arial" w:cs="Arial"/>
              <w:sz w:val="22"/>
              <w:szCs w:val="22"/>
              <w:highlight w:val="yellow"/>
            </w:rPr>
            <w:t>4/30/2015</w:t>
          </w:r>
        </w:p>
      </w:tc>
      <w:tc>
        <w:tcPr>
          <w:tcW w:w="231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4401FD" w:rsidTr="00D43E57">
      <w:trPr>
        <w:cantSplit/>
        <w:trHeight w:val="563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401FD" w:rsidRPr="00625235" w:rsidRDefault="004401FD" w:rsidP="00625235">
          <w:pPr>
            <w:pStyle w:val="Header"/>
            <w:rPr>
              <w:rFonts w:ascii="Arial" w:hAnsi="Arial" w:cs="Arial"/>
              <w:sz w:val="20"/>
            </w:rPr>
          </w:pPr>
          <w:r w:rsidRPr="00625235">
            <w:rPr>
              <w:rFonts w:ascii="Arial" w:hAnsi="Arial" w:cs="Arial"/>
              <w:sz w:val="28"/>
            </w:rPr>
            <w:t>TITLE:</w:t>
          </w:r>
          <w:r w:rsidRPr="00625235">
            <w:rPr>
              <w:rFonts w:ascii="Arial" w:hAnsi="Arial" w:cs="Arial"/>
              <w:b/>
              <w:sz w:val="28"/>
            </w:rPr>
            <w:t xml:space="preserve">  </w:t>
          </w:r>
          <w:r w:rsidRPr="00625235">
            <w:rPr>
              <w:rFonts w:ascii="Arial" w:hAnsi="Arial" w:cs="Arial"/>
              <w:sz w:val="28"/>
              <w:szCs w:val="28"/>
            </w:rPr>
            <w:t xml:space="preserve">Discrepant Result Resolution </w:t>
          </w:r>
          <w:r>
            <w:rPr>
              <w:rFonts w:ascii="Arial" w:hAnsi="Arial" w:cs="Arial"/>
              <w:sz w:val="28"/>
              <w:szCs w:val="28"/>
            </w:rPr>
            <w:t>Process</w:t>
          </w:r>
        </w:p>
      </w:tc>
    </w:tr>
  </w:tbl>
  <w:p w:rsidR="004401FD" w:rsidRDefault="00440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2788B"/>
    <w:multiLevelType w:val="hybridMultilevel"/>
    <w:tmpl w:val="7BE43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0C2B37"/>
    <w:multiLevelType w:val="hybridMultilevel"/>
    <w:tmpl w:val="44C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6F6B15"/>
    <w:multiLevelType w:val="hybridMultilevel"/>
    <w:tmpl w:val="D03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1699F"/>
    <w:multiLevelType w:val="hybridMultilevel"/>
    <w:tmpl w:val="6BD68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3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18104B"/>
    <w:multiLevelType w:val="hybridMultilevel"/>
    <w:tmpl w:val="A0A67B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F7449"/>
    <w:multiLevelType w:val="multilevel"/>
    <w:tmpl w:val="7BE43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C17AB4"/>
    <w:multiLevelType w:val="hybridMultilevel"/>
    <w:tmpl w:val="FC04A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0631FD"/>
    <w:multiLevelType w:val="hybridMultilevel"/>
    <w:tmpl w:val="EAD82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FC40958"/>
    <w:multiLevelType w:val="hybridMultilevel"/>
    <w:tmpl w:val="7014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D81250"/>
    <w:multiLevelType w:val="hybridMultilevel"/>
    <w:tmpl w:val="945E6A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475F6F"/>
    <w:multiLevelType w:val="hybridMultilevel"/>
    <w:tmpl w:val="B888D78E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8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15"/>
  </w:num>
  <w:num w:numId="4">
    <w:abstractNumId w:val="1"/>
  </w:num>
  <w:num w:numId="5">
    <w:abstractNumId w:val="31"/>
  </w:num>
  <w:num w:numId="6">
    <w:abstractNumId w:val="36"/>
  </w:num>
  <w:num w:numId="7">
    <w:abstractNumId w:val="25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26"/>
  </w:num>
  <w:num w:numId="14">
    <w:abstractNumId w:val="17"/>
  </w:num>
  <w:num w:numId="15">
    <w:abstractNumId w:val="39"/>
  </w:num>
  <w:num w:numId="16">
    <w:abstractNumId w:val="11"/>
  </w:num>
  <w:num w:numId="17">
    <w:abstractNumId w:val="2"/>
  </w:num>
  <w:num w:numId="18">
    <w:abstractNumId w:val="12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4"/>
  </w:num>
  <w:num w:numId="27">
    <w:abstractNumId w:val="33"/>
  </w:num>
  <w:num w:numId="28">
    <w:abstractNumId w:val="6"/>
  </w:num>
  <w:num w:numId="29">
    <w:abstractNumId w:val="37"/>
  </w:num>
  <w:num w:numId="30">
    <w:abstractNumId w:val="30"/>
  </w:num>
  <w:num w:numId="31">
    <w:abstractNumId w:val="38"/>
  </w:num>
  <w:num w:numId="32">
    <w:abstractNumId w:val="34"/>
  </w:num>
  <w:num w:numId="33">
    <w:abstractNumId w:val="5"/>
  </w:num>
  <w:num w:numId="34">
    <w:abstractNumId w:val="28"/>
  </w:num>
  <w:num w:numId="35">
    <w:abstractNumId w:val="8"/>
  </w:num>
  <w:num w:numId="36">
    <w:abstractNumId w:val="3"/>
  </w:num>
  <w:num w:numId="37">
    <w:abstractNumId w:val="22"/>
  </w:num>
  <w:num w:numId="38">
    <w:abstractNumId w:val="27"/>
  </w:num>
  <w:num w:numId="39">
    <w:abstractNumId w:val="32"/>
  </w:num>
  <w:num w:numId="40">
    <w:abstractNumId w:val="3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F"/>
    <w:rsid w:val="000271C8"/>
    <w:rsid w:val="000501D9"/>
    <w:rsid w:val="0006541C"/>
    <w:rsid w:val="0007263E"/>
    <w:rsid w:val="000D057B"/>
    <w:rsid w:val="000F7776"/>
    <w:rsid w:val="00104EC4"/>
    <w:rsid w:val="00125274"/>
    <w:rsid w:val="00133A93"/>
    <w:rsid w:val="00136294"/>
    <w:rsid w:val="00142280"/>
    <w:rsid w:val="0017203B"/>
    <w:rsid w:val="00173019"/>
    <w:rsid w:val="001938E0"/>
    <w:rsid w:val="001A0825"/>
    <w:rsid w:val="001A1998"/>
    <w:rsid w:val="001C30E2"/>
    <w:rsid w:val="001D21AC"/>
    <w:rsid w:val="001D2F2C"/>
    <w:rsid w:val="001F3B76"/>
    <w:rsid w:val="00244FEF"/>
    <w:rsid w:val="002555AB"/>
    <w:rsid w:val="0026002C"/>
    <w:rsid w:val="002842AE"/>
    <w:rsid w:val="00286B29"/>
    <w:rsid w:val="002D4D89"/>
    <w:rsid w:val="002F3F37"/>
    <w:rsid w:val="00311B11"/>
    <w:rsid w:val="00332C4A"/>
    <w:rsid w:val="0033511B"/>
    <w:rsid w:val="0034210B"/>
    <w:rsid w:val="0035034E"/>
    <w:rsid w:val="0036034F"/>
    <w:rsid w:val="00366B58"/>
    <w:rsid w:val="00367A28"/>
    <w:rsid w:val="00381239"/>
    <w:rsid w:val="00381999"/>
    <w:rsid w:val="003928E6"/>
    <w:rsid w:val="0039358E"/>
    <w:rsid w:val="003940F7"/>
    <w:rsid w:val="003D17A9"/>
    <w:rsid w:val="003D4BDB"/>
    <w:rsid w:val="003E237E"/>
    <w:rsid w:val="003E375F"/>
    <w:rsid w:val="00404E58"/>
    <w:rsid w:val="00430316"/>
    <w:rsid w:val="004401FD"/>
    <w:rsid w:val="004622E2"/>
    <w:rsid w:val="004741ED"/>
    <w:rsid w:val="004A7425"/>
    <w:rsid w:val="004B0C51"/>
    <w:rsid w:val="004C5FEE"/>
    <w:rsid w:val="004F29BE"/>
    <w:rsid w:val="00506F77"/>
    <w:rsid w:val="0052290C"/>
    <w:rsid w:val="00522B4C"/>
    <w:rsid w:val="0054539C"/>
    <w:rsid w:val="00550303"/>
    <w:rsid w:val="00556606"/>
    <w:rsid w:val="00557243"/>
    <w:rsid w:val="005579D7"/>
    <w:rsid w:val="00566D97"/>
    <w:rsid w:val="00570826"/>
    <w:rsid w:val="005A1A53"/>
    <w:rsid w:val="005A1A92"/>
    <w:rsid w:val="005A515D"/>
    <w:rsid w:val="005B0F67"/>
    <w:rsid w:val="005C2D8C"/>
    <w:rsid w:val="005D6A64"/>
    <w:rsid w:val="005E11D9"/>
    <w:rsid w:val="005E5272"/>
    <w:rsid w:val="00613406"/>
    <w:rsid w:val="00615092"/>
    <w:rsid w:val="00623C0C"/>
    <w:rsid w:val="00625235"/>
    <w:rsid w:val="0065142B"/>
    <w:rsid w:val="00660965"/>
    <w:rsid w:val="00661E04"/>
    <w:rsid w:val="006665D0"/>
    <w:rsid w:val="00687BF3"/>
    <w:rsid w:val="006B02D4"/>
    <w:rsid w:val="006B44D4"/>
    <w:rsid w:val="007204A5"/>
    <w:rsid w:val="0073040A"/>
    <w:rsid w:val="007464EF"/>
    <w:rsid w:val="007515A9"/>
    <w:rsid w:val="00752CA1"/>
    <w:rsid w:val="00753553"/>
    <w:rsid w:val="00755BC3"/>
    <w:rsid w:val="00764240"/>
    <w:rsid w:val="00765FAA"/>
    <w:rsid w:val="007C450C"/>
    <w:rsid w:val="007D71F7"/>
    <w:rsid w:val="008006EF"/>
    <w:rsid w:val="0080600C"/>
    <w:rsid w:val="008079D3"/>
    <w:rsid w:val="008263BF"/>
    <w:rsid w:val="00837AC9"/>
    <w:rsid w:val="00855541"/>
    <w:rsid w:val="0088019C"/>
    <w:rsid w:val="00882B5D"/>
    <w:rsid w:val="00886271"/>
    <w:rsid w:val="008B6187"/>
    <w:rsid w:val="008C2C16"/>
    <w:rsid w:val="008C7F1E"/>
    <w:rsid w:val="008D08EB"/>
    <w:rsid w:val="008D6FCD"/>
    <w:rsid w:val="008F56D6"/>
    <w:rsid w:val="008F5A36"/>
    <w:rsid w:val="009002A1"/>
    <w:rsid w:val="0092411B"/>
    <w:rsid w:val="00926282"/>
    <w:rsid w:val="0093209C"/>
    <w:rsid w:val="00936792"/>
    <w:rsid w:val="00973F4A"/>
    <w:rsid w:val="009B242B"/>
    <w:rsid w:val="009B2991"/>
    <w:rsid w:val="009D6849"/>
    <w:rsid w:val="009E4EA3"/>
    <w:rsid w:val="00A171DB"/>
    <w:rsid w:val="00A2263F"/>
    <w:rsid w:val="00A30CB0"/>
    <w:rsid w:val="00A344D9"/>
    <w:rsid w:val="00A4617A"/>
    <w:rsid w:val="00A62C02"/>
    <w:rsid w:val="00A7777A"/>
    <w:rsid w:val="00AA1216"/>
    <w:rsid w:val="00AB3ED9"/>
    <w:rsid w:val="00AC5872"/>
    <w:rsid w:val="00AE42EF"/>
    <w:rsid w:val="00B212FF"/>
    <w:rsid w:val="00B23666"/>
    <w:rsid w:val="00B27896"/>
    <w:rsid w:val="00B51ED0"/>
    <w:rsid w:val="00B5326D"/>
    <w:rsid w:val="00B626EE"/>
    <w:rsid w:val="00B74535"/>
    <w:rsid w:val="00B80C74"/>
    <w:rsid w:val="00B83132"/>
    <w:rsid w:val="00B94045"/>
    <w:rsid w:val="00BF5704"/>
    <w:rsid w:val="00C01351"/>
    <w:rsid w:val="00C03C16"/>
    <w:rsid w:val="00C109D6"/>
    <w:rsid w:val="00C20F6F"/>
    <w:rsid w:val="00C57C5F"/>
    <w:rsid w:val="00CB7081"/>
    <w:rsid w:val="00CE75EF"/>
    <w:rsid w:val="00D2025E"/>
    <w:rsid w:val="00D26356"/>
    <w:rsid w:val="00D422E3"/>
    <w:rsid w:val="00D43E57"/>
    <w:rsid w:val="00D74BFA"/>
    <w:rsid w:val="00D86A73"/>
    <w:rsid w:val="00DA1D21"/>
    <w:rsid w:val="00DC5B9F"/>
    <w:rsid w:val="00DC7727"/>
    <w:rsid w:val="00DF7400"/>
    <w:rsid w:val="00E23AAC"/>
    <w:rsid w:val="00E37E29"/>
    <w:rsid w:val="00E4629C"/>
    <w:rsid w:val="00E74B8E"/>
    <w:rsid w:val="00E812FD"/>
    <w:rsid w:val="00E86B23"/>
    <w:rsid w:val="00E926A6"/>
    <w:rsid w:val="00EA2073"/>
    <w:rsid w:val="00EB5749"/>
    <w:rsid w:val="00EC6848"/>
    <w:rsid w:val="00EC69A6"/>
    <w:rsid w:val="00EE2738"/>
    <w:rsid w:val="00EE2DF5"/>
    <w:rsid w:val="00F074E1"/>
    <w:rsid w:val="00F20330"/>
    <w:rsid w:val="00F87107"/>
    <w:rsid w:val="00F925EB"/>
    <w:rsid w:val="00FA2D3B"/>
    <w:rsid w:val="00FA7581"/>
    <w:rsid w:val="00FC5EA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4E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4E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4E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EE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5FEE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34E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A92"/>
    <w:rPr>
      <w:rFonts w:ascii="Georgia" w:hAnsi="Georgia" w:cs="Times New Roman"/>
      <w:kern w:val="24"/>
      <w:sz w:val="24"/>
    </w:rPr>
  </w:style>
  <w:style w:type="paragraph" w:customStyle="1" w:styleId="NormalBold">
    <w:name w:val="Normal Bold"/>
    <w:basedOn w:val="Normal"/>
    <w:uiPriority w:val="99"/>
    <w:rsid w:val="0035034E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35034E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5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34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EE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50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5F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FE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938E0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4E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4E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4E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EE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5FEE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34E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A92"/>
    <w:rPr>
      <w:rFonts w:ascii="Georgia" w:hAnsi="Georgia" w:cs="Times New Roman"/>
      <w:kern w:val="24"/>
      <w:sz w:val="24"/>
    </w:rPr>
  </w:style>
  <w:style w:type="paragraph" w:customStyle="1" w:styleId="NormalBold">
    <w:name w:val="Normal Bold"/>
    <w:basedOn w:val="Normal"/>
    <w:uiPriority w:val="99"/>
    <w:rsid w:val="0035034E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35034E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5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34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EE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50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5F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FE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938E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Brenda Hayden</dc:creator>
  <cp:lastModifiedBy>Sen, Nina</cp:lastModifiedBy>
  <cp:revision>2</cp:revision>
  <cp:lastPrinted>2015-04-03T19:21:00Z</cp:lastPrinted>
  <dcterms:created xsi:type="dcterms:W3CDTF">2015-04-17T17:46:00Z</dcterms:created>
  <dcterms:modified xsi:type="dcterms:W3CDTF">2015-04-17T17:46:00Z</dcterms:modified>
</cp:coreProperties>
</file>