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6" w:rsidRPr="00484060" w:rsidRDefault="00B60136" w:rsidP="0004078D">
      <w:pPr>
        <w:ind w:hanging="360"/>
        <w:rPr>
          <w:rFonts w:ascii="Arial" w:hAnsi="Arial" w:cs="Arial"/>
          <w:b/>
          <w:sz w:val="22"/>
          <w:szCs w:val="22"/>
        </w:rPr>
      </w:pPr>
      <w:bookmarkStart w:id="0" w:name="_GoBack"/>
      <w:bookmarkEnd w:id="0"/>
      <w:r w:rsidRPr="00484060">
        <w:rPr>
          <w:rFonts w:ascii="Arial" w:hAnsi="Arial" w:cs="Arial"/>
          <w:b/>
          <w:sz w:val="22"/>
          <w:szCs w:val="22"/>
        </w:rPr>
        <w:t>Purpose:</w:t>
      </w:r>
    </w:p>
    <w:p w:rsidR="005D6A60" w:rsidRPr="00484060" w:rsidRDefault="005D6A60" w:rsidP="00BE2B59">
      <w:pPr>
        <w:ind w:left="-360"/>
        <w:rPr>
          <w:rFonts w:ascii="Arial" w:hAnsi="Arial" w:cs="Arial"/>
          <w:sz w:val="22"/>
          <w:szCs w:val="22"/>
        </w:rPr>
      </w:pPr>
      <w:r w:rsidRPr="00484060">
        <w:rPr>
          <w:rFonts w:ascii="Arial" w:hAnsi="Arial" w:cs="Arial"/>
          <w:sz w:val="22"/>
          <w:szCs w:val="22"/>
        </w:rPr>
        <w:t xml:space="preserve">To assure that </w:t>
      </w:r>
      <w:r w:rsidRPr="004B0247">
        <w:rPr>
          <w:rFonts w:ascii="Arial" w:hAnsi="Arial" w:cs="Arial"/>
          <w:sz w:val="22"/>
          <w:szCs w:val="22"/>
        </w:rPr>
        <w:t>the liquid reagents use for testing o</w:t>
      </w:r>
      <w:r>
        <w:rPr>
          <w:rFonts w:ascii="Arial" w:hAnsi="Arial" w:cs="Arial"/>
          <w:sz w:val="22"/>
          <w:szCs w:val="22"/>
        </w:rPr>
        <w:t xml:space="preserve">n the TANGO are loaded properly, reagent shelf life is recorded and monitored in an appropriate and accurate manner, and </w:t>
      </w:r>
      <w:r w:rsidRPr="00484060">
        <w:rPr>
          <w:rFonts w:ascii="Arial" w:hAnsi="Arial" w:cs="Arial"/>
          <w:sz w:val="22"/>
          <w:szCs w:val="22"/>
        </w:rPr>
        <w:t>th</w:t>
      </w:r>
      <w:r>
        <w:rPr>
          <w:rFonts w:ascii="Arial" w:hAnsi="Arial" w:cs="Arial"/>
          <w:sz w:val="22"/>
          <w:szCs w:val="22"/>
        </w:rPr>
        <w:t xml:space="preserve">at, </w:t>
      </w:r>
      <w:r w:rsidRPr="009038E8">
        <w:rPr>
          <w:rFonts w:ascii="Arial" w:hAnsi="Arial" w:cs="Arial"/>
          <w:sz w:val="22"/>
          <w:szCs w:val="22"/>
        </w:rPr>
        <w:t>when necessary, reagent information is correctly edited.</w:t>
      </w:r>
    </w:p>
    <w:p w:rsidR="007A0EB3" w:rsidRPr="00484060" w:rsidRDefault="007A0EB3" w:rsidP="0004078D">
      <w:pPr>
        <w:ind w:hanging="360"/>
        <w:rPr>
          <w:rFonts w:ascii="Arial" w:hAnsi="Arial" w:cs="Arial"/>
          <w:sz w:val="22"/>
          <w:szCs w:val="22"/>
        </w:rPr>
      </w:pPr>
    </w:p>
    <w:p w:rsidR="00B60136" w:rsidRDefault="00B60136" w:rsidP="0004078D">
      <w:pPr>
        <w:pStyle w:val="ListParagraph"/>
        <w:ind w:left="0" w:hanging="360"/>
        <w:rPr>
          <w:rFonts w:ascii="Arial" w:hAnsi="Arial" w:cs="Arial"/>
          <w:b/>
          <w:sz w:val="22"/>
          <w:szCs w:val="22"/>
        </w:rPr>
      </w:pPr>
      <w:r>
        <w:rPr>
          <w:rFonts w:ascii="Arial" w:hAnsi="Arial" w:cs="Arial"/>
          <w:b/>
          <w:sz w:val="22"/>
          <w:szCs w:val="22"/>
        </w:rPr>
        <w:t>Limitations:</w:t>
      </w:r>
    </w:p>
    <w:p w:rsidR="005D6A60" w:rsidRDefault="005D6A60" w:rsidP="005D6A60">
      <w:pPr>
        <w:pStyle w:val="ListParagraph"/>
        <w:numPr>
          <w:ilvl w:val="0"/>
          <w:numId w:val="38"/>
        </w:numPr>
        <w:rPr>
          <w:rFonts w:ascii="Arial" w:hAnsi="Arial" w:cs="Arial"/>
          <w:b/>
          <w:sz w:val="22"/>
          <w:szCs w:val="22"/>
        </w:rPr>
      </w:pPr>
      <w:r>
        <w:rPr>
          <w:rFonts w:ascii="Arial" w:hAnsi="Arial" w:cs="Arial"/>
          <w:sz w:val="22"/>
          <w:szCs w:val="22"/>
        </w:rPr>
        <w:t>Do not load reagents while loading</w:t>
      </w:r>
      <w:r w:rsidR="00627623">
        <w:rPr>
          <w:rFonts w:ascii="Arial" w:hAnsi="Arial" w:cs="Arial"/>
          <w:sz w:val="22"/>
          <w:szCs w:val="22"/>
        </w:rPr>
        <w:t xml:space="preserve"> plates or samples as only one l</w:t>
      </w:r>
      <w:r>
        <w:rPr>
          <w:rFonts w:ascii="Arial" w:hAnsi="Arial" w:cs="Arial"/>
          <w:sz w:val="22"/>
          <w:szCs w:val="22"/>
        </w:rPr>
        <w:t>oading window can be displayed at the same time.</w:t>
      </w:r>
    </w:p>
    <w:p w:rsidR="005D6A60" w:rsidRPr="00F712B7" w:rsidRDefault="005D6A60" w:rsidP="005D6A60">
      <w:pPr>
        <w:pStyle w:val="ListParagraph"/>
        <w:numPr>
          <w:ilvl w:val="0"/>
          <w:numId w:val="38"/>
        </w:numPr>
        <w:rPr>
          <w:rFonts w:ascii="Arial" w:hAnsi="Arial" w:cs="Arial"/>
          <w:b/>
          <w:sz w:val="22"/>
          <w:szCs w:val="22"/>
        </w:rPr>
      </w:pPr>
      <w:r>
        <w:rPr>
          <w:rFonts w:ascii="Arial" w:hAnsi="Arial" w:cs="Arial"/>
          <w:sz w:val="22"/>
          <w:szCs w:val="22"/>
        </w:rPr>
        <w:t>Insert new cell mixers in newly opened red cell reagents.</w:t>
      </w:r>
    </w:p>
    <w:p w:rsidR="005D6A60" w:rsidRPr="002009C8" w:rsidRDefault="005D6A60" w:rsidP="005D6A60">
      <w:pPr>
        <w:pStyle w:val="ListParagraph"/>
        <w:numPr>
          <w:ilvl w:val="0"/>
          <w:numId w:val="38"/>
        </w:numPr>
        <w:rPr>
          <w:rFonts w:ascii="Arial" w:hAnsi="Arial" w:cs="Arial"/>
          <w:b/>
          <w:sz w:val="22"/>
          <w:szCs w:val="22"/>
        </w:rPr>
      </w:pPr>
      <w:r>
        <w:rPr>
          <w:rFonts w:ascii="Arial" w:hAnsi="Arial" w:cs="Arial"/>
          <w:sz w:val="22"/>
          <w:szCs w:val="22"/>
        </w:rPr>
        <w:t xml:space="preserve">Storage of liquid reagents </w:t>
      </w:r>
      <w:r w:rsidR="009A2F3B">
        <w:rPr>
          <w:rFonts w:ascii="Arial" w:hAnsi="Arial" w:cs="Arial"/>
          <w:sz w:val="22"/>
          <w:szCs w:val="22"/>
        </w:rPr>
        <w:t>is</w:t>
      </w:r>
      <w:r>
        <w:rPr>
          <w:rFonts w:ascii="Arial" w:hAnsi="Arial" w:cs="Arial"/>
          <w:sz w:val="22"/>
          <w:szCs w:val="22"/>
        </w:rPr>
        <w:t xml:space="preserve"> at 2-8</w:t>
      </w:r>
      <w:r>
        <w:rPr>
          <w:rFonts w:ascii="Arial" w:hAnsi="Arial" w:cs="Arial"/>
          <w:sz w:val="22"/>
          <w:szCs w:val="22"/>
          <w:vertAlign w:val="superscript"/>
        </w:rPr>
        <w:t xml:space="preserve"> o</w:t>
      </w:r>
      <w:r>
        <w:rPr>
          <w:rFonts w:ascii="Arial" w:hAnsi="Arial" w:cs="Arial"/>
          <w:sz w:val="22"/>
          <w:szCs w:val="22"/>
        </w:rPr>
        <w:t>C until reagent expiration or at the designated shelf life on the instrument.</w:t>
      </w:r>
    </w:p>
    <w:p w:rsidR="005D6A60" w:rsidRPr="002009C8" w:rsidRDefault="005D6A60" w:rsidP="005D6A60">
      <w:pPr>
        <w:pStyle w:val="ListParagraph"/>
        <w:numPr>
          <w:ilvl w:val="0"/>
          <w:numId w:val="38"/>
        </w:numPr>
        <w:rPr>
          <w:rFonts w:ascii="Arial" w:hAnsi="Arial" w:cs="Arial"/>
          <w:b/>
          <w:sz w:val="22"/>
          <w:szCs w:val="22"/>
        </w:rPr>
      </w:pPr>
      <w:r>
        <w:rPr>
          <w:rFonts w:ascii="Arial" w:hAnsi="Arial" w:cs="Arial"/>
          <w:sz w:val="22"/>
          <w:szCs w:val="22"/>
        </w:rPr>
        <w:t>Do not use expired reagents or reagents that have exceeded their on board shelf life.</w:t>
      </w:r>
    </w:p>
    <w:p w:rsidR="005D6A60" w:rsidRPr="002009C8" w:rsidRDefault="005D6A60" w:rsidP="005D6A60">
      <w:pPr>
        <w:pStyle w:val="ListParagraph"/>
        <w:numPr>
          <w:ilvl w:val="0"/>
          <w:numId w:val="38"/>
        </w:numPr>
        <w:rPr>
          <w:rFonts w:ascii="Arial" w:hAnsi="Arial" w:cs="Arial"/>
          <w:b/>
          <w:sz w:val="22"/>
          <w:szCs w:val="22"/>
        </w:rPr>
      </w:pPr>
      <w:r>
        <w:rPr>
          <w:rFonts w:ascii="Arial" w:hAnsi="Arial" w:cs="Arial"/>
          <w:sz w:val="22"/>
          <w:szCs w:val="22"/>
        </w:rPr>
        <w:t>Reagents having different ages (expiration date or time after opening) must not be combined and then used.</w:t>
      </w:r>
    </w:p>
    <w:p w:rsidR="005D6A60" w:rsidRPr="009A2F3B" w:rsidRDefault="005D6A60" w:rsidP="005D6A60">
      <w:pPr>
        <w:pStyle w:val="ListParagraph"/>
        <w:numPr>
          <w:ilvl w:val="0"/>
          <w:numId w:val="38"/>
        </w:numPr>
        <w:rPr>
          <w:rFonts w:ascii="Arial" w:hAnsi="Arial" w:cs="Arial"/>
          <w:b/>
          <w:sz w:val="22"/>
          <w:szCs w:val="22"/>
        </w:rPr>
      </w:pPr>
      <w:r w:rsidRPr="009A2F3B">
        <w:rPr>
          <w:rFonts w:ascii="Arial" w:hAnsi="Arial" w:cs="Arial"/>
          <w:sz w:val="22"/>
          <w:szCs w:val="22"/>
        </w:rPr>
        <w:t>Dispose of expired or damaged reagents in a designated biohazard waste container.</w:t>
      </w:r>
    </w:p>
    <w:p w:rsidR="005D6A60" w:rsidRPr="00A57370" w:rsidRDefault="009A2F3B" w:rsidP="005D6A60">
      <w:pPr>
        <w:pStyle w:val="ListParagraph"/>
        <w:numPr>
          <w:ilvl w:val="0"/>
          <w:numId w:val="38"/>
        </w:numPr>
        <w:rPr>
          <w:rFonts w:ascii="Arial" w:hAnsi="Arial" w:cs="Arial"/>
          <w:b/>
          <w:sz w:val="22"/>
          <w:szCs w:val="22"/>
        </w:rPr>
      </w:pPr>
      <w:r w:rsidRPr="00A57370">
        <w:rPr>
          <w:rFonts w:ascii="Arial" w:hAnsi="Arial" w:cs="Arial"/>
          <w:sz w:val="22"/>
          <w:szCs w:val="22"/>
        </w:rPr>
        <w:t>If the Tango is turned off</w:t>
      </w:r>
      <w:r w:rsidR="005D6A60" w:rsidRPr="00A57370">
        <w:rPr>
          <w:rFonts w:ascii="Arial" w:hAnsi="Arial" w:cs="Arial"/>
          <w:sz w:val="22"/>
          <w:szCs w:val="22"/>
        </w:rPr>
        <w:t xml:space="preserve"> the liquid reagent information is deleted.</w:t>
      </w:r>
      <w:r w:rsidRPr="00A57370">
        <w:rPr>
          <w:rFonts w:ascii="Arial" w:hAnsi="Arial" w:cs="Arial"/>
          <w:sz w:val="22"/>
          <w:szCs w:val="22"/>
        </w:rPr>
        <w:t xml:space="preserve"> Upon restarting, the</w:t>
      </w:r>
      <w:r w:rsidR="005D6A60" w:rsidRPr="00A57370">
        <w:rPr>
          <w:rFonts w:ascii="Arial" w:hAnsi="Arial" w:cs="Arial"/>
          <w:sz w:val="22"/>
          <w:szCs w:val="22"/>
        </w:rPr>
        <w:t xml:space="preserve"> liquid reagents must be removed from the analyzer and then </w:t>
      </w:r>
      <w:r w:rsidRPr="00A57370">
        <w:rPr>
          <w:rFonts w:ascii="Arial" w:hAnsi="Arial" w:cs="Arial"/>
          <w:sz w:val="22"/>
          <w:szCs w:val="22"/>
        </w:rPr>
        <w:t>re</w:t>
      </w:r>
      <w:r w:rsidR="005D6A60" w:rsidRPr="00A57370">
        <w:rPr>
          <w:rFonts w:ascii="Arial" w:hAnsi="Arial" w:cs="Arial"/>
          <w:sz w:val="22"/>
          <w:szCs w:val="22"/>
        </w:rPr>
        <w:t xml:space="preserve">loaded. </w:t>
      </w:r>
    </w:p>
    <w:p w:rsidR="005D6A60" w:rsidRPr="005D6A60" w:rsidRDefault="005D6A60" w:rsidP="005D6A60">
      <w:pPr>
        <w:pStyle w:val="ListParagraph"/>
        <w:numPr>
          <w:ilvl w:val="0"/>
          <w:numId w:val="38"/>
        </w:numPr>
        <w:rPr>
          <w:rFonts w:ascii="Arial" w:hAnsi="Arial" w:cs="Arial"/>
          <w:b/>
          <w:sz w:val="22"/>
          <w:szCs w:val="22"/>
        </w:rPr>
      </w:pPr>
      <w:r>
        <w:rPr>
          <w:rFonts w:ascii="Arial" w:hAnsi="Arial" w:cs="Arial"/>
          <w:sz w:val="22"/>
          <w:szCs w:val="22"/>
        </w:rPr>
        <w:t>Samples and reagents derived from human or animal blood are potentially biohazardous and/or infectious. Use appropriate PPE when handling such materials.</w:t>
      </w:r>
    </w:p>
    <w:p w:rsidR="007A0EB3" w:rsidRDefault="007A0EB3" w:rsidP="0004078D">
      <w:pPr>
        <w:ind w:hanging="360"/>
        <w:rPr>
          <w:rFonts w:ascii="Arial" w:hAnsi="Arial" w:cs="Arial"/>
          <w:b/>
          <w:sz w:val="22"/>
          <w:szCs w:val="22"/>
        </w:rPr>
      </w:pPr>
    </w:p>
    <w:p w:rsidR="00B60136" w:rsidRDefault="00B60136" w:rsidP="0004078D">
      <w:pPr>
        <w:ind w:hanging="360"/>
        <w:rPr>
          <w:rFonts w:ascii="Arial" w:hAnsi="Arial" w:cs="Arial"/>
          <w:b/>
          <w:sz w:val="22"/>
          <w:szCs w:val="22"/>
        </w:rPr>
      </w:pPr>
      <w:r w:rsidRPr="00484060">
        <w:rPr>
          <w:rFonts w:ascii="Arial" w:hAnsi="Arial" w:cs="Arial"/>
          <w:b/>
          <w:sz w:val="22"/>
          <w:szCs w:val="22"/>
        </w:rPr>
        <w:t>Procedure:</w:t>
      </w:r>
    </w:p>
    <w:p w:rsidR="007A0EB3" w:rsidRDefault="007A0EB3" w:rsidP="0004078D">
      <w:pPr>
        <w:ind w:hanging="360"/>
        <w:rPr>
          <w:rFonts w:ascii="Arial" w:hAnsi="Arial" w:cs="Arial"/>
          <w:b/>
          <w:sz w:val="22"/>
          <w:szCs w:val="22"/>
        </w:rPr>
      </w:pPr>
    </w:p>
    <w:p w:rsidR="005D6A60" w:rsidRDefault="005D6A60" w:rsidP="0004078D">
      <w:pPr>
        <w:ind w:hanging="360"/>
        <w:rPr>
          <w:rFonts w:ascii="Arial" w:hAnsi="Arial" w:cs="Arial"/>
          <w:b/>
          <w:sz w:val="22"/>
          <w:szCs w:val="22"/>
        </w:rPr>
      </w:pPr>
      <w:r>
        <w:rPr>
          <w:rFonts w:ascii="Arial" w:hAnsi="Arial" w:cs="Arial"/>
          <w:b/>
          <w:sz w:val="22"/>
          <w:szCs w:val="22"/>
        </w:rPr>
        <w:t>Loading Liquid Reagents</w:t>
      </w:r>
    </w:p>
    <w:tbl>
      <w:tblPr>
        <w:tblW w:w="5133"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9"/>
        <w:gridCol w:w="7633"/>
        <w:gridCol w:w="1479"/>
      </w:tblGrid>
      <w:tr w:rsidR="005D6A60" w:rsidTr="000A0926">
        <w:tc>
          <w:tcPr>
            <w:tcW w:w="366" w:type="pct"/>
          </w:tcPr>
          <w:p w:rsidR="005D6A60" w:rsidRPr="00FB5E9C" w:rsidRDefault="005D6A60" w:rsidP="000A0926">
            <w:pPr>
              <w:rPr>
                <w:rFonts w:ascii="Arial" w:hAnsi="Arial" w:cs="Arial"/>
                <w:b/>
              </w:rPr>
            </w:pPr>
            <w:r w:rsidRPr="00FB5E9C">
              <w:rPr>
                <w:rFonts w:ascii="Arial" w:hAnsi="Arial" w:cs="Arial"/>
                <w:b/>
                <w:sz w:val="22"/>
                <w:szCs w:val="22"/>
              </w:rPr>
              <w:t>Step</w:t>
            </w:r>
          </w:p>
        </w:tc>
        <w:tc>
          <w:tcPr>
            <w:tcW w:w="3882" w:type="pct"/>
          </w:tcPr>
          <w:p w:rsidR="005D6A60" w:rsidRPr="00FB5E9C" w:rsidRDefault="005D6A60" w:rsidP="000A0926">
            <w:pPr>
              <w:rPr>
                <w:rFonts w:ascii="Arial" w:hAnsi="Arial" w:cs="Arial"/>
                <w:b/>
              </w:rPr>
            </w:pPr>
            <w:r w:rsidRPr="00FB5E9C">
              <w:rPr>
                <w:rFonts w:ascii="Arial" w:hAnsi="Arial" w:cs="Arial"/>
                <w:b/>
                <w:sz w:val="22"/>
                <w:szCs w:val="22"/>
              </w:rPr>
              <w:t>Action</w:t>
            </w:r>
          </w:p>
        </w:tc>
        <w:tc>
          <w:tcPr>
            <w:tcW w:w="752" w:type="pct"/>
          </w:tcPr>
          <w:p w:rsidR="005D6A60" w:rsidRPr="00FB5E9C" w:rsidRDefault="00403193" w:rsidP="000A0926">
            <w:pPr>
              <w:rPr>
                <w:rFonts w:ascii="Arial" w:hAnsi="Arial" w:cs="Arial"/>
                <w:b/>
              </w:rPr>
            </w:pPr>
            <w:r>
              <w:rPr>
                <w:rFonts w:ascii="Arial" w:hAnsi="Arial" w:cs="Arial"/>
                <w:b/>
                <w:sz w:val="22"/>
                <w:szCs w:val="22"/>
              </w:rPr>
              <w:t>Related Documents</w:t>
            </w:r>
          </w:p>
        </w:tc>
      </w:tr>
      <w:tr w:rsidR="002A08F5" w:rsidTr="004E4F7A">
        <w:tc>
          <w:tcPr>
            <w:tcW w:w="366" w:type="pct"/>
          </w:tcPr>
          <w:p w:rsidR="002A08F5" w:rsidRPr="00A57370" w:rsidRDefault="008B7436" w:rsidP="00541F3A">
            <w:pPr>
              <w:rPr>
                <w:rFonts w:ascii="Arial" w:hAnsi="Arial" w:cs="Arial"/>
              </w:rPr>
            </w:pPr>
            <w:r w:rsidRPr="00A57370">
              <w:rPr>
                <w:rFonts w:ascii="Arial" w:hAnsi="Arial" w:cs="Arial"/>
                <w:sz w:val="22"/>
                <w:szCs w:val="22"/>
              </w:rPr>
              <w:t>1</w:t>
            </w:r>
          </w:p>
        </w:tc>
        <w:tc>
          <w:tcPr>
            <w:tcW w:w="3882" w:type="pct"/>
            <w:vAlign w:val="center"/>
          </w:tcPr>
          <w:p w:rsidR="002A08F5" w:rsidRPr="00A57370" w:rsidRDefault="002A08F5" w:rsidP="007A0EB3">
            <w:pPr>
              <w:rPr>
                <w:rFonts w:ascii="Arial" w:hAnsi="Arial" w:cs="Arial"/>
              </w:rPr>
            </w:pPr>
            <w:r w:rsidRPr="00A57370">
              <w:rPr>
                <w:rFonts w:ascii="Arial" w:hAnsi="Arial" w:cs="Arial"/>
                <w:sz w:val="22"/>
                <w:szCs w:val="22"/>
              </w:rPr>
              <w:t>Upon opening a new TANGO reagent bottle:</w:t>
            </w:r>
          </w:p>
          <w:p w:rsidR="002A08F5" w:rsidRPr="00A57370" w:rsidRDefault="002A08F5" w:rsidP="00403193">
            <w:pPr>
              <w:numPr>
                <w:ilvl w:val="0"/>
                <w:numId w:val="42"/>
              </w:numPr>
              <w:ind w:left="720"/>
              <w:rPr>
                <w:rFonts w:ascii="Arial" w:hAnsi="Arial" w:cs="Arial"/>
              </w:rPr>
            </w:pPr>
            <w:r w:rsidRPr="00A57370">
              <w:rPr>
                <w:rFonts w:ascii="Arial" w:hAnsi="Arial" w:cs="Arial"/>
                <w:sz w:val="22"/>
                <w:szCs w:val="22"/>
              </w:rPr>
              <w:t xml:space="preserve">Record </w:t>
            </w:r>
            <w:r w:rsidRPr="00A57370">
              <w:rPr>
                <w:rFonts w:ascii="Arial" w:hAnsi="Arial" w:cs="Arial"/>
                <w:b/>
                <w:sz w:val="22"/>
                <w:szCs w:val="22"/>
              </w:rPr>
              <w:t>OPENED</w:t>
            </w:r>
            <w:r w:rsidRPr="00A57370">
              <w:rPr>
                <w:rFonts w:ascii="Arial" w:hAnsi="Arial" w:cs="Arial"/>
                <w:sz w:val="22"/>
                <w:szCs w:val="22"/>
              </w:rPr>
              <w:t xml:space="preserve"> date, time, and tech ID on </w:t>
            </w:r>
            <w:r w:rsidR="008B7436" w:rsidRPr="00A57370">
              <w:rPr>
                <w:rFonts w:ascii="Arial" w:hAnsi="Arial" w:cs="Arial"/>
                <w:sz w:val="22"/>
                <w:szCs w:val="22"/>
              </w:rPr>
              <w:t>the reagent box,</w:t>
            </w:r>
            <w:r w:rsidRPr="00A57370">
              <w:rPr>
                <w:rFonts w:ascii="Arial" w:hAnsi="Arial" w:cs="Arial"/>
                <w:sz w:val="22"/>
                <w:szCs w:val="22"/>
              </w:rPr>
              <w:t xml:space="preserve"> bottle</w:t>
            </w:r>
            <w:r w:rsidR="008B7436" w:rsidRPr="00A57370">
              <w:rPr>
                <w:rFonts w:ascii="Arial" w:hAnsi="Arial" w:cs="Arial"/>
                <w:sz w:val="22"/>
                <w:szCs w:val="22"/>
              </w:rPr>
              <w:t>, and log</w:t>
            </w:r>
            <w:r w:rsidR="00777AE9" w:rsidRPr="00A57370">
              <w:rPr>
                <w:rFonts w:ascii="Arial" w:hAnsi="Arial" w:cs="Arial"/>
                <w:sz w:val="22"/>
                <w:szCs w:val="22"/>
              </w:rPr>
              <w:t xml:space="preserve"> (if applicable)</w:t>
            </w:r>
          </w:p>
          <w:p w:rsidR="00777AE9" w:rsidRPr="00A57370" w:rsidRDefault="00777AE9" w:rsidP="009A2F3B">
            <w:pPr>
              <w:rPr>
                <w:rFonts w:ascii="Arial" w:hAnsi="Arial" w:cs="Arial"/>
              </w:rPr>
            </w:pPr>
          </w:p>
          <w:p w:rsidR="00777AE9" w:rsidRPr="00A57370" w:rsidRDefault="002A08F5" w:rsidP="009A2F3B">
            <w:pPr>
              <w:rPr>
                <w:rFonts w:ascii="Arial" w:hAnsi="Arial" w:cs="Arial"/>
              </w:rPr>
            </w:pPr>
            <w:r w:rsidRPr="00A57370">
              <w:rPr>
                <w:rFonts w:ascii="Arial" w:hAnsi="Arial" w:cs="Arial"/>
                <w:sz w:val="22"/>
                <w:szCs w:val="22"/>
              </w:rPr>
              <w:t>Shelf life of reagent is set at 168 hrs (7 days)</w:t>
            </w:r>
            <w:r w:rsidR="005813B4" w:rsidRPr="00A57370">
              <w:rPr>
                <w:rFonts w:ascii="Arial" w:hAnsi="Arial" w:cs="Arial"/>
                <w:sz w:val="22"/>
                <w:szCs w:val="22"/>
              </w:rPr>
              <w:t xml:space="preserve"> onboard</w:t>
            </w:r>
            <w:r w:rsidRPr="00A57370">
              <w:rPr>
                <w:rFonts w:ascii="Arial" w:hAnsi="Arial" w:cs="Arial"/>
                <w:sz w:val="22"/>
                <w:szCs w:val="22"/>
              </w:rPr>
              <w:t xml:space="preserve"> or until labeled expiration, whichever date is shorter.</w:t>
            </w:r>
            <w:r w:rsidR="005813B4" w:rsidRPr="00A57370">
              <w:rPr>
                <w:rFonts w:ascii="Arial" w:hAnsi="Arial" w:cs="Arial"/>
                <w:sz w:val="22"/>
                <w:szCs w:val="22"/>
              </w:rPr>
              <w:t xml:space="preserve"> </w:t>
            </w:r>
          </w:p>
          <w:p w:rsidR="002A08F5" w:rsidRPr="00A57370" w:rsidRDefault="005813B4" w:rsidP="00777AE9">
            <w:pPr>
              <w:numPr>
                <w:ilvl w:val="0"/>
                <w:numId w:val="47"/>
              </w:numPr>
              <w:rPr>
                <w:rFonts w:ascii="Arial" w:hAnsi="Arial" w:cs="Arial"/>
              </w:rPr>
            </w:pPr>
            <w:r w:rsidRPr="00A57370">
              <w:rPr>
                <w:rFonts w:ascii="Arial" w:hAnsi="Arial" w:cs="Arial"/>
                <w:sz w:val="22"/>
                <w:szCs w:val="22"/>
              </w:rPr>
              <w:t>The 168 hr clock stops when reagents are removed from the Tango and placed in the refrigerator.</w:t>
            </w:r>
          </w:p>
          <w:p w:rsidR="00C76ADA" w:rsidRPr="00A57370" w:rsidRDefault="00C76ADA" w:rsidP="00777AE9">
            <w:pPr>
              <w:numPr>
                <w:ilvl w:val="0"/>
                <w:numId w:val="45"/>
              </w:numPr>
              <w:ind w:left="720"/>
              <w:rPr>
                <w:rFonts w:ascii="Arial" w:hAnsi="Arial" w:cs="Arial"/>
              </w:rPr>
            </w:pPr>
            <w:r w:rsidRPr="00A57370">
              <w:rPr>
                <w:rFonts w:ascii="Arial" w:hAnsi="Arial" w:cs="Arial"/>
                <w:sz w:val="22"/>
              </w:rPr>
              <w:t>The 20 digit barcodes automatically kee</w:t>
            </w:r>
            <w:r w:rsidR="009A2F3B" w:rsidRPr="00A57370">
              <w:rPr>
                <w:rFonts w:ascii="Arial" w:hAnsi="Arial" w:cs="Arial"/>
                <w:sz w:val="22"/>
              </w:rPr>
              <w:t>p track of expiration time</w:t>
            </w:r>
            <w:r w:rsidR="00233395" w:rsidRPr="00A57370">
              <w:rPr>
                <w:rFonts w:ascii="Arial" w:hAnsi="Arial" w:cs="Arial"/>
                <w:sz w:val="22"/>
              </w:rPr>
              <w:t xml:space="preserve"> and cannot be edited onboard</w:t>
            </w:r>
          </w:p>
          <w:p w:rsidR="00777AE9" w:rsidRPr="00A57370" w:rsidRDefault="00777AE9" w:rsidP="00777AE9">
            <w:pPr>
              <w:pStyle w:val="ListParagraph"/>
              <w:ind w:left="0"/>
              <w:rPr>
                <w:rFonts w:ascii="Arial" w:hAnsi="Arial" w:cs="Arial"/>
              </w:rPr>
            </w:pPr>
          </w:p>
          <w:p w:rsidR="004E4F7A" w:rsidRPr="00A57370" w:rsidRDefault="00777AE9" w:rsidP="00777AE9">
            <w:pPr>
              <w:pStyle w:val="ListParagraph"/>
              <w:ind w:left="0"/>
              <w:rPr>
                <w:rFonts w:ascii="Arial" w:hAnsi="Arial" w:cs="Arial"/>
              </w:rPr>
            </w:pPr>
            <w:r w:rsidRPr="00A57370">
              <w:rPr>
                <w:rFonts w:ascii="Arial" w:hAnsi="Arial" w:cs="Arial"/>
                <w:sz w:val="22"/>
                <w:szCs w:val="22"/>
              </w:rPr>
              <w:t xml:space="preserve">NOTE: </w:t>
            </w:r>
            <w:r w:rsidR="002A08F5" w:rsidRPr="00A57370">
              <w:rPr>
                <w:rFonts w:ascii="Arial" w:hAnsi="Arial" w:cs="Arial"/>
                <w:sz w:val="22"/>
                <w:szCs w:val="22"/>
              </w:rPr>
              <w:t xml:space="preserve">Working Bromelin solution has a 24 hr shelf life </w:t>
            </w:r>
            <w:r w:rsidR="009A2F3B" w:rsidRPr="00A57370">
              <w:rPr>
                <w:rFonts w:ascii="Arial" w:hAnsi="Arial" w:cs="Arial"/>
                <w:sz w:val="22"/>
                <w:szCs w:val="22"/>
              </w:rPr>
              <w:t>which cannot be extended</w:t>
            </w:r>
          </w:p>
        </w:tc>
        <w:tc>
          <w:tcPr>
            <w:tcW w:w="752" w:type="pct"/>
            <w:vAlign w:val="center"/>
          </w:tcPr>
          <w:p w:rsidR="009A2F3B" w:rsidRPr="00A57370" w:rsidRDefault="005813B4" w:rsidP="009A2F3B">
            <w:pPr>
              <w:rPr>
                <w:rFonts w:ascii="Arial" w:hAnsi="Arial" w:cs="Arial"/>
              </w:rPr>
            </w:pPr>
            <w:r w:rsidRPr="00A57370">
              <w:rPr>
                <w:rFonts w:ascii="Arial" w:hAnsi="Arial" w:cs="Arial"/>
                <w:sz w:val="22"/>
              </w:rPr>
              <w:t>TANGO User Manual</w:t>
            </w:r>
          </w:p>
          <w:p w:rsidR="00777AE9" w:rsidRPr="00A57370" w:rsidRDefault="00777AE9" w:rsidP="009A2F3B">
            <w:pPr>
              <w:rPr>
                <w:rFonts w:ascii="Arial" w:hAnsi="Arial" w:cs="Arial"/>
              </w:rPr>
            </w:pPr>
          </w:p>
          <w:p w:rsidR="00777AE9" w:rsidRPr="00A57370" w:rsidRDefault="00777AE9" w:rsidP="009A2F3B">
            <w:pPr>
              <w:rPr>
                <w:rFonts w:ascii="Arial" w:hAnsi="Arial" w:cs="Arial"/>
              </w:rPr>
            </w:pPr>
            <w:r w:rsidRPr="00A57370">
              <w:rPr>
                <w:rFonts w:ascii="Arial" w:hAnsi="Arial" w:cs="Arial"/>
                <w:sz w:val="22"/>
              </w:rPr>
              <w:t>Reagent Receipt Form</w:t>
            </w:r>
          </w:p>
          <w:p w:rsidR="00777AE9" w:rsidRPr="00A57370" w:rsidRDefault="00777AE9" w:rsidP="009A2F3B">
            <w:pPr>
              <w:rPr>
                <w:rFonts w:ascii="Arial" w:hAnsi="Arial" w:cs="Arial"/>
              </w:rPr>
            </w:pPr>
          </w:p>
          <w:p w:rsidR="00777AE9" w:rsidRPr="008B7436" w:rsidRDefault="00777AE9" w:rsidP="009A2F3B">
            <w:pPr>
              <w:rPr>
                <w:rFonts w:ascii="Arial" w:hAnsi="Arial" w:cs="Arial"/>
              </w:rPr>
            </w:pPr>
            <w:r w:rsidRPr="00A57370">
              <w:rPr>
                <w:rFonts w:ascii="Arial" w:hAnsi="Arial" w:cs="Arial"/>
                <w:sz w:val="22"/>
              </w:rPr>
              <w:t>Tango Daily QC Reagent Dating Form</w:t>
            </w:r>
          </w:p>
        </w:tc>
      </w:tr>
      <w:tr w:rsidR="002A08F5" w:rsidTr="004E4F7A">
        <w:trPr>
          <w:trHeight w:val="314"/>
        </w:trPr>
        <w:tc>
          <w:tcPr>
            <w:tcW w:w="366" w:type="pct"/>
          </w:tcPr>
          <w:p w:rsidR="002A08F5" w:rsidRPr="005D6A60" w:rsidRDefault="008B7436" w:rsidP="00541F3A">
            <w:pPr>
              <w:rPr>
                <w:rFonts w:ascii="Arial" w:hAnsi="Arial" w:cs="Arial"/>
              </w:rPr>
            </w:pPr>
            <w:r>
              <w:rPr>
                <w:rFonts w:ascii="Arial" w:hAnsi="Arial" w:cs="Arial"/>
                <w:sz w:val="22"/>
                <w:szCs w:val="22"/>
              </w:rPr>
              <w:t>2</w:t>
            </w:r>
          </w:p>
        </w:tc>
        <w:tc>
          <w:tcPr>
            <w:tcW w:w="3882" w:type="pct"/>
            <w:vAlign w:val="center"/>
          </w:tcPr>
          <w:p w:rsidR="00233395" w:rsidRPr="002A08F5" w:rsidRDefault="002A08F5" w:rsidP="00233395">
            <w:pPr>
              <w:rPr>
                <w:rFonts w:ascii="Arial" w:hAnsi="Arial" w:cs="Arial"/>
              </w:rPr>
            </w:pPr>
            <w:r>
              <w:rPr>
                <w:rFonts w:ascii="Arial" w:hAnsi="Arial" w:cs="Arial"/>
                <w:sz w:val="22"/>
                <w:szCs w:val="22"/>
              </w:rPr>
              <w:t>R</w:t>
            </w:r>
            <w:r w:rsidRPr="00FB5E9C">
              <w:rPr>
                <w:rFonts w:ascii="Arial" w:hAnsi="Arial" w:cs="Arial"/>
                <w:sz w:val="22"/>
                <w:szCs w:val="22"/>
              </w:rPr>
              <w:t>emove t</w:t>
            </w:r>
            <w:r>
              <w:rPr>
                <w:rFonts w:ascii="Arial" w:hAnsi="Arial" w:cs="Arial"/>
                <w:sz w:val="22"/>
                <w:szCs w:val="22"/>
              </w:rPr>
              <w:t>he caps/droppers from the vials.</w:t>
            </w:r>
          </w:p>
        </w:tc>
        <w:tc>
          <w:tcPr>
            <w:tcW w:w="752" w:type="pct"/>
          </w:tcPr>
          <w:p w:rsidR="002A08F5" w:rsidRPr="00FB5E9C" w:rsidRDefault="002A08F5" w:rsidP="00C61E2D">
            <w:pPr>
              <w:rPr>
                <w:rFonts w:ascii="Arial" w:hAnsi="Arial" w:cs="Arial"/>
              </w:rPr>
            </w:pPr>
          </w:p>
        </w:tc>
      </w:tr>
      <w:tr w:rsidR="004E4F7A" w:rsidRPr="00FB5E9C" w:rsidTr="000A0926">
        <w:tc>
          <w:tcPr>
            <w:tcW w:w="366" w:type="pct"/>
          </w:tcPr>
          <w:p w:rsidR="004E4F7A" w:rsidRPr="00FB5E9C" w:rsidRDefault="004E4F7A" w:rsidP="000A0926">
            <w:pPr>
              <w:rPr>
                <w:rFonts w:ascii="Arial" w:hAnsi="Arial" w:cs="Arial"/>
                <w:b/>
              </w:rPr>
            </w:pPr>
            <w:r w:rsidRPr="00FB5E9C">
              <w:rPr>
                <w:rFonts w:ascii="Arial" w:hAnsi="Arial" w:cs="Arial"/>
                <w:b/>
                <w:sz w:val="22"/>
                <w:szCs w:val="22"/>
              </w:rPr>
              <w:lastRenderedPageBreak/>
              <w:t>Step</w:t>
            </w:r>
          </w:p>
        </w:tc>
        <w:tc>
          <w:tcPr>
            <w:tcW w:w="3882" w:type="pct"/>
          </w:tcPr>
          <w:p w:rsidR="004E4F7A" w:rsidRPr="00FB5E9C" w:rsidRDefault="004E4F7A" w:rsidP="000A0926">
            <w:pPr>
              <w:rPr>
                <w:rFonts w:ascii="Arial" w:hAnsi="Arial" w:cs="Arial"/>
                <w:b/>
              </w:rPr>
            </w:pPr>
            <w:r w:rsidRPr="00FB5E9C">
              <w:rPr>
                <w:rFonts w:ascii="Arial" w:hAnsi="Arial" w:cs="Arial"/>
                <w:b/>
                <w:sz w:val="22"/>
                <w:szCs w:val="22"/>
              </w:rPr>
              <w:t>Action</w:t>
            </w:r>
          </w:p>
        </w:tc>
        <w:tc>
          <w:tcPr>
            <w:tcW w:w="752" w:type="pct"/>
          </w:tcPr>
          <w:p w:rsidR="004E4F7A" w:rsidRPr="00FB5E9C" w:rsidRDefault="004E4F7A" w:rsidP="000A0926">
            <w:pPr>
              <w:rPr>
                <w:rFonts w:ascii="Arial" w:hAnsi="Arial" w:cs="Arial"/>
                <w:b/>
              </w:rPr>
            </w:pPr>
            <w:r w:rsidRPr="00FB5E9C">
              <w:rPr>
                <w:rFonts w:ascii="Arial" w:hAnsi="Arial" w:cs="Arial"/>
                <w:b/>
                <w:sz w:val="22"/>
                <w:szCs w:val="22"/>
              </w:rPr>
              <w:t xml:space="preserve">Related Documents </w:t>
            </w:r>
          </w:p>
        </w:tc>
      </w:tr>
      <w:tr w:rsidR="004E4F7A" w:rsidRPr="00403193" w:rsidTr="000D42C8">
        <w:trPr>
          <w:trHeight w:val="278"/>
        </w:trPr>
        <w:tc>
          <w:tcPr>
            <w:tcW w:w="5000" w:type="pct"/>
            <w:gridSpan w:val="3"/>
            <w:vAlign w:val="center"/>
          </w:tcPr>
          <w:p w:rsidR="004E4F7A" w:rsidRPr="00403193" w:rsidRDefault="004E4F7A" w:rsidP="000D42C8">
            <w:pPr>
              <w:rPr>
                <w:rFonts w:ascii="Arial" w:hAnsi="Arial" w:cs="Arial"/>
                <w:b/>
                <w:szCs w:val="20"/>
              </w:rPr>
            </w:pPr>
            <w:r w:rsidRPr="00403193">
              <w:rPr>
                <w:rFonts w:ascii="Arial" w:hAnsi="Arial" w:cs="Arial"/>
                <w:b/>
                <w:sz w:val="22"/>
                <w:szCs w:val="20"/>
              </w:rPr>
              <w:t>Loading Reagents (continued)</w:t>
            </w:r>
          </w:p>
        </w:tc>
      </w:tr>
      <w:tr w:rsidR="00320E5F" w:rsidRPr="00A57370" w:rsidTr="008B7436">
        <w:trPr>
          <w:trHeight w:val="2969"/>
        </w:trPr>
        <w:tc>
          <w:tcPr>
            <w:tcW w:w="366" w:type="pct"/>
          </w:tcPr>
          <w:p w:rsidR="00320E5F" w:rsidRPr="00A57370" w:rsidRDefault="008B7436" w:rsidP="00541F3A">
            <w:pPr>
              <w:rPr>
                <w:rFonts w:ascii="Arial" w:hAnsi="Arial" w:cs="Arial"/>
              </w:rPr>
            </w:pPr>
            <w:r w:rsidRPr="00A57370">
              <w:rPr>
                <w:rFonts w:ascii="Arial" w:hAnsi="Arial" w:cs="Arial"/>
                <w:sz w:val="22"/>
                <w:szCs w:val="22"/>
              </w:rPr>
              <w:t>3</w:t>
            </w:r>
          </w:p>
        </w:tc>
        <w:tc>
          <w:tcPr>
            <w:tcW w:w="3882" w:type="pct"/>
            <w:vAlign w:val="center"/>
          </w:tcPr>
          <w:p w:rsidR="00320E5F" w:rsidRPr="00A57370" w:rsidRDefault="00320E5F" w:rsidP="00C61E2D">
            <w:pPr>
              <w:rPr>
                <w:rFonts w:ascii="Arial" w:hAnsi="Arial" w:cs="Arial"/>
                <w:b/>
              </w:rPr>
            </w:pPr>
            <w:r w:rsidRPr="00A57370">
              <w:rPr>
                <w:rFonts w:ascii="Arial" w:hAnsi="Arial" w:cs="Arial"/>
                <w:b/>
                <w:sz w:val="22"/>
                <w:szCs w:val="22"/>
              </w:rPr>
              <w:t>Prepare Reagent Red Cells</w:t>
            </w:r>
          </w:p>
          <w:p w:rsidR="00320E5F" w:rsidRPr="00A57370" w:rsidRDefault="00320E5F" w:rsidP="00403193">
            <w:pPr>
              <w:numPr>
                <w:ilvl w:val="0"/>
                <w:numId w:val="39"/>
              </w:numPr>
              <w:ind w:left="720"/>
              <w:rPr>
                <w:rFonts w:ascii="Arial" w:hAnsi="Arial" w:cs="Arial"/>
              </w:rPr>
            </w:pPr>
            <w:r w:rsidRPr="00A57370">
              <w:rPr>
                <w:rFonts w:ascii="Arial" w:hAnsi="Arial" w:cs="Arial"/>
                <w:sz w:val="22"/>
                <w:szCs w:val="22"/>
              </w:rPr>
              <w:t>Mix cells to re-suspend.  This may be done by inversion prior to opening the vial or by using a clean pipette to mix the contents.</w:t>
            </w:r>
          </w:p>
          <w:p w:rsidR="00320E5F" w:rsidRPr="00A57370" w:rsidRDefault="00320E5F" w:rsidP="00403193">
            <w:pPr>
              <w:numPr>
                <w:ilvl w:val="0"/>
                <w:numId w:val="39"/>
              </w:numPr>
              <w:ind w:left="720"/>
              <w:rPr>
                <w:rFonts w:ascii="Arial" w:hAnsi="Arial" w:cs="Arial"/>
              </w:rPr>
            </w:pPr>
            <w:r w:rsidRPr="00A57370">
              <w:rPr>
                <w:rFonts w:ascii="Arial" w:hAnsi="Arial" w:cs="Arial"/>
                <w:sz w:val="22"/>
                <w:szCs w:val="22"/>
              </w:rPr>
              <w:t>Insert a plastic cell mixer into each vial of cells.  Press down firmly to ensure that the cell mixer is seated in the vial.</w:t>
            </w:r>
          </w:p>
          <w:p w:rsidR="00320E5F" w:rsidRPr="00A57370" w:rsidRDefault="00320E5F" w:rsidP="00403193">
            <w:pPr>
              <w:numPr>
                <w:ilvl w:val="0"/>
                <w:numId w:val="39"/>
              </w:numPr>
              <w:ind w:left="720"/>
              <w:rPr>
                <w:rFonts w:ascii="Arial" w:hAnsi="Arial" w:cs="Arial"/>
              </w:rPr>
            </w:pPr>
            <w:r w:rsidRPr="00A57370">
              <w:rPr>
                <w:rFonts w:ascii="Arial" w:hAnsi="Arial" w:cs="Arial"/>
                <w:sz w:val="22"/>
                <w:szCs w:val="22"/>
              </w:rPr>
              <w:t xml:space="preserve">After re-suspension and insertion of the cell mixer, place the vials into racks for the cooled reagent area.  Ensure the barcode on the vial is visible through the opening in the side of the rack.  </w:t>
            </w:r>
          </w:p>
          <w:p w:rsidR="00320E5F" w:rsidRPr="00A57370" w:rsidRDefault="00320E5F" w:rsidP="00403193">
            <w:pPr>
              <w:pStyle w:val="ListParagraph"/>
              <w:numPr>
                <w:ilvl w:val="0"/>
                <w:numId w:val="39"/>
              </w:numPr>
              <w:ind w:left="720"/>
              <w:rPr>
                <w:rFonts w:ascii="Arial" w:hAnsi="Arial" w:cs="Arial"/>
              </w:rPr>
            </w:pPr>
            <w:r w:rsidRPr="00A57370">
              <w:rPr>
                <w:rFonts w:ascii="Arial" w:hAnsi="Arial" w:cs="Arial"/>
                <w:sz w:val="22"/>
                <w:szCs w:val="22"/>
              </w:rPr>
              <w:t>If the vials sit prior to being placed on the TANGO, they must be re-suspended again with a clean pipette.</w:t>
            </w:r>
          </w:p>
          <w:p w:rsidR="00320E5F" w:rsidRPr="00A57370" w:rsidRDefault="00320E5F" w:rsidP="00403193">
            <w:pPr>
              <w:numPr>
                <w:ilvl w:val="0"/>
                <w:numId w:val="39"/>
              </w:numPr>
              <w:ind w:left="720"/>
              <w:rPr>
                <w:rFonts w:ascii="Arial" w:hAnsi="Arial" w:cs="Arial"/>
              </w:rPr>
            </w:pPr>
            <w:r w:rsidRPr="00A57370">
              <w:rPr>
                <w:rFonts w:ascii="Arial" w:hAnsi="Arial" w:cs="Arial"/>
                <w:sz w:val="22"/>
                <w:szCs w:val="22"/>
              </w:rPr>
              <w:t xml:space="preserve">The cells can be stored on the TANGO for seven (7) days </w:t>
            </w:r>
            <w:r w:rsidR="00777AE9" w:rsidRPr="00A57370">
              <w:rPr>
                <w:rFonts w:ascii="Arial" w:hAnsi="Arial" w:cs="Arial"/>
                <w:sz w:val="22"/>
                <w:szCs w:val="22"/>
              </w:rPr>
              <w:t>or 168 hours</w:t>
            </w:r>
          </w:p>
        </w:tc>
        <w:tc>
          <w:tcPr>
            <w:tcW w:w="752" w:type="pct"/>
          </w:tcPr>
          <w:p w:rsidR="00320E5F" w:rsidRPr="00A57370" w:rsidRDefault="00320E5F" w:rsidP="00C61E2D">
            <w:pPr>
              <w:jc w:val="center"/>
              <w:rPr>
                <w:rFonts w:ascii="Arial" w:hAnsi="Arial" w:cs="Arial"/>
              </w:rPr>
            </w:pPr>
          </w:p>
        </w:tc>
      </w:tr>
      <w:tr w:rsidR="00320E5F" w:rsidTr="008B7436">
        <w:trPr>
          <w:trHeight w:val="2690"/>
        </w:trPr>
        <w:tc>
          <w:tcPr>
            <w:tcW w:w="366" w:type="pct"/>
          </w:tcPr>
          <w:p w:rsidR="00320E5F" w:rsidRPr="00A57370" w:rsidRDefault="008B7436" w:rsidP="00541F3A">
            <w:pPr>
              <w:rPr>
                <w:rFonts w:ascii="Arial" w:hAnsi="Arial" w:cs="Arial"/>
              </w:rPr>
            </w:pPr>
            <w:r w:rsidRPr="00A57370">
              <w:rPr>
                <w:rFonts w:ascii="Arial" w:hAnsi="Arial" w:cs="Arial"/>
                <w:sz w:val="22"/>
                <w:szCs w:val="22"/>
              </w:rPr>
              <w:t>4</w:t>
            </w:r>
          </w:p>
        </w:tc>
        <w:tc>
          <w:tcPr>
            <w:tcW w:w="3882" w:type="pct"/>
            <w:vAlign w:val="center"/>
          </w:tcPr>
          <w:p w:rsidR="00320E5F" w:rsidRPr="00A57370" w:rsidRDefault="00320E5F" w:rsidP="00C61E2D">
            <w:pPr>
              <w:rPr>
                <w:rFonts w:ascii="Arial" w:hAnsi="Arial" w:cs="Arial"/>
                <w:b/>
              </w:rPr>
            </w:pPr>
            <w:r w:rsidRPr="00A57370">
              <w:rPr>
                <w:rFonts w:ascii="Arial" w:hAnsi="Arial" w:cs="Arial"/>
                <w:b/>
                <w:sz w:val="22"/>
                <w:szCs w:val="22"/>
              </w:rPr>
              <w:t xml:space="preserve">Prepare MLB2, Anti-Human Globulin and </w:t>
            </w:r>
            <w:r w:rsidR="00BE2B59" w:rsidRPr="00A57370">
              <w:rPr>
                <w:rFonts w:ascii="Arial" w:hAnsi="Arial" w:cs="Arial"/>
                <w:b/>
                <w:sz w:val="22"/>
                <w:szCs w:val="22"/>
              </w:rPr>
              <w:t xml:space="preserve">Working </w:t>
            </w:r>
            <w:r w:rsidRPr="00A57370">
              <w:rPr>
                <w:rFonts w:ascii="Arial" w:hAnsi="Arial" w:cs="Arial"/>
                <w:b/>
                <w:sz w:val="22"/>
                <w:szCs w:val="22"/>
              </w:rPr>
              <w:t>Bromelin</w:t>
            </w:r>
            <w:r w:rsidR="00BE2B59" w:rsidRPr="00A57370">
              <w:rPr>
                <w:rFonts w:ascii="Arial" w:hAnsi="Arial" w:cs="Arial"/>
                <w:b/>
                <w:sz w:val="22"/>
                <w:szCs w:val="22"/>
              </w:rPr>
              <w:t xml:space="preserve"> Solution</w:t>
            </w:r>
          </w:p>
          <w:p w:rsidR="00320E5F" w:rsidRPr="00A57370" w:rsidRDefault="00320E5F" w:rsidP="00403193">
            <w:pPr>
              <w:numPr>
                <w:ilvl w:val="0"/>
                <w:numId w:val="40"/>
              </w:numPr>
              <w:ind w:left="720"/>
              <w:rPr>
                <w:rFonts w:ascii="Arial" w:hAnsi="Arial" w:cs="Arial"/>
              </w:rPr>
            </w:pPr>
            <w:r w:rsidRPr="00A57370">
              <w:rPr>
                <w:rFonts w:ascii="Arial" w:hAnsi="Arial" w:cs="Arial"/>
                <w:sz w:val="22"/>
                <w:szCs w:val="22"/>
              </w:rPr>
              <w:t xml:space="preserve">No special preparation is required for </w:t>
            </w:r>
            <w:r w:rsidR="007E47F8" w:rsidRPr="00A57370">
              <w:rPr>
                <w:rFonts w:ascii="Arial" w:hAnsi="Arial" w:cs="Arial"/>
                <w:sz w:val="22"/>
                <w:szCs w:val="22"/>
              </w:rPr>
              <w:t>MLB2 and Anti-IgG</w:t>
            </w:r>
            <w:r w:rsidRPr="00A57370">
              <w:rPr>
                <w:rFonts w:ascii="Arial" w:hAnsi="Arial" w:cs="Arial"/>
                <w:sz w:val="22"/>
                <w:szCs w:val="22"/>
              </w:rPr>
              <w:t>.</w:t>
            </w:r>
          </w:p>
          <w:p w:rsidR="00320E5F" w:rsidRPr="00A57370" w:rsidRDefault="002A08F5" w:rsidP="00403193">
            <w:pPr>
              <w:numPr>
                <w:ilvl w:val="0"/>
                <w:numId w:val="40"/>
              </w:numPr>
              <w:ind w:left="720"/>
              <w:rPr>
                <w:rFonts w:ascii="Arial" w:hAnsi="Arial" w:cs="Arial"/>
              </w:rPr>
            </w:pPr>
            <w:r w:rsidRPr="00A57370">
              <w:rPr>
                <w:rFonts w:ascii="Arial" w:hAnsi="Arial" w:cs="Arial"/>
                <w:sz w:val="22"/>
                <w:szCs w:val="22"/>
              </w:rPr>
              <w:t>R</w:t>
            </w:r>
            <w:r w:rsidR="00320E5F" w:rsidRPr="00A57370">
              <w:rPr>
                <w:rFonts w:ascii="Arial" w:hAnsi="Arial" w:cs="Arial"/>
                <w:sz w:val="22"/>
                <w:szCs w:val="22"/>
              </w:rPr>
              <w:t>emove any foam or bubbles and place in the racks so that the barcode on the vial is visible through the opening in the side of the rack.</w:t>
            </w:r>
          </w:p>
          <w:p w:rsidR="00320E5F" w:rsidRPr="00A57370" w:rsidRDefault="00320E5F" w:rsidP="00403193">
            <w:pPr>
              <w:numPr>
                <w:ilvl w:val="0"/>
                <w:numId w:val="40"/>
              </w:numPr>
              <w:ind w:left="720"/>
              <w:rPr>
                <w:rFonts w:ascii="Arial" w:hAnsi="Arial" w:cs="Arial"/>
              </w:rPr>
            </w:pPr>
            <w:r w:rsidRPr="00A57370">
              <w:rPr>
                <w:rFonts w:ascii="Arial" w:hAnsi="Arial" w:cs="Arial"/>
                <w:sz w:val="22"/>
                <w:szCs w:val="22"/>
              </w:rPr>
              <w:t>Place the MLB2 and Anti-human Globulin in one rack and the working Bromelin solution in another.</w:t>
            </w:r>
          </w:p>
          <w:p w:rsidR="00320E5F" w:rsidRPr="00A57370" w:rsidRDefault="00320E5F" w:rsidP="002A08F5">
            <w:pPr>
              <w:numPr>
                <w:ilvl w:val="1"/>
                <w:numId w:val="40"/>
              </w:numPr>
              <w:rPr>
                <w:rFonts w:ascii="Arial" w:hAnsi="Arial" w:cs="Arial"/>
              </w:rPr>
            </w:pPr>
            <w:r w:rsidRPr="00A57370">
              <w:rPr>
                <w:rFonts w:ascii="Arial" w:hAnsi="Arial" w:cs="Arial"/>
                <w:sz w:val="22"/>
                <w:szCs w:val="22"/>
              </w:rPr>
              <w:t>Using one rack for these two reagents will allow tracking of on-board shelf life.</w:t>
            </w:r>
          </w:p>
          <w:p w:rsidR="00320E5F" w:rsidRPr="00A57370" w:rsidRDefault="00320E5F" w:rsidP="002A08F5">
            <w:pPr>
              <w:numPr>
                <w:ilvl w:val="1"/>
                <w:numId w:val="40"/>
              </w:numPr>
              <w:rPr>
                <w:rFonts w:ascii="Arial" w:hAnsi="Arial" w:cs="Arial"/>
              </w:rPr>
            </w:pPr>
            <w:r w:rsidRPr="00A57370">
              <w:rPr>
                <w:rFonts w:ascii="Arial" w:hAnsi="Arial" w:cs="Arial"/>
                <w:sz w:val="22"/>
                <w:szCs w:val="22"/>
              </w:rPr>
              <w:t>The working Bromelin solution must be replaced every 24 hours.</w:t>
            </w:r>
          </w:p>
        </w:tc>
        <w:tc>
          <w:tcPr>
            <w:tcW w:w="752" w:type="pct"/>
          </w:tcPr>
          <w:p w:rsidR="00320E5F" w:rsidRPr="00FB5E9C" w:rsidRDefault="00627623" w:rsidP="00627623">
            <w:pPr>
              <w:rPr>
                <w:rFonts w:ascii="Arial" w:hAnsi="Arial" w:cs="Arial"/>
              </w:rPr>
            </w:pPr>
            <w:r w:rsidRPr="00A57370">
              <w:rPr>
                <w:rFonts w:ascii="Arial" w:hAnsi="Arial" w:cs="Arial"/>
                <w:sz w:val="22"/>
              </w:rPr>
              <w:t>Tango Bromelin Preparation</w:t>
            </w:r>
          </w:p>
        </w:tc>
      </w:tr>
      <w:tr w:rsidR="00320E5F" w:rsidTr="008B7436">
        <w:trPr>
          <w:trHeight w:val="4238"/>
        </w:trPr>
        <w:tc>
          <w:tcPr>
            <w:tcW w:w="366" w:type="pct"/>
          </w:tcPr>
          <w:p w:rsidR="00320E5F" w:rsidRPr="00320E5F" w:rsidRDefault="008B7436" w:rsidP="00541F3A">
            <w:pPr>
              <w:rPr>
                <w:rFonts w:ascii="Arial" w:hAnsi="Arial" w:cs="Arial"/>
              </w:rPr>
            </w:pPr>
            <w:r>
              <w:rPr>
                <w:rFonts w:ascii="Arial" w:hAnsi="Arial" w:cs="Arial"/>
                <w:sz w:val="22"/>
                <w:szCs w:val="22"/>
              </w:rPr>
              <w:t>5</w:t>
            </w:r>
          </w:p>
        </w:tc>
        <w:tc>
          <w:tcPr>
            <w:tcW w:w="3882" w:type="pct"/>
            <w:vAlign w:val="center"/>
          </w:tcPr>
          <w:p w:rsidR="00320E5F" w:rsidRPr="00320E5F" w:rsidRDefault="00320E5F" w:rsidP="00C61E2D">
            <w:pPr>
              <w:rPr>
                <w:rFonts w:ascii="Arial" w:hAnsi="Arial" w:cs="Arial"/>
                <w:b/>
              </w:rPr>
            </w:pPr>
            <w:r>
              <w:rPr>
                <w:rFonts w:ascii="Arial" w:hAnsi="Arial" w:cs="Arial"/>
                <w:b/>
                <w:sz w:val="22"/>
                <w:szCs w:val="22"/>
              </w:rPr>
              <w:t>Load R</w:t>
            </w:r>
            <w:r w:rsidRPr="00320E5F">
              <w:rPr>
                <w:rFonts w:ascii="Arial" w:hAnsi="Arial" w:cs="Arial"/>
                <w:b/>
                <w:sz w:val="22"/>
                <w:szCs w:val="22"/>
              </w:rPr>
              <w:t>eagents</w:t>
            </w:r>
          </w:p>
          <w:p w:rsidR="00320E5F" w:rsidRPr="00FB5E9C" w:rsidRDefault="00320E5F" w:rsidP="00403193">
            <w:pPr>
              <w:numPr>
                <w:ilvl w:val="0"/>
                <w:numId w:val="41"/>
              </w:numPr>
              <w:ind w:left="720"/>
              <w:rPr>
                <w:rFonts w:ascii="Arial" w:hAnsi="Arial" w:cs="Arial"/>
              </w:rPr>
            </w:pPr>
            <w:r w:rsidRPr="00FB5E9C">
              <w:rPr>
                <w:rFonts w:ascii="Arial" w:hAnsi="Arial" w:cs="Arial"/>
                <w:sz w:val="22"/>
                <w:szCs w:val="22"/>
              </w:rPr>
              <w:t>Open the reagent loading station door.  This opens the ‘Reagent Loading’ window.</w:t>
            </w:r>
          </w:p>
          <w:p w:rsidR="00320E5F" w:rsidRPr="00FB5E9C" w:rsidRDefault="00320E5F" w:rsidP="00320E5F">
            <w:pPr>
              <w:pStyle w:val="ListParagraph"/>
              <w:numPr>
                <w:ilvl w:val="1"/>
                <w:numId w:val="41"/>
              </w:numPr>
              <w:rPr>
                <w:rFonts w:ascii="Arial" w:hAnsi="Arial" w:cs="Arial"/>
              </w:rPr>
            </w:pPr>
            <w:r>
              <w:rPr>
                <w:rFonts w:ascii="Arial" w:hAnsi="Arial" w:cs="Arial"/>
                <w:sz w:val="22"/>
                <w:szCs w:val="22"/>
              </w:rPr>
              <w:t>B</w:t>
            </w:r>
            <w:r w:rsidRPr="00FB5E9C">
              <w:rPr>
                <w:rFonts w:ascii="Arial" w:hAnsi="Arial" w:cs="Arial"/>
                <w:sz w:val="22"/>
                <w:szCs w:val="22"/>
              </w:rPr>
              <w:t xml:space="preserve">riefly </w:t>
            </w:r>
            <w:r>
              <w:rPr>
                <w:rFonts w:ascii="Arial" w:hAnsi="Arial" w:cs="Arial"/>
                <w:sz w:val="22"/>
                <w:szCs w:val="22"/>
              </w:rPr>
              <w:t>o</w:t>
            </w:r>
            <w:r w:rsidRPr="00FB5E9C">
              <w:rPr>
                <w:rFonts w:ascii="Arial" w:hAnsi="Arial" w:cs="Arial"/>
                <w:sz w:val="22"/>
                <w:szCs w:val="22"/>
              </w:rPr>
              <w:t>pen the reagent station door when loading cooled reagents to control the temperature in the cooled section.</w:t>
            </w:r>
          </w:p>
          <w:p w:rsidR="00320E5F" w:rsidRPr="00FB5E9C" w:rsidRDefault="00320E5F" w:rsidP="00403193">
            <w:pPr>
              <w:numPr>
                <w:ilvl w:val="0"/>
                <w:numId w:val="41"/>
              </w:numPr>
              <w:ind w:left="720"/>
              <w:rPr>
                <w:rFonts w:ascii="Arial" w:hAnsi="Arial" w:cs="Arial"/>
              </w:rPr>
            </w:pPr>
            <w:r w:rsidRPr="00FB5E9C">
              <w:rPr>
                <w:rFonts w:ascii="Arial" w:hAnsi="Arial" w:cs="Arial"/>
                <w:sz w:val="22"/>
                <w:szCs w:val="22"/>
              </w:rPr>
              <w:t>The 5 tracks of the reagent station are depicted on the screen in the ‘Reagent Loading’ window.</w:t>
            </w:r>
          </w:p>
          <w:p w:rsidR="00320E5F" w:rsidRPr="00FB5E9C" w:rsidRDefault="00320E5F" w:rsidP="00403193">
            <w:pPr>
              <w:numPr>
                <w:ilvl w:val="0"/>
                <w:numId w:val="41"/>
              </w:numPr>
              <w:ind w:left="720"/>
              <w:rPr>
                <w:rFonts w:ascii="Arial" w:hAnsi="Arial" w:cs="Arial"/>
              </w:rPr>
            </w:pPr>
            <w:r w:rsidRPr="00FB5E9C">
              <w:rPr>
                <w:rFonts w:ascii="Arial" w:hAnsi="Arial" w:cs="Arial"/>
                <w:sz w:val="22"/>
                <w:szCs w:val="22"/>
              </w:rPr>
              <w:t>The system indicates the position for the next rack to be inserted by a flashing red LED light.  This position will always be the first empty position from the left.</w:t>
            </w:r>
          </w:p>
          <w:p w:rsidR="00320E5F" w:rsidRPr="00FB5E9C" w:rsidRDefault="00320E5F" w:rsidP="00403193">
            <w:pPr>
              <w:numPr>
                <w:ilvl w:val="0"/>
                <w:numId w:val="41"/>
              </w:numPr>
              <w:ind w:left="720"/>
              <w:rPr>
                <w:rFonts w:ascii="Arial" w:hAnsi="Arial" w:cs="Arial"/>
              </w:rPr>
            </w:pPr>
            <w:r w:rsidRPr="00FB5E9C">
              <w:rPr>
                <w:rFonts w:ascii="Arial" w:hAnsi="Arial" w:cs="Arial"/>
                <w:sz w:val="22"/>
                <w:szCs w:val="22"/>
              </w:rPr>
              <w:t>Hold the rack by the handle and place it on the track indicated by the flashing LED.</w:t>
            </w:r>
          </w:p>
          <w:p w:rsidR="00320E5F" w:rsidRDefault="00320E5F" w:rsidP="00403193">
            <w:pPr>
              <w:numPr>
                <w:ilvl w:val="0"/>
                <w:numId w:val="41"/>
              </w:numPr>
              <w:ind w:left="720"/>
              <w:rPr>
                <w:rFonts w:ascii="Arial" w:hAnsi="Arial" w:cs="Arial"/>
              </w:rPr>
            </w:pPr>
            <w:r w:rsidRPr="00FB5E9C">
              <w:rPr>
                <w:rFonts w:ascii="Arial" w:hAnsi="Arial" w:cs="Arial"/>
                <w:sz w:val="22"/>
                <w:szCs w:val="22"/>
              </w:rPr>
              <w:t xml:space="preserve">Push the rack all the way in to the instrument until the tappet is seated in the back of the reagent area. </w:t>
            </w:r>
          </w:p>
          <w:p w:rsidR="006034FE" w:rsidRPr="00403193" w:rsidRDefault="00320E5F" w:rsidP="00403193">
            <w:pPr>
              <w:numPr>
                <w:ilvl w:val="0"/>
                <w:numId w:val="41"/>
              </w:numPr>
              <w:ind w:left="720"/>
              <w:rPr>
                <w:rFonts w:ascii="Arial" w:hAnsi="Arial" w:cs="Arial"/>
              </w:rPr>
            </w:pPr>
            <w:r>
              <w:rPr>
                <w:rFonts w:ascii="Arial" w:hAnsi="Arial" w:cs="Arial"/>
                <w:sz w:val="22"/>
                <w:szCs w:val="22"/>
              </w:rPr>
              <w:t>Touch</w:t>
            </w:r>
            <w:r w:rsidRPr="00FB5E9C">
              <w:rPr>
                <w:rFonts w:ascii="Arial" w:hAnsi="Arial" w:cs="Arial"/>
                <w:sz w:val="22"/>
                <w:szCs w:val="22"/>
              </w:rPr>
              <w:t xml:space="preserve"> the ‘Volume Check’ button to perform a volume check once all reagents have been loaded.</w:t>
            </w:r>
          </w:p>
        </w:tc>
        <w:tc>
          <w:tcPr>
            <w:tcW w:w="752" w:type="pct"/>
          </w:tcPr>
          <w:p w:rsidR="00320E5F" w:rsidRPr="00FB5E9C" w:rsidRDefault="00320E5F" w:rsidP="00C61E2D">
            <w:pPr>
              <w:jc w:val="center"/>
              <w:rPr>
                <w:rFonts w:ascii="Arial" w:hAnsi="Arial" w:cs="Arial"/>
              </w:rPr>
            </w:pPr>
          </w:p>
        </w:tc>
      </w:tr>
      <w:tr w:rsidR="005D6A60" w:rsidTr="008B7436">
        <w:trPr>
          <w:trHeight w:val="1889"/>
        </w:trPr>
        <w:tc>
          <w:tcPr>
            <w:tcW w:w="366" w:type="pct"/>
          </w:tcPr>
          <w:p w:rsidR="005D6A60" w:rsidRPr="00320E5F" w:rsidRDefault="008B7436" w:rsidP="00541F3A">
            <w:pPr>
              <w:rPr>
                <w:rFonts w:ascii="Arial" w:hAnsi="Arial" w:cs="Arial"/>
              </w:rPr>
            </w:pPr>
            <w:r>
              <w:rPr>
                <w:rFonts w:ascii="Arial" w:hAnsi="Arial" w:cs="Arial"/>
                <w:sz w:val="22"/>
                <w:szCs w:val="22"/>
              </w:rPr>
              <w:t>6</w:t>
            </w:r>
          </w:p>
        </w:tc>
        <w:tc>
          <w:tcPr>
            <w:tcW w:w="3882" w:type="pct"/>
            <w:vAlign w:val="center"/>
          </w:tcPr>
          <w:p w:rsidR="005D6A60" w:rsidRPr="00FB5E9C" w:rsidRDefault="005D6A60" w:rsidP="00C61E2D">
            <w:pPr>
              <w:rPr>
                <w:rFonts w:ascii="Arial" w:hAnsi="Arial" w:cs="Arial"/>
              </w:rPr>
            </w:pPr>
            <w:r w:rsidRPr="00FB5E9C">
              <w:rPr>
                <w:rFonts w:ascii="Arial" w:hAnsi="Arial" w:cs="Arial"/>
                <w:sz w:val="22"/>
                <w:szCs w:val="22"/>
              </w:rPr>
              <w:t>The rack will be displayed on the screen and the information on the barcode is read and displayed in the text boxes.</w:t>
            </w:r>
          </w:p>
          <w:p w:rsidR="005D6A60" w:rsidRPr="00FB5E9C" w:rsidRDefault="005D6A60" w:rsidP="005D6A60">
            <w:pPr>
              <w:pStyle w:val="ListParagraph"/>
              <w:numPr>
                <w:ilvl w:val="0"/>
                <w:numId w:val="35"/>
              </w:numPr>
              <w:rPr>
                <w:rFonts w:ascii="Arial" w:hAnsi="Arial" w:cs="Arial"/>
              </w:rPr>
            </w:pPr>
            <w:r w:rsidRPr="00FB5E9C">
              <w:rPr>
                <w:rFonts w:ascii="Arial" w:hAnsi="Arial" w:cs="Arial"/>
                <w:sz w:val="22"/>
                <w:szCs w:val="22"/>
              </w:rPr>
              <w:t>Lot No. – 9 digit reagent lot number</w:t>
            </w:r>
          </w:p>
          <w:p w:rsidR="005D6A60" w:rsidRPr="00FB5E9C" w:rsidRDefault="005D6A60" w:rsidP="005D6A60">
            <w:pPr>
              <w:pStyle w:val="ListParagraph"/>
              <w:numPr>
                <w:ilvl w:val="0"/>
                <w:numId w:val="35"/>
              </w:numPr>
              <w:rPr>
                <w:rFonts w:ascii="Arial" w:hAnsi="Arial" w:cs="Arial"/>
              </w:rPr>
            </w:pPr>
            <w:r w:rsidRPr="00FB5E9C">
              <w:rPr>
                <w:rFonts w:ascii="Arial" w:hAnsi="Arial" w:cs="Arial"/>
                <w:sz w:val="22"/>
                <w:szCs w:val="22"/>
              </w:rPr>
              <w:t>Expiry date – expiration date</w:t>
            </w:r>
          </w:p>
          <w:p w:rsidR="005D6A60" w:rsidRPr="00FB5E9C" w:rsidRDefault="005D6A60" w:rsidP="002A08F5">
            <w:pPr>
              <w:pStyle w:val="ListParagraph"/>
              <w:numPr>
                <w:ilvl w:val="0"/>
                <w:numId w:val="34"/>
              </w:numPr>
              <w:rPr>
                <w:rFonts w:ascii="Arial" w:hAnsi="Arial" w:cs="Arial"/>
              </w:rPr>
            </w:pPr>
            <w:r w:rsidRPr="00FB5E9C">
              <w:rPr>
                <w:rFonts w:ascii="Arial" w:hAnsi="Arial" w:cs="Arial"/>
                <w:sz w:val="22"/>
                <w:szCs w:val="22"/>
              </w:rPr>
              <w:t>Volume in % - Shows the volume in %.  This will automatically be 100% unless volume check is selected.  After volume check is completed, this field will be updated.</w:t>
            </w:r>
          </w:p>
        </w:tc>
        <w:tc>
          <w:tcPr>
            <w:tcW w:w="752" w:type="pct"/>
          </w:tcPr>
          <w:p w:rsidR="005D6A60" w:rsidRPr="00FB5E9C" w:rsidRDefault="005D6A60" w:rsidP="00C61E2D">
            <w:pPr>
              <w:jc w:val="center"/>
              <w:rPr>
                <w:rFonts w:ascii="Arial" w:hAnsi="Arial" w:cs="Arial"/>
              </w:rPr>
            </w:pPr>
          </w:p>
        </w:tc>
      </w:tr>
      <w:tr w:rsidR="008B7436" w:rsidTr="00A74FAB">
        <w:trPr>
          <w:trHeight w:val="350"/>
        </w:trPr>
        <w:tc>
          <w:tcPr>
            <w:tcW w:w="366" w:type="pct"/>
          </w:tcPr>
          <w:p w:rsidR="008B7436" w:rsidRPr="00FB5E9C" w:rsidRDefault="008B7436" w:rsidP="0042020D">
            <w:pPr>
              <w:rPr>
                <w:rFonts w:ascii="Arial" w:hAnsi="Arial" w:cs="Arial"/>
                <w:b/>
              </w:rPr>
            </w:pPr>
            <w:r w:rsidRPr="00FB5E9C">
              <w:rPr>
                <w:rFonts w:ascii="Arial" w:hAnsi="Arial" w:cs="Arial"/>
                <w:b/>
                <w:sz w:val="22"/>
                <w:szCs w:val="22"/>
              </w:rPr>
              <w:lastRenderedPageBreak/>
              <w:t>Step</w:t>
            </w:r>
          </w:p>
        </w:tc>
        <w:tc>
          <w:tcPr>
            <w:tcW w:w="3882" w:type="pct"/>
          </w:tcPr>
          <w:p w:rsidR="008B7436" w:rsidRPr="00FB5E9C" w:rsidRDefault="008B7436" w:rsidP="0042020D">
            <w:pPr>
              <w:rPr>
                <w:rFonts w:ascii="Arial" w:hAnsi="Arial" w:cs="Arial"/>
                <w:b/>
              </w:rPr>
            </w:pPr>
            <w:r w:rsidRPr="00FB5E9C">
              <w:rPr>
                <w:rFonts w:ascii="Arial" w:hAnsi="Arial" w:cs="Arial"/>
                <w:b/>
                <w:sz w:val="22"/>
                <w:szCs w:val="22"/>
              </w:rPr>
              <w:t>Action</w:t>
            </w:r>
          </w:p>
        </w:tc>
        <w:tc>
          <w:tcPr>
            <w:tcW w:w="752" w:type="pct"/>
          </w:tcPr>
          <w:p w:rsidR="008B7436" w:rsidRPr="00FB5E9C" w:rsidRDefault="008B7436" w:rsidP="0042020D">
            <w:pPr>
              <w:rPr>
                <w:rFonts w:ascii="Arial" w:hAnsi="Arial" w:cs="Arial"/>
                <w:b/>
              </w:rPr>
            </w:pPr>
            <w:r w:rsidRPr="00FB5E9C">
              <w:rPr>
                <w:rFonts w:ascii="Arial" w:hAnsi="Arial" w:cs="Arial"/>
                <w:b/>
                <w:sz w:val="22"/>
                <w:szCs w:val="22"/>
              </w:rPr>
              <w:t xml:space="preserve">Related Documents </w:t>
            </w:r>
          </w:p>
        </w:tc>
      </w:tr>
      <w:tr w:rsidR="008B7436" w:rsidTr="008B7436">
        <w:trPr>
          <w:trHeight w:val="278"/>
        </w:trPr>
        <w:tc>
          <w:tcPr>
            <w:tcW w:w="5000" w:type="pct"/>
            <w:gridSpan w:val="3"/>
            <w:vAlign w:val="center"/>
          </w:tcPr>
          <w:p w:rsidR="008B7436" w:rsidRPr="00403193" w:rsidRDefault="008B7436" w:rsidP="0042020D">
            <w:pPr>
              <w:rPr>
                <w:rFonts w:ascii="Arial" w:hAnsi="Arial" w:cs="Arial"/>
                <w:b/>
                <w:szCs w:val="20"/>
              </w:rPr>
            </w:pPr>
            <w:r w:rsidRPr="00403193">
              <w:rPr>
                <w:rFonts w:ascii="Arial" w:hAnsi="Arial" w:cs="Arial"/>
                <w:b/>
                <w:sz w:val="22"/>
                <w:szCs w:val="20"/>
              </w:rPr>
              <w:t>Loading Reagents (continued)</w:t>
            </w:r>
          </w:p>
        </w:tc>
      </w:tr>
      <w:tr w:rsidR="008B7436" w:rsidTr="004E4F7A">
        <w:trPr>
          <w:trHeight w:val="1943"/>
        </w:trPr>
        <w:tc>
          <w:tcPr>
            <w:tcW w:w="366" w:type="pct"/>
          </w:tcPr>
          <w:p w:rsidR="008B7436" w:rsidRPr="008B7436" w:rsidRDefault="008B7436" w:rsidP="00541F3A">
            <w:pPr>
              <w:rPr>
                <w:rFonts w:ascii="Arial" w:hAnsi="Arial" w:cs="Arial"/>
              </w:rPr>
            </w:pPr>
            <w:r w:rsidRPr="008B7436">
              <w:rPr>
                <w:rFonts w:ascii="Arial" w:hAnsi="Arial" w:cs="Arial"/>
                <w:sz w:val="22"/>
                <w:szCs w:val="22"/>
              </w:rPr>
              <w:t>7</w:t>
            </w:r>
          </w:p>
        </w:tc>
        <w:tc>
          <w:tcPr>
            <w:tcW w:w="3882" w:type="pct"/>
            <w:vAlign w:val="center"/>
          </w:tcPr>
          <w:p w:rsidR="008B7436" w:rsidRPr="00FB5E9C" w:rsidRDefault="008B7436" w:rsidP="00C61E2D">
            <w:pPr>
              <w:rPr>
                <w:rFonts w:ascii="Arial" w:hAnsi="Arial" w:cs="Arial"/>
              </w:rPr>
            </w:pPr>
            <w:r w:rsidRPr="00FB5E9C">
              <w:rPr>
                <w:rFonts w:ascii="Arial" w:hAnsi="Arial" w:cs="Arial"/>
                <w:sz w:val="22"/>
                <w:szCs w:val="22"/>
              </w:rPr>
              <w:t xml:space="preserve">If the barcode cannot be read properly or there is no barcode, the information can be manually entered or a hand held scanner can be used. </w:t>
            </w:r>
          </w:p>
          <w:p w:rsidR="008B7436" w:rsidRPr="00FB5E9C" w:rsidRDefault="008B7436" w:rsidP="005D6A60">
            <w:pPr>
              <w:pStyle w:val="ListParagraph"/>
              <w:numPr>
                <w:ilvl w:val="0"/>
                <w:numId w:val="34"/>
              </w:numPr>
              <w:rPr>
                <w:rFonts w:ascii="Arial" w:hAnsi="Arial" w:cs="Arial"/>
              </w:rPr>
            </w:pPr>
            <w:r w:rsidRPr="00FB5E9C">
              <w:rPr>
                <w:rFonts w:ascii="Arial" w:hAnsi="Arial" w:cs="Arial"/>
                <w:sz w:val="22"/>
                <w:szCs w:val="22"/>
              </w:rPr>
              <w:t>Touch the ‘Manual Input’ button.</w:t>
            </w:r>
          </w:p>
          <w:p w:rsidR="008B7436" w:rsidRPr="00FB5E9C" w:rsidRDefault="008B7436" w:rsidP="005D6A60">
            <w:pPr>
              <w:pStyle w:val="ListParagraph"/>
              <w:numPr>
                <w:ilvl w:val="0"/>
                <w:numId w:val="34"/>
              </w:numPr>
              <w:rPr>
                <w:rFonts w:ascii="Arial" w:hAnsi="Arial" w:cs="Arial"/>
              </w:rPr>
            </w:pPr>
            <w:r w:rsidRPr="00FB5E9C">
              <w:rPr>
                <w:rFonts w:ascii="Arial" w:hAnsi="Arial" w:cs="Arial"/>
                <w:sz w:val="22"/>
                <w:szCs w:val="22"/>
              </w:rPr>
              <w:t>Enter the information manually or use a hand held scanner.</w:t>
            </w:r>
          </w:p>
          <w:p w:rsidR="008B7436" w:rsidRPr="00FB5E9C" w:rsidRDefault="008B7436" w:rsidP="005D6A60">
            <w:pPr>
              <w:pStyle w:val="ListParagraph"/>
              <w:numPr>
                <w:ilvl w:val="0"/>
                <w:numId w:val="34"/>
              </w:numPr>
              <w:rPr>
                <w:rFonts w:ascii="Arial" w:hAnsi="Arial" w:cs="Arial"/>
              </w:rPr>
            </w:pPr>
            <w:r w:rsidRPr="00FB5E9C">
              <w:rPr>
                <w:rFonts w:ascii="Arial" w:hAnsi="Arial" w:cs="Arial"/>
                <w:sz w:val="22"/>
                <w:szCs w:val="22"/>
              </w:rPr>
              <w:t>If the rack was removed to enter information, re-insert the rack.</w:t>
            </w:r>
          </w:p>
          <w:p w:rsidR="008B7436" w:rsidRPr="00FB5E9C" w:rsidRDefault="008B7436" w:rsidP="005D6A60">
            <w:pPr>
              <w:pStyle w:val="ListParagraph"/>
              <w:numPr>
                <w:ilvl w:val="0"/>
                <w:numId w:val="34"/>
              </w:numPr>
              <w:rPr>
                <w:rFonts w:ascii="Arial" w:hAnsi="Arial" w:cs="Arial"/>
              </w:rPr>
            </w:pPr>
            <w:r w:rsidRPr="00FB5E9C">
              <w:rPr>
                <w:rFonts w:ascii="Arial" w:hAnsi="Arial" w:cs="Arial"/>
                <w:sz w:val="22"/>
                <w:szCs w:val="22"/>
              </w:rPr>
              <w:t>If the rack was not removed, touch the ‘Accept Input’ button to save the information.</w:t>
            </w:r>
          </w:p>
        </w:tc>
        <w:tc>
          <w:tcPr>
            <w:tcW w:w="752" w:type="pct"/>
          </w:tcPr>
          <w:p w:rsidR="008B7436" w:rsidRPr="00FB5E9C" w:rsidRDefault="008B7436" w:rsidP="00C61E2D">
            <w:pPr>
              <w:jc w:val="center"/>
              <w:rPr>
                <w:rFonts w:ascii="Arial" w:hAnsi="Arial" w:cs="Arial"/>
              </w:rPr>
            </w:pPr>
          </w:p>
        </w:tc>
      </w:tr>
      <w:tr w:rsidR="008B7436" w:rsidTr="004E4F7A">
        <w:trPr>
          <w:trHeight w:val="197"/>
        </w:trPr>
        <w:tc>
          <w:tcPr>
            <w:tcW w:w="366" w:type="pct"/>
          </w:tcPr>
          <w:p w:rsidR="008B7436" w:rsidRPr="008B7436" w:rsidRDefault="008B7436" w:rsidP="00541F3A">
            <w:pPr>
              <w:rPr>
                <w:rFonts w:ascii="Arial" w:hAnsi="Arial" w:cs="Arial"/>
              </w:rPr>
            </w:pPr>
            <w:r w:rsidRPr="008B7436">
              <w:rPr>
                <w:rFonts w:ascii="Arial" w:hAnsi="Arial" w:cs="Arial"/>
                <w:sz w:val="22"/>
                <w:szCs w:val="22"/>
              </w:rPr>
              <w:t>8</w:t>
            </w:r>
          </w:p>
        </w:tc>
        <w:tc>
          <w:tcPr>
            <w:tcW w:w="3882" w:type="pct"/>
            <w:vAlign w:val="center"/>
          </w:tcPr>
          <w:p w:rsidR="008B7436" w:rsidRPr="00FB5E9C" w:rsidRDefault="008B7436" w:rsidP="00C61E2D">
            <w:pPr>
              <w:rPr>
                <w:rFonts w:ascii="Arial" w:hAnsi="Arial" w:cs="Arial"/>
              </w:rPr>
            </w:pPr>
            <w:r w:rsidRPr="00FB5E9C">
              <w:rPr>
                <w:rFonts w:ascii="Arial" w:hAnsi="Arial" w:cs="Arial"/>
                <w:sz w:val="22"/>
                <w:szCs w:val="22"/>
              </w:rPr>
              <w:t>Once all reagents are loaded, close the reagent loading door.</w:t>
            </w:r>
          </w:p>
        </w:tc>
        <w:tc>
          <w:tcPr>
            <w:tcW w:w="752" w:type="pct"/>
          </w:tcPr>
          <w:p w:rsidR="008B7436" w:rsidRPr="00FB5E9C" w:rsidRDefault="008B7436" w:rsidP="00C61E2D">
            <w:pPr>
              <w:jc w:val="center"/>
              <w:rPr>
                <w:rFonts w:ascii="Arial" w:hAnsi="Arial" w:cs="Arial"/>
              </w:rPr>
            </w:pPr>
          </w:p>
        </w:tc>
      </w:tr>
      <w:tr w:rsidR="008B7436" w:rsidTr="004E4F7A">
        <w:trPr>
          <w:trHeight w:val="458"/>
        </w:trPr>
        <w:tc>
          <w:tcPr>
            <w:tcW w:w="366" w:type="pct"/>
          </w:tcPr>
          <w:p w:rsidR="008B7436" w:rsidRPr="008B7436" w:rsidRDefault="008B7436" w:rsidP="00541F3A">
            <w:pPr>
              <w:rPr>
                <w:rFonts w:ascii="Arial" w:hAnsi="Arial" w:cs="Arial"/>
              </w:rPr>
            </w:pPr>
            <w:r w:rsidRPr="008B7436">
              <w:rPr>
                <w:rFonts w:ascii="Arial" w:hAnsi="Arial" w:cs="Arial"/>
                <w:sz w:val="22"/>
                <w:szCs w:val="22"/>
              </w:rPr>
              <w:t>9</w:t>
            </w:r>
          </w:p>
        </w:tc>
        <w:tc>
          <w:tcPr>
            <w:tcW w:w="3882" w:type="pct"/>
            <w:vAlign w:val="center"/>
          </w:tcPr>
          <w:p w:rsidR="008B7436" w:rsidRPr="00FB5E9C" w:rsidRDefault="008B7436" w:rsidP="00C61E2D">
            <w:pPr>
              <w:rPr>
                <w:rFonts w:ascii="Arial" w:hAnsi="Arial" w:cs="Arial"/>
              </w:rPr>
            </w:pPr>
            <w:r>
              <w:rPr>
                <w:rFonts w:ascii="Arial" w:hAnsi="Arial" w:cs="Arial"/>
                <w:sz w:val="22"/>
                <w:szCs w:val="22"/>
              </w:rPr>
              <w:t xml:space="preserve">Observe and confirm the </w:t>
            </w:r>
            <w:r w:rsidRPr="00FB5E9C">
              <w:rPr>
                <w:rFonts w:ascii="Arial" w:hAnsi="Arial" w:cs="Arial"/>
                <w:sz w:val="22"/>
                <w:szCs w:val="22"/>
              </w:rPr>
              <w:t>volume check on all reagents which have not previously had a volume check.</w:t>
            </w:r>
          </w:p>
        </w:tc>
        <w:tc>
          <w:tcPr>
            <w:tcW w:w="752" w:type="pct"/>
          </w:tcPr>
          <w:p w:rsidR="008B7436" w:rsidRPr="00FB5E9C" w:rsidRDefault="008B7436" w:rsidP="00C61E2D">
            <w:pPr>
              <w:jc w:val="center"/>
              <w:rPr>
                <w:rFonts w:ascii="Arial" w:hAnsi="Arial" w:cs="Arial"/>
              </w:rPr>
            </w:pPr>
          </w:p>
        </w:tc>
      </w:tr>
      <w:tr w:rsidR="008B7436" w:rsidTr="004E4F7A">
        <w:trPr>
          <w:trHeight w:val="458"/>
        </w:trPr>
        <w:tc>
          <w:tcPr>
            <w:tcW w:w="366" w:type="pct"/>
            <w:tcBorders>
              <w:top w:val="single" w:sz="4" w:space="0" w:color="000000"/>
              <w:left w:val="single" w:sz="4" w:space="0" w:color="000000"/>
              <w:bottom w:val="single" w:sz="4" w:space="0" w:color="000000"/>
              <w:right w:val="single" w:sz="4" w:space="0" w:color="000000"/>
            </w:tcBorders>
          </w:tcPr>
          <w:p w:rsidR="008B7436" w:rsidRPr="008B7436" w:rsidRDefault="00233395" w:rsidP="00541F3A">
            <w:pPr>
              <w:rPr>
                <w:rFonts w:ascii="Arial" w:hAnsi="Arial" w:cs="Arial"/>
              </w:rPr>
            </w:pPr>
            <w:r>
              <w:rPr>
                <w:rFonts w:ascii="Arial" w:hAnsi="Arial" w:cs="Arial"/>
                <w:sz w:val="22"/>
                <w:szCs w:val="22"/>
              </w:rPr>
              <w:t>10</w:t>
            </w:r>
          </w:p>
        </w:tc>
        <w:tc>
          <w:tcPr>
            <w:tcW w:w="3882" w:type="pct"/>
            <w:tcBorders>
              <w:top w:val="single" w:sz="4" w:space="0" w:color="000000"/>
              <w:left w:val="single" w:sz="4" w:space="0" w:color="000000"/>
              <w:bottom w:val="single" w:sz="4" w:space="0" w:color="000000"/>
              <w:right w:val="single" w:sz="4" w:space="0" w:color="000000"/>
            </w:tcBorders>
            <w:vAlign w:val="center"/>
          </w:tcPr>
          <w:p w:rsidR="008B7436" w:rsidRPr="005363C7" w:rsidRDefault="008B7436" w:rsidP="005363C7">
            <w:pPr>
              <w:pStyle w:val="ListParagraph"/>
              <w:ind w:left="0"/>
              <w:rPr>
                <w:rFonts w:ascii="Arial" w:hAnsi="Arial" w:cs="Arial"/>
              </w:rPr>
            </w:pPr>
            <w:r w:rsidRPr="005B1079">
              <w:rPr>
                <w:rFonts w:ascii="Arial" w:hAnsi="Arial" w:cs="Arial"/>
                <w:sz w:val="22"/>
                <w:szCs w:val="22"/>
              </w:rPr>
              <w:t>The Tango will count down the shelf life of the reagents from the time they</w:t>
            </w:r>
            <w:r>
              <w:rPr>
                <w:rFonts w:ascii="Arial" w:hAnsi="Arial" w:cs="Arial"/>
                <w:sz w:val="22"/>
                <w:szCs w:val="22"/>
              </w:rPr>
              <w:t xml:space="preserve"> are loaded onto the instrument in one hour increments.</w:t>
            </w:r>
          </w:p>
        </w:tc>
        <w:tc>
          <w:tcPr>
            <w:tcW w:w="752" w:type="pct"/>
            <w:tcBorders>
              <w:top w:val="single" w:sz="4" w:space="0" w:color="000000"/>
              <w:left w:val="single" w:sz="4" w:space="0" w:color="000000"/>
              <w:bottom w:val="single" w:sz="4" w:space="0" w:color="000000"/>
              <w:right w:val="single" w:sz="4" w:space="0" w:color="000000"/>
            </w:tcBorders>
          </w:tcPr>
          <w:p w:rsidR="008B7436" w:rsidRPr="005363C7" w:rsidRDefault="008B7436" w:rsidP="005363C7">
            <w:pPr>
              <w:jc w:val="center"/>
              <w:rPr>
                <w:rFonts w:ascii="Arial" w:hAnsi="Arial" w:cs="Arial"/>
              </w:rPr>
            </w:pPr>
          </w:p>
        </w:tc>
      </w:tr>
    </w:tbl>
    <w:p w:rsidR="005363C7" w:rsidRDefault="005363C7"/>
    <w:tbl>
      <w:tblPr>
        <w:tblW w:w="5133"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0"/>
        <w:gridCol w:w="7652"/>
        <w:gridCol w:w="1459"/>
      </w:tblGrid>
      <w:tr w:rsidR="002A08F5" w:rsidRPr="00A57370" w:rsidTr="000A0926">
        <w:trPr>
          <w:trHeight w:val="278"/>
        </w:trPr>
        <w:tc>
          <w:tcPr>
            <w:tcW w:w="5000" w:type="pct"/>
            <w:gridSpan w:val="3"/>
            <w:vAlign w:val="center"/>
          </w:tcPr>
          <w:p w:rsidR="002A08F5" w:rsidRPr="00A57370" w:rsidRDefault="002A08F5" w:rsidP="002A08F5">
            <w:pPr>
              <w:rPr>
                <w:rFonts w:ascii="Arial" w:hAnsi="Arial" w:cs="Arial"/>
                <w:b/>
              </w:rPr>
            </w:pPr>
            <w:r w:rsidRPr="00A57370">
              <w:rPr>
                <w:rFonts w:ascii="Arial" w:hAnsi="Arial" w:cs="Arial"/>
                <w:b/>
                <w:sz w:val="22"/>
                <w:szCs w:val="22"/>
              </w:rPr>
              <w:t>Edit On-board Shelf Life</w:t>
            </w:r>
            <w:r w:rsidR="00C76ADA" w:rsidRPr="00A57370">
              <w:rPr>
                <w:rFonts w:ascii="Arial" w:hAnsi="Arial" w:cs="Arial"/>
                <w:b/>
                <w:sz w:val="22"/>
                <w:szCs w:val="22"/>
              </w:rPr>
              <w:t xml:space="preserve"> for non 20 digit barcodes</w:t>
            </w:r>
          </w:p>
        </w:tc>
      </w:tr>
      <w:tr w:rsidR="005363C7" w:rsidRPr="00A57370" w:rsidTr="004E4F7A">
        <w:tc>
          <w:tcPr>
            <w:tcW w:w="366" w:type="pct"/>
          </w:tcPr>
          <w:p w:rsidR="005363C7" w:rsidRPr="00A57370" w:rsidRDefault="00541F3A" w:rsidP="00541F3A">
            <w:pPr>
              <w:rPr>
                <w:rFonts w:ascii="Arial" w:hAnsi="Arial" w:cs="Arial"/>
              </w:rPr>
            </w:pPr>
            <w:r w:rsidRPr="00A57370">
              <w:rPr>
                <w:rFonts w:ascii="Arial" w:hAnsi="Arial" w:cs="Arial"/>
                <w:sz w:val="22"/>
                <w:szCs w:val="22"/>
              </w:rPr>
              <w:t>1</w:t>
            </w:r>
          </w:p>
        </w:tc>
        <w:tc>
          <w:tcPr>
            <w:tcW w:w="3892" w:type="pct"/>
          </w:tcPr>
          <w:p w:rsidR="005363C7" w:rsidRPr="00A57370" w:rsidRDefault="005363C7" w:rsidP="00C61E2D">
            <w:pPr>
              <w:rPr>
                <w:rFonts w:ascii="Arial" w:hAnsi="Arial" w:cs="Arial"/>
              </w:rPr>
            </w:pPr>
            <w:r w:rsidRPr="00A57370">
              <w:rPr>
                <w:rFonts w:ascii="Arial" w:hAnsi="Arial" w:cs="Arial"/>
                <w:sz w:val="22"/>
                <w:szCs w:val="22"/>
              </w:rPr>
              <w:t xml:space="preserve">Upon reloading an opened liquid reagent onto the instrument, </w:t>
            </w:r>
          </w:p>
          <w:p w:rsidR="005363C7" w:rsidRPr="00A57370" w:rsidRDefault="005363C7" w:rsidP="00403193">
            <w:pPr>
              <w:numPr>
                <w:ilvl w:val="0"/>
                <w:numId w:val="43"/>
              </w:numPr>
              <w:ind w:left="720"/>
              <w:rPr>
                <w:rFonts w:ascii="Arial" w:hAnsi="Arial" w:cs="Arial"/>
              </w:rPr>
            </w:pPr>
            <w:r w:rsidRPr="00A57370">
              <w:rPr>
                <w:rFonts w:ascii="Arial" w:hAnsi="Arial" w:cs="Arial"/>
                <w:sz w:val="22"/>
                <w:szCs w:val="22"/>
              </w:rPr>
              <w:t xml:space="preserve">Note the hours remaining based on the opened/expired times on reagent box:  </w:t>
            </w:r>
          </w:p>
          <w:p w:rsidR="005363C7" w:rsidRPr="00A57370" w:rsidRDefault="005363C7" w:rsidP="00403193">
            <w:pPr>
              <w:numPr>
                <w:ilvl w:val="0"/>
                <w:numId w:val="44"/>
              </w:numPr>
              <w:ind w:left="1080"/>
              <w:rPr>
                <w:rFonts w:ascii="Arial" w:hAnsi="Arial" w:cs="Arial"/>
              </w:rPr>
            </w:pPr>
            <w:r w:rsidRPr="00A57370">
              <w:rPr>
                <w:rFonts w:ascii="Arial" w:hAnsi="Arial" w:cs="Arial"/>
                <w:sz w:val="22"/>
                <w:szCs w:val="22"/>
              </w:rPr>
              <w:t>Shelf life of liquid reagent equals 168 hrs</w:t>
            </w:r>
            <w:r w:rsidR="00C76ADA" w:rsidRPr="00A57370">
              <w:rPr>
                <w:rFonts w:ascii="Arial" w:hAnsi="Arial" w:cs="Arial"/>
                <w:sz w:val="22"/>
                <w:szCs w:val="22"/>
              </w:rPr>
              <w:t xml:space="preserve"> onboard</w:t>
            </w:r>
            <w:r w:rsidRPr="00A57370">
              <w:rPr>
                <w:rFonts w:ascii="Arial" w:hAnsi="Arial" w:cs="Arial"/>
                <w:sz w:val="22"/>
                <w:szCs w:val="22"/>
              </w:rPr>
              <w:t xml:space="preserve"> or until labeled expiration, whichever date is shorter.</w:t>
            </w:r>
          </w:p>
          <w:p w:rsidR="005363C7" w:rsidRPr="00A57370" w:rsidRDefault="005363C7" w:rsidP="00403193">
            <w:pPr>
              <w:numPr>
                <w:ilvl w:val="0"/>
                <w:numId w:val="44"/>
              </w:numPr>
              <w:ind w:left="1080"/>
              <w:rPr>
                <w:rFonts w:ascii="Arial" w:hAnsi="Arial" w:cs="Arial"/>
              </w:rPr>
            </w:pPr>
            <w:r w:rsidRPr="00A57370">
              <w:rPr>
                <w:rFonts w:ascii="Arial" w:hAnsi="Arial" w:cs="Arial"/>
                <w:sz w:val="22"/>
                <w:szCs w:val="22"/>
              </w:rPr>
              <w:t>Working Bromelin solution has a 24 hr shelf life</w:t>
            </w:r>
          </w:p>
        </w:tc>
        <w:tc>
          <w:tcPr>
            <w:tcW w:w="742" w:type="pct"/>
          </w:tcPr>
          <w:p w:rsidR="005363C7" w:rsidRPr="00A57370" w:rsidRDefault="005363C7" w:rsidP="00C61E2D">
            <w:pPr>
              <w:rPr>
                <w:rFonts w:ascii="Arial" w:hAnsi="Arial" w:cs="Arial"/>
              </w:rPr>
            </w:pPr>
          </w:p>
        </w:tc>
      </w:tr>
      <w:tr w:rsidR="00B60136" w:rsidRPr="00A57370" w:rsidTr="004E4F7A">
        <w:tc>
          <w:tcPr>
            <w:tcW w:w="366" w:type="pct"/>
          </w:tcPr>
          <w:p w:rsidR="00B60136" w:rsidRPr="00A57370" w:rsidRDefault="00311A1C" w:rsidP="00541F3A">
            <w:pPr>
              <w:rPr>
                <w:rFonts w:ascii="Arial" w:hAnsi="Arial" w:cs="Arial"/>
              </w:rPr>
            </w:pPr>
            <w:r w:rsidRPr="00A57370">
              <w:rPr>
                <w:rFonts w:ascii="Arial" w:hAnsi="Arial" w:cs="Arial"/>
                <w:sz w:val="22"/>
                <w:szCs w:val="22"/>
              </w:rPr>
              <w:t>2</w:t>
            </w:r>
          </w:p>
        </w:tc>
        <w:tc>
          <w:tcPr>
            <w:tcW w:w="3892" w:type="pct"/>
          </w:tcPr>
          <w:p w:rsidR="00B60136" w:rsidRPr="00A57370" w:rsidRDefault="00B60136" w:rsidP="00A63EF7">
            <w:pPr>
              <w:rPr>
                <w:rFonts w:ascii="Arial" w:hAnsi="Arial" w:cs="Arial"/>
              </w:rPr>
            </w:pPr>
            <w:r w:rsidRPr="00A57370">
              <w:rPr>
                <w:rFonts w:ascii="Arial" w:hAnsi="Arial" w:cs="Arial"/>
                <w:sz w:val="22"/>
                <w:szCs w:val="22"/>
              </w:rPr>
              <w:t>Open the reagent loading door to open the ‘Reagent Loading’ window or touch the reagent chamber icon from the Main Menu.</w:t>
            </w:r>
          </w:p>
          <w:p w:rsidR="000A5BB3" w:rsidRPr="00A57370" w:rsidRDefault="000A5BB3" w:rsidP="00A63EF7">
            <w:pPr>
              <w:rPr>
                <w:rFonts w:ascii="Arial" w:hAnsi="Arial" w:cs="Arial"/>
              </w:rPr>
            </w:pPr>
            <w:r w:rsidRPr="00A57370">
              <w:rPr>
                <w:rFonts w:ascii="Arial" w:hAnsi="Arial" w:cs="Arial"/>
                <w:sz w:val="22"/>
                <w:szCs w:val="22"/>
              </w:rPr>
              <w:t>Note: Before editing the time, the reagent must be removed and placed back on the analyzer</w:t>
            </w:r>
          </w:p>
        </w:tc>
        <w:tc>
          <w:tcPr>
            <w:tcW w:w="742" w:type="pct"/>
          </w:tcPr>
          <w:p w:rsidR="00B60136" w:rsidRPr="00A57370" w:rsidRDefault="00B60136" w:rsidP="00A63EF7">
            <w:pPr>
              <w:rPr>
                <w:rFonts w:ascii="Arial" w:hAnsi="Arial" w:cs="Arial"/>
              </w:rPr>
            </w:pPr>
          </w:p>
        </w:tc>
      </w:tr>
      <w:tr w:rsidR="00B60136" w:rsidTr="004E4F7A">
        <w:tc>
          <w:tcPr>
            <w:tcW w:w="366" w:type="pct"/>
          </w:tcPr>
          <w:p w:rsidR="00B60136" w:rsidRPr="00A57370" w:rsidRDefault="00311A1C" w:rsidP="00541F3A">
            <w:pPr>
              <w:rPr>
                <w:rFonts w:ascii="Arial" w:hAnsi="Arial" w:cs="Arial"/>
              </w:rPr>
            </w:pPr>
            <w:r w:rsidRPr="00A57370">
              <w:rPr>
                <w:rFonts w:ascii="Arial" w:hAnsi="Arial" w:cs="Arial"/>
                <w:sz w:val="22"/>
                <w:szCs w:val="22"/>
              </w:rPr>
              <w:t>3</w:t>
            </w:r>
          </w:p>
        </w:tc>
        <w:tc>
          <w:tcPr>
            <w:tcW w:w="3892" w:type="pct"/>
          </w:tcPr>
          <w:p w:rsidR="00B60136" w:rsidRPr="00A57370" w:rsidRDefault="00B60136" w:rsidP="00A63EF7">
            <w:pPr>
              <w:rPr>
                <w:rFonts w:ascii="Arial" w:hAnsi="Arial" w:cs="Arial"/>
              </w:rPr>
            </w:pPr>
            <w:r w:rsidRPr="00A57370">
              <w:rPr>
                <w:rFonts w:ascii="Arial" w:hAnsi="Arial" w:cs="Arial"/>
                <w:sz w:val="22"/>
                <w:szCs w:val="22"/>
              </w:rPr>
              <w:t>Touch the reagent rack that corresponds to the reagent requiring editing.</w:t>
            </w:r>
          </w:p>
          <w:p w:rsidR="00B60136" w:rsidRPr="00A57370" w:rsidRDefault="00B60136" w:rsidP="001C32C4">
            <w:pPr>
              <w:numPr>
                <w:ilvl w:val="0"/>
                <w:numId w:val="28"/>
              </w:numPr>
              <w:rPr>
                <w:rFonts w:ascii="Arial" w:hAnsi="Arial" w:cs="Arial"/>
              </w:rPr>
            </w:pPr>
            <w:r w:rsidRPr="00A57370">
              <w:rPr>
                <w:rFonts w:ascii="Arial" w:hAnsi="Arial" w:cs="Arial"/>
                <w:sz w:val="22"/>
                <w:szCs w:val="22"/>
              </w:rPr>
              <w:t>The reagent test boxes will be displayed</w:t>
            </w:r>
          </w:p>
          <w:p w:rsidR="00B60136" w:rsidRPr="00A57370" w:rsidRDefault="00B60136" w:rsidP="001C32C4">
            <w:pPr>
              <w:numPr>
                <w:ilvl w:val="0"/>
                <w:numId w:val="28"/>
              </w:numPr>
              <w:rPr>
                <w:rFonts w:ascii="Arial" w:hAnsi="Arial" w:cs="Arial"/>
              </w:rPr>
            </w:pPr>
            <w:r w:rsidRPr="00A57370">
              <w:rPr>
                <w:rFonts w:ascii="Arial" w:hAnsi="Arial" w:cs="Arial"/>
                <w:sz w:val="22"/>
                <w:szCs w:val="22"/>
              </w:rPr>
              <w:t>To edit the shelf life of the reagent, touch the ‘Shelf Life’ button.</w:t>
            </w:r>
          </w:p>
          <w:p w:rsidR="00B60136" w:rsidRPr="00A57370" w:rsidRDefault="00B60136" w:rsidP="001C32C4">
            <w:pPr>
              <w:pStyle w:val="ListParagraph"/>
              <w:numPr>
                <w:ilvl w:val="0"/>
                <w:numId w:val="29"/>
              </w:numPr>
              <w:rPr>
                <w:rFonts w:ascii="Arial" w:hAnsi="Arial" w:cs="Arial"/>
              </w:rPr>
            </w:pPr>
            <w:r w:rsidRPr="00A57370">
              <w:rPr>
                <w:rFonts w:ascii="Arial" w:hAnsi="Arial" w:cs="Arial"/>
                <w:sz w:val="22"/>
                <w:szCs w:val="22"/>
              </w:rPr>
              <w:t>The shelf life will be displayed in hours.  The TANGO will count down in one (1) hour increments.</w:t>
            </w:r>
          </w:p>
          <w:p w:rsidR="00B60136" w:rsidRPr="00A57370" w:rsidRDefault="00B60136" w:rsidP="001C32C4">
            <w:pPr>
              <w:pStyle w:val="ListParagraph"/>
              <w:numPr>
                <w:ilvl w:val="0"/>
                <w:numId w:val="29"/>
              </w:numPr>
              <w:rPr>
                <w:rFonts w:ascii="Arial" w:hAnsi="Arial" w:cs="Arial"/>
              </w:rPr>
            </w:pPr>
            <w:r w:rsidRPr="00A57370">
              <w:rPr>
                <w:rFonts w:ascii="Arial" w:hAnsi="Arial" w:cs="Arial"/>
                <w:sz w:val="22"/>
                <w:szCs w:val="22"/>
              </w:rPr>
              <w:t>A text box will open allowing the edit of the shelf life. Enter the appropriate time remaining.</w:t>
            </w:r>
          </w:p>
          <w:p w:rsidR="00B60136" w:rsidRPr="004E4F7A" w:rsidRDefault="005363C7" w:rsidP="000A0926">
            <w:pPr>
              <w:rPr>
                <w:rFonts w:ascii="Arial" w:hAnsi="Arial" w:cs="Arial"/>
              </w:rPr>
            </w:pPr>
            <w:r w:rsidRPr="00A57370">
              <w:rPr>
                <w:rFonts w:ascii="Arial" w:hAnsi="Arial" w:cs="Arial"/>
                <w:b/>
                <w:i/>
                <w:sz w:val="22"/>
                <w:szCs w:val="22"/>
              </w:rPr>
              <w:t>NOTE:</w:t>
            </w:r>
            <w:r w:rsidRPr="00A57370">
              <w:rPr>
                <w:rFonts w:ascii="Arial" w:hAnsi="Arial" w:cs="Arial"/>
                <w:i/>
                <w:sz w:val="22"/>
                <w:szCs w:val="22"/>
              </w:rPr>
              <w:t xml:space="preserve">  The shelf life that is entered must be a number less than what is currently displayed.</w:t>
            </w:r>
          </w:p>
        </w:tc>
        <w:tc>
          <w:tcPr>
            <w:tcW w:w="742" w:type="pct"/>
          </w:tcPr>
          <w:p w:rsidR="00B60136" w:rsidRPr="004E4F7A" w:rsidRDefault="00B60136" w:rsidP="0018416C">
            <w:pPr>
              <w:rPr>
                <w:rFonts w:ascii="Arial" w:hAnsi="Arial" w:cs="Arial"/>
              </w:rPr>
            </w:pPr>
          </w:p>
        </w:tc>
      </w:tr>
      <w:tr w:rsidR="00B60136" w:rsidTr="004E4F7A">
        <w:tc>
          <w:tcPr>
            <w:tcW w:w="366" w:type="pct"/>
          </w:tcPr>
          <w:p w:rsidR="00B60136" w:rsidRPr="004E4F7A" w:rsidRDefault="00311A1C" w:rsidP="00541F3A">
            <w:pPr>
              <w:rPr>
                <w:rFonts w:ascii="Arial" w:hAnsi="Arial" w:cs="Arial"/>
              </w:rPr>
            </w:pPr>
            <w:r w:rsidRPr="004E4F7A">
              <w:rPr>
                <w:rFonts w:ascii="Arial" w:hAnsi="Arial" w:cs="Arial"/>
                <w:sz w:val="22"/>
                <w:szCs w:val="22"/>
              </w:rPr>
              <w:t>4</w:t>
            </w:r>
          </w:p>
        </w:tc>
        <w:tc>
          <w:tcPr>
            <w:tcW w:w="3892" w:type="pct"/>
          </w:tcPr>
          <w:p w:rsidR="00B60136" w:rsidRPr="004E4F7A" w:rsidRDefault="00B60136" w:rsidP="00947A76">
            <w:pPr>
              <w:rPr>
                <w:rFonts w:ascii="Arial" w:hAnsi="Arial" w:cs="Arial"/>
              </w:rPr>
            </w:pPr>
            <w:r w:rsidRPr="004E4F7A">
              <w:rPr>
                <w:rFonts w:ascii="Arial" w:hAnsi="Arial" w:cs="Arial"/>
                <w:sz w:val="22"/>
                <w:szCs w:val="22"/>
              </w:rPr>
              <w:t>Close the ‘Reagent Loading’ window by closing the reagent door or touching ‘OK’.</w:t>
            </w:r>
          </w:p>
        </w:tc>
        <w:tc>
          <w:tcPr>
            <w:tcW w:w="742" w:type="pct"/>
          </w:tcPr>
          <w:p w:rsidR="00B60136" w:rsidRPr="004E4F7A" w:rsidRDefault="00B60136" w:rsidP="00A63EF7">
            <w:pPr>
              <w:rPr>
                <w:rFonts w:ascii="Arial" w:hAnsi="Arial" w:cs="Arial"/>
              </w:rPr>
            </w:pPr>
          </w:p>
        </w:tc>
      </w:tr>
    </w:tbl>
    <w:p w:rsidR="00B60136" w:rsidRDefault="00B60136" w:rsidP="00673593">
      <w:pPr>
        <w:rPr>
          <w:rFonts w:ascii="Arial" w:hAnsi="Arial" w:cs="Arial"/>
          <w:b/>
          <w:sz w:val="22"/>
          <w:szCs w:val="22"/>
        </w:rPr>
      </w:pPr>
    </w:p>
    <w:p w:rsidR="00B60136" w:rsidRPr="00484060" w:rsidRDefault="00B60136" w:rsidP="0004078D">
      <w:pPr>
        <w:ind w:hanging="360"/>
        <w:rPr>
          <w:rFonts w:ascii="Arial" w:hAnsi="Arial" w:cs="Arial"/>
          <w:b/>
          <w:sz w:val="22"/>
          <w:szCs w:val="22"/>
        </w:rPr>
      </w:pPr>
      <w:r w:rsidRPr="00484060">
        <w:rPr>
          <w:rFonts w:ascii="Arial" w:hAnsi="Arial" w:cs="Arial"/>
          <w:b/>
          <w:sz w:val="22"/>
          <w:szCs w:val="22"/>
        </w:rPr>
        <w:t>Referenced Documents:</w:t>
      </w:r>
    </w:p>
    <w:p w:rsidR="00B60136" w:rsidRPr="00484060" w:rsidRDefault="005D6A60" w:rsidP="00673593">
      <w:pPr>
        <w:rPr>
          <w:rFonts w:ascii="Arial" w:hAnsi="Arial" w:cs="Arial"/>
          <w:sz w:val="22"/>
          <w:szCs w:val="22"/>
        </w:rPr>
      </w:pPr>
      <w:r w:rsidRPr="00A57370">
        <w:rPr>
          <w:rFonts w:ascii="Arial" w:hAnsi="Arial" w:cs="Arial"/>
          <w:sz w:val="22"/>
          <w:szCs w:val="22"/>
        </w:rPr>
        <w:t>TANGO User Guide, Version 3.3</w:t>
      </w:r>
    </w:p>
    <w:sectPr w:rsidR="00B60136" w:rsidRPr="00484060" w:rsidSect="00DA4779">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136" w:rsidRDefault="00B60136" w:rsidP="005B4617">
      <w:r>
        <w:separator/>
      </w:r>
    </w:p>
  </w:endnote>
  <w:endnote w:type="continuationSeparator" w:id="0">
    <w:p w:rsidR="00B60136" w:rsidRDefault="00B60136" w:rsidP="005B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93" w:rsidRPr="00DB594C" w:rsidRDefault="00403193" w:rsidP="00403193">
    <w:pPr>
      <w:pStyle w:val="Footer"/>
      <w:tabs>
        <w:tab w:val="clear" w:pos="9360"/>
      </w:tabs>
      <w:ind w:right="-360" w:hanging="360"/>
      <w:rPr>
        <w:rFonts w:ascii="Arial" w:hAnsi="Arial" w:cs="Arial"/>
        <w:sz w:val="22"/>
        <w:szCs w:val="20"/>
      </w:rPr>
    </w:pPr>
    <w:r w:rsidRPr="00DB594C">
      <w:rPr>
        <w:rFonts w:ascii="Arial" w:hAnsi="Arial" w:cs="Arial"/>
        <w:sz w:val="22"/>
        <w:szCs w:val="20"/>
      </w:rPr>
      <w:t>Transfusion Services Laboratory</w:t>
    </w:r>
    <w:r>
      <w:rPr>
        <w:rFonts w:ascii="Arial" w:hAnsi="Arial" w:cs="Arial"/>
        <w:sz w:val="22"/>
        <w:szCs w:val="20"/>
      </w:rPr>
      <w:t xml:space="preserve"> </w:t>
    </w:r>
    <w:r>
      <w:rPr>
        <w:rFonts w:ascii="Arial" w:hAnsi="Arial" w:cs="Arial"/>
        <w:sz w:val="22"/>
        <w:szCs w:val="20"/>
      </w:rPr>
      <w:tab/>
    </w:r>
    <w:r>
      <w:rPr>
        <w:rFonts w:ascii="Arial" w:hAnsi="Arial" w:cs="Arial"/>
        <w:sz w:val="22"/>
        <w:szCs w:val="20"/>
      </w:rPr>
      <w:tab/>
    </w:r>
    <w:r>
      <w:rPr>
        <w:rFonts w:ascii="Arial" w:hAnsi="Arial" w:cs="Arial"/>
        <w:sz w:val="22"/>
        <w:szCs w:val="20"/>
      </w:rPr>
      <w:tab/>
    </w:r>
    <w:r w:rsidRPr="00DB594C">
      <w:rPr>
        <w:rFonts w:ascii="Arial" w:hAnsi="Arial" w:cs="Arial"/>
        <w:sz w:val="22"/>
        <w:szCs w:val="20"/>
      </w:rPr>
      <w:tab/>
    </w:r>
    <w:r w:rsidRPr="00DB594C">
      <w:rPr>
        <w:rFonts w:ascii="Arial" w:hAnsi="Arial" w:cs="Arial"/>
        <w:sz w:val="22"/>
        <w:szCs w:val="20"/>
      </w:rPr>
      <w:tab/>
    </w:r>
    <w:r w:rsidRPr="00DB594C">
      <w:rPr>
        <w:rFonts w:ascii="Arial" w:hAnsi="Arial" w:cs="Arial"/>
        <w:sz w:val="22"/>
        <w:szCs w:val="20"/>
      </w:rPr>
      <w:tab/>
      <w:t xml:space="preserve">Page </w:t>
    </w:r>
    <w:r w:rsidRPr="00DB594C">
      <w:rPr>
        <w:rFonts w:ascii="Arial" w:hAnsi="Arial" w:cs="Arial"/>
        <w:sz w:val="22"/>
        <w:szCs w:val="20"/>
      </w:rPr>
      <w:fldChar w:fldCharType="begin"/>
    </w:r>
    <w:r w:rsidRPr="00DB594C">
      <w:rPr>
        <w:rFonts w:ascii="Arial" w:hAnsi="Arial" w:cs="Arial"/>
        <w:sz w:val="22"/>
        <w:szCs w:val="20"/>
      </w:rPr>
      <w:instrText xml:space="preserve"> PAGE </w:instrText>
    </w:r>
    <w:r w:rsidRPr="00DB594C">
      <w:rPr>
        <w:rFonts w:ascii="Arial" w:hAnsi="Arial" w:cs="Arial"/>
        <w:sz w:val="22"/>
        <w:szCs w:val="20"/>
      </w:rPr>
      <w:fldChar w:fldCharType="separate"/>
    </w:r>
    <w:r w:rsidR="00EE6308">
      <w:rPr>
        <w:rFonts w:ascii="Arial" w:hAnsi="Arial" w:cs="Arial"/>
        <w:noProof/>
        <w:sz w:val="22"/>
        <w:szCs w:val="20"/>
      </w:rPr>
      <w:t>2</w:t>
    </w:r>
    <w:r w:rsidRPr="00DB594C">
      <w:rPr>
        <w:rFonts w:ascii="Arial" w:hAnsi="Arial" w:cs="Arial"/>
        <w:sz w:val="22"/>
        <w:szCs w:val="20"/>
      </w:rPr>
      <w:fldChar w:fldCharType="end"/>
    </w:r>
    <w:r w:rsidRPr="00DB594C">
      <w:rPr>
        <w:rFonts w:ascii="Arial" w:hAnsi="Arial" w:cs="Arial"/>
        <w:sz w:val="22"/>
        <w:szCs w:val="20"/>
      </w:rPr>
      <w:t xml:space="preserve"> of </w:t>
    </w:r>
    <w:r w:rsidRPr="00DB594C">
      <w:rPr>
        <w:rFonts w:ascii="Arial" w:hAnsi="Arial" w:cs="Arial"/>
        <w:sz w:val="22"/>
        <w:szCs w:val="20"/>
      </w:rPr>
      <w:fldChar w:fldCharType="begin"/>
    </w:r>
    <w:r w:rsidRPr="00DB594C">
      <w:rPr>
        <w:rFonts w:ascii="Arial" w:hAnsi="Arial" w:cs="Arial"/>
        <w:sz w:val="22"/>
        <w:szCs w:val="20"/>
      </w:rPr>
      <w:instrText xml:space="preserve"> NUMPAGES </w:instrText>
    </w:r>
    <w:r w:rsidRPr="00DB594C">
      <w:rPr>
        <w:rFonts w:ascii="Arial" w:hAnsi="Arial" w:cs="Arial"/>
        <w:sz w:val="22"/>
        <w:szCs w:val="20"/>
      </w:rPr>
      <w:fldChar w:fldCharType="separate"/>
    </w:r>
    <w:r w:rsidR="00EE6308">
      <w:rPr>
        <w:rFonts w:ascii="Arial" w:hAnsi="Arial" w:cs="Arial"/>
        <w:noProof/>
        <w:sz w:val="22"/>
        <w:szCs w:val="20"/>
      </w:rPr>
      <w:t>3</w:t>
    </w:r>
    <w:r w:rsidRPr="00DB594C">
      <w:rPr>
        <w:rFonts w:ascii="Arial" w:hAnsi="Arial" w:cs="Arial"/>
        <w:sz w:val="22"/>
        <w:szCs w:val="20"/>
      </w:rPr>
      <w:fldChar w:fldCharType="end"/>
    </w:r>
  </w:p>
  <w:p w:rsidR="00403193" w:rsidRPr="00DB594C" w:rsidRDefault="00403193" w:rsidP="00403193">
    <w:pPr>
      <w:pStyle w:val="Footer"/>
      <w:tabs>
        <w:tab w:val="clear" w:pos="9360"/>
      </w:tabs>
      <w:ind w:hanging="360"/>
      <w:rPr>
        <w:rFonts w:ascii="Arial" w:hAnsi="Arial" w:cs="Arial"/>
        <w:sz w:val="22"/>
        <w:szCs w:val="20"/>
      </w:rPr>
    </w:pPr>
    <w:smartTag w:uri="urn:schemas-microsoft-com:office:smarttags" w:element="PlaceName">
      <w:smartTag w:uri="urn:schemas-microsoft-com:office:smarttags" w:element="place">
        <w:r w:rsidRPr="00DB594C">
          <w:rPr>
            <w:rFonts w:ascii="Arial" w:hAnsi="Arial" w:cs="Arial"/>
            <w:sz w:val="22"/>
            <w:szCs w:val="20"/>
          </w:rPr>
          <w:t>Harborview</w:t>
        </w:r>
      </w:smartTag>
      <w:r w:rsidRPr="00DB594C">
        <w:rPr>
          <w:rFonts w:ascii="Arial" w:hAnsi="Arial" w:cs="Arial"/>
          <w:sz w:val="22"/>
          <w:szCs w:val="20"/>
        </w:rPr>
        <w:t xml:space="preserve"> </w:t>
      </w:r>
      <w:smartTag w:uri="urn:schemas-microsoft-com:office:smarttags" w:element="PlaceName">
        <w:r w:rsidRPr="00DB594C">
          <w:rPr>
            <w:rFonts w:ascii="Arial" w:hAnsi="Arial" w:cs="Arial"/>
            <w:sz w:val="22"/>
            <w:szCs w:val="20"/>
          </w:rPr>
          <w:t>Medical</w:t>
        </w:r>
      </w:smartTag>
      <w:r w:rsidRPr="00DB594C">
        <w:rPr>
          <w:rFonts w:ascii="Arial" w:hAnsi="Arial" w:cs="Arial"/>
          <w:sz w:val="22"/>
          <w:szCs w:val="20"/>
        </w:rPr>
        <w:t xml:space="preserve"> </w:t>
      </w:r>
      <w:smartTag w:uri="urn:schemas-microsoft-com:office:smarttags" w:element="PlaceType">
        <w:r w:rsidRPr="00DB594C">
          <w:rPr>
            <w:rFonts w:ascii="Arial" w:hAnsi="Arial" w:cs="Arial"/>
            <w:sz w:val="22"/>
            <w:szCs w:val="20"/>
          </w:rPr>
          <w:t>Center</w:t>
        </w:r>
      </w:smartTag>
    </w:smartTag>
    <w:r w:rsidRPr="00DB594C">
      <w:rPr>
        <w:rFonts w:ascii="Arial" w:hAnsi="Arial" w:cs="Arial"/>
        <w:sz w:val="22"/>
        <w:szCs w:val="20"/>
      </w:rPr>
      <w:t xml:space="preserve">, </w:t>
    </w:r>
    <w:smartTag w:uri="urn:schemas-microsoft-com:office:smarttags" w:element="address">
      <w:smartTag w:uri="urn:schemas-microsoft-com:office:smarttags" w:element="Street">
        <w:r w:rsidRPr="00DB594C">
          <w:rPr>
            <w:rFonts w:ascii="Arial" w:hAnsi="Arial" w:cs="Arial"/>
            <w:sz w:val="22"/>
            <w:szCs w:val="20"/>
          </w:rPr>
          <w:t>325 Ninth Ave.</w:t>
        </w:r>
      </w:smartTag>
      <w:r w:rsidRPr="00DB594C">
        <w:rPr>
          <w:rFonts w:ascii="Arial" w:hAnsi="Arial" w:cs="Arial"/>
          <w:sz w:val="22"/>
          <w:szCs w:val="20"/>
        </w:rPr>
        <w:t xml:space="preserve"> </w:t>
      </w:r>
      <w:smartTag w:uri="urn:schemas-microsoft-com:office:smarttags" w:element="City">
        <w:r w:rsidRPr="00DB594C">
          <w:rPr>
            <w:rFonts w:ascii="Arial" w:hAnsi="Arial" w:cs="Arial"/>
            <w:sz w:val="22"/>
            <w:szCs w:val="20"/>
          </w:rPr>
          <w:t>Seattle</w:t>
        </w:r>
      </w:smartTag>
      <w:r w:rsidRPr="00DB594C">
        <w:rPr>
          <w:rFonts w:ascii="Arial" w:hAnsi="Arial" w:cs="Arial"/>
          <w:sz w:val="22"/>
          <w:szCs w:val="20"/>
        </w:rPr>
        <w:t xml:space="preserve">, </w:t>
      </w:r>
      <w:smartTag w:uri="urn:schemas-microsoft-com:office:smarttags" w:element="State">
        <w:r w:rsidRPr="00DB594C">
          <w:rPr>
            <w:rFonts w:ascii="Arial" w:hAnsi="Arial" w:cs="Arial"/>
            <w:sz w:val="22"/>
            <w:szCs w:val="20"/>
          </w:rPr>
          <w:t>WA</w:t>
        </w:r>
      </w:smartTag>
      <w:r w:rsidRPr="00DB594C">
        <w:rPr>
          <w:rFonts w:ascii="Arial" w:hAnsi="Arial" w:cs="Arial"/>
          <w:sz w:val="22"/>
          <w:szCs w:val="20"/>
        </w:rPr>
        <w:t xml:space="preserve"> </w:t>
      </w:r>
      <w:smartTag w:uri="urn:schemas-microsoft-com:office:smarttags" w:element="PostalCode">
        <w:r w:rsidRPr="00DB594C">
          <w:rPr>
            <w:rFonts w:ascii="Arial" w:hAnsi="Arial" w:cs="Arial"/>
            <w:sz w:val="22"/>
            <w:szCs w:val="20"/>
          </w:rPr>
          <w:t>98104</w:t>
        </w:r>
      </w:smartTag>
    </w:smartTag>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36" w:rsidRDefault="00B6013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136" w:rsidRDefault="00B60136" w:rsidP="005B4617">
      <w:r>
        <w:separator/>
      </w:r>
    </w:p>
  </w:footnote>
  <w:footnote w:type="continuationSeparator" w:id="0">
    <w:p w:rsidR="00B60136" w:rsidRDefault="00B60136" w:rsidP="005B4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36" w:rsidRPr="00403193" w:rsidRDefault="005D6A60" w:rsidP="005D6A60">
    <w:pPr>
      <w:rPr>
        <w:rFonts w:ascii="Arial" w:hAnsi="Arial" w:cs="Arial"/>
        <w:b/>
        <w:sz w:val="22"/>
        <w:szCs w:val="20"/>
      </w:rPr>
    </w:pPr>
    <w:r w:rsidRPr="00403193">
      <w:rPr>
        <w:rFonts w:ascii="Arial" w:hAnsi="Arial" w:cs="Arial"/>
        <w:b/>
        <w:sz w:val="22"/>
        <w:szCs w:val="20"/>
      </w:rPr>
      <w:t>TANGO Liquid Reagents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36" w:rsidRPr="001C32C4" w:rsidRDefault="000E3D5B" w:rsidP="001C32C4">
    <w:pPr>
      <w:ind w:hanging="360"/>
      <w:jc w:val="both"/>
      <w:rPr>
        <w:sz w:val="16"/>
        <w:szCs w:val="16"/>
      </w:rPr>
    </w:pPr>
    <w:r>
      <w:rPr>
        <w:rFonts w:ascii="Verdana" w:hAnsi="Verdana"/>
        <w:noProof/>
        <w:color w:val="0082D9"/>
        <w:sz w:val="17"/>
        <w:szCs w:val="17"/>
      </w:rPr>
      <w:drawing>
        <wp:inline distT="0" distB="0" distL="0" distR="0">
          <wp:extent cx="6362065" cy="671195"/>
          <wp:effectExtent l="0" t="0" r="635" b="0"/>
          <wp:docPr id="1" name="Picture 6"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2065" cy="671195"/>
                  </a:xfrm>
                  <a:prstGeom prst="rect">
                    <a:avLst/>
                  </a:prstGeom>
                  <a:noFill/>
                  <a:ln>
                    <a:noFill/>
                  </a:ln>
                </pic:spPr>
              </pic:pic>
            </a:graphicData>
          </a:graphic>
        </wp:inline>
      </w:drawing>
    </w: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B60136" w:rsidTr="009917BC">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B60136" w:rsidRPr="00DA4779" w:rsidRDefault="00B60136" w:rsidP="009917BC">
          <w:pPr>
            <w:rPr>
              <w:rFonts w:ascii="Arial" w:hAnsi="Arial" w:cs="Arial"/>
              <w:b/>
            </w:rPr>
          </w:pPr>
          <w:smartTag w:uri="urn:schemas-microsoft-com:office:smarttags" w:element="PlaceType">
            <w:smartTag w:uri="urn:schemas-microsoft-com:office:smarttags" w:element="place">
              <w:smartTag w:uri="urn:schemas-microsoft-com:office:smarttags" w:element="PlaceType">
                <w:r w:rsidRPr="00DA4779">
                  <w:rPr>
                    <w:rFonts w:ascii="Arial" w:hAnsi="Arial" w:cs="Arial"/>
                    <w:b/>
                    <w:sz w:val="22"/>
                    <w:szCs w:val="22"/>
                  </w:rPr>
                  <w:t>University</w:t>
                </w:r>
              </w:smartTag>
              <w:r w:rsidRPr="00DA4779">
                <w:rPr>
                  <w:rFonts w:ascii="Arial" w:hAnsi="Arial" w:cs="Arial"/>
                  <w:b/>
                  <w:sz w:val="22"/>
                  <w:szCs w:val="22"/>
                </w:rPr>
                <w:t xml:space="preserve"> of </w:t>
              </w:r>
              <w:smartTag w:uri="urn:schemas-microsoft-com:office:smarttags" w:element="PlaceName">
                <w:r w:rsidRPr="00DA4779">
                  <w:rPr>
                    <w:rFonts w:ascii="Arial" w:hAnsi="Arial" w:cs="Arial"/>
                    <w:b/>
                    <w:sz w:val="22"/>
                    <w:szCs w:val="22"/>
                  </w:rPr>
                  <w:t>Washington</w:t>
                </w:r>
              </w:smartTag>
            </w:smartTag>
          </w:smartTag>
          <w:r w:rsidRPr="00DA4779">
            <w:rPr>
              <w:rFonts w:ascii="Arial" w:hAnsi="Arial" w:cs="Arial"/>
              <w:b/>
              <w:sz w:val="22"/>
              <w:szCs w:val="22"/>
            </w:rPr>
            <w:t xml:space="preserve">, </w:t>
          </w:r>
        </w:p>
        <w:p w:rsidR="00B60136" w:rsidRPr="00DA4779" w:rsidRDefault="00B60136" w:rsidP="009917BC">
          <w:pPr>
            <w:rPr>
              <w:rFonts w:ascii="Arial" w:hAnsi="Arial" w:cs="Arial"/>
              <w:b/>
            </w:rPr>
          </w:pPr>
          <w:smartTag w:uri="urn:schemas-microsoft-com:office:smarttags" w:element="PlaceName">
            <w:smartTag w:uri="urn:schemas-microsoft-com:office:smarttags" w:element="place">
              <w:smartTag w:uri="urn:schemas-microsoft-com:office:smarttags" w:element="PlaceName">
                <w:r w:rsidRPr="00DA4779">
                  <w:rPr>
                    <w:rFonts w:ascii="Arial" w:hAnsi="Arial" w:cs="Arial"/>
                    <w:b/>
                    <w:sz w:val="22"/>
                    <w:szCs w:val="22"/>
                  </w:rPr>
                  <w:t>Harborview</w:t>
                </w:r>
              </w:smartTag>
              <w:r w:rsidRPr="00DA4779">
                <w:rPr>
                  <w:rFonts w:ascii="Arial" w:hAnsi="Arial" w:cs="Arial"/>
                  <w:b/>
                  <w:sz w:val="22"/>
                  <w:szCs w:val="22"/>
                </w:rPr>
                <w:t xml:space="preserve"> </w:t>
              </w:r>
              <w:smartTag w:uri="urn:schemas-microsoft-com:office:smarttags" w:element="PlaceName">
                <w:r w:rsidRPr="00DA4779">
                  <w:rPr>
                    <w:rFonts w:ascii="Arial" w:hAnsi="Arial" w:cs="Arial"/>
                    <w:b/>
                    <w:sz w:val="22"/>
                    <w:szCs w:val="22"/>
                  </w:rPr>
                  <w:t>Medical</w:t>
                </w:r>
              </w:smartTag>
              <w:r w:rsidRPr="00DA4779">
                <w:rPr>
                  <w:rFonts w:ascii="Arial" w:hAnsi="Arial" w:cs="Arial"/>
                  <w:b/>
                  <w:sz w:val="22"/>
                  <w:szCs w:val="22"/>
                </w:rPr>
                <w:t xml:space="preserve"> </w:t>
              </w:r>
              <w:smartTag w:uri="urn:schemas-microsoft-com:office:smarttags" w:element="PlaceType">
                <w:r w:rsidRPr="00DA4779">
                  <w:rPr>
                    <w:rFonts w:ascii="Arial" w:hAnsi="Arial" w:cs="Arial"/>
                    <w:b/>
                    <w:sz w:val="22"/>
                    <w:szCs w:val="22"/>
                  </w:rPr>
                  <w:t>Center</w:t>
                </w:r>
              </w:smartTag>
            </w:smartTag>
          </w:smartTag>
        </w:p>
        <w:p w:rsidR="00B60136" w:rsidRPr="00DA4779" w:rsidRDefault="00B60136" w:rsidP="009917BC">
          <w:pPr>
            <w:rPr>
              <w:rFonts w:ascii="Arial" w:hAnsi="Arial" w:cs="Arial"/>
              <w:b/>
            </w:rPr>
          </w:pPr>
          <w:smartTag w:uri="urn:schemas-microsoft-com:office:smarttags" w:element="Street">
            <w:r w:rsidRPr="00DA4779">
              <w:rPr>
                <w:rFonts w:ascii="Arial" w:hAnsi="Arial" w:cs="Arial"/>
                <w:b/>
                <w:sz w:val="22"/>
                <w:szCs w:val="22"/>
              </w:rPr>
              <w:t>325 9</w:t>
            </w:r>
            <w:r w:rsidRPr="00DA4779">
              <w:rPr>
                <w:rFonts w:ascii="Arial" w:hAnsi="Arial" w:cs="Arial"/>
                <w:b/>
                <w:sz w:val="22"/>
                <w:szCs w:val="22"/>
                <w:vertAlign w:val="superscript"/>
              </w:rPr>
              <w:t>th</w:t>
            </w:r>
            <w:r w:rsidRPr="00DA4779">
              <w:rPr>
                <w:rFonts w:ascii="Arial" w:hAnsi="Arial" w:cs="Arial"/>
                <w:b/>
                <w:sz w:val="22"/>
                <w:szCs w:val="22"/>
              </w:rPr>
              <w:t xml:space="preserve"> Ave.</w:t>
            </w:r>
          </w:smartTag>
          <w:r w:rsidRPr="00DA4779">
            <w:rPr>
              <w:rFonts w:ascii="Arial" w:hAnsi="Arial" w:cs="Arial"/>
              <w:b/>
              <w:sz w:val="22"/>
              <w:szCs w:val="22"/>
            </w:rPr>
            <w:t xml:space="preserve"> </w:t>
          </w:r>
          <w:smartTag w:uri="urn:schemas-microsoft-com:office:smarttags" w:element="PostalCode">
            <w:smartTag w:uri="urn:schemas-microsoft-com:office:smarttags" w:element="City">
              <w:r w:rsidRPr="00DA4779">
                <w:rPr>
                  <w:rFonts w:ascii="Arial" w:hAnsi="Arial" w:cs="Arial"/>
                  <w:b/>
                  <w:sz w:val="22"/>
                  <w:szCs w:val="22"/>
                </w:rPr>
                <w:t>Seattle</w:t>
              </w:r>
            </w:smartTag>
          </w:smartTag>
          <w:r w:rsidRPr="00DA4779">
            <w:rPr>
              <w:rFonts w:ascii="Arial" w:hAnsi="Arial" w:cs="Arial"/>
              <w:b/>
              <w:sz w:val="22"/>
              <w:szCs w:val="22"/>
            </w:rPr>
            <w:t xml:space="preserve">, </w:t>
          </w:r>
          <w:smartTag w:uri="urn:schemas-microsoft-com:office:smarttags" w:element="PostalCode">
            <w:smartTag w:uri="urn:schemas-microsoft-com:office:smarttags" w:element="State">
              <w:r w:rsidRPr="00DA4779">
                <w:rPr>
                  <w:rFonts w:ascii="Arial" w:hAnsi="Arial" w:cs="Arial"/>
                  <w:b/>
                  <w:sz w:val="22"/>
                  <w:szCs w:val="22"/>
                </w:rPr>
                <w:t>WA</w:t>
              </w:r>
            </w:smartTag>
          </w:smartTag>
          <w:r w:rsidRPr="00DA4779">
            <w:rPr>
              <w:rFonts w:ascii="Arial" w:hAnsi="Arial" w:cs="Arial"/>
              <w:b/>
              <w:sz w:val="22"/>
              <w:szCs w:val="22"/>
            </w:rPr>
            <w:t xml:space="preserve">,  </w:t>
          </w:r>
          <w:smartTag w:uri="urn:schemas-microsoft-com:office:smarttags" w:element="PostalCode">
            <w:r w:rsidRPr="00DA4779">
              <w:rPr>
                <w:rFonts w:ascii="Arial" w:hAnsi="Arial" w:cs="Arial"/>
                <w:b/>
                <w:sz w:val="22"/>
                <w:szCs w:val="22"/>
              </w:rPr>
              <w:t>98104</w:t>
            </w:r>
          </w:smartTag>
        </w:p>
        <w:p w:rsidR="00B60136" w:rsidRPr="00DA4779" w:rsidRDefault="00B60136" w:rsidP="009917BC">
          <w:pPr>
            <w:rPr>
              <w:rFonts w:ascii="Arial" w:hAnsi="Arial" w:cs="Arial"/>
              <w:b/>
            </w:rPr>
          </w:pPr>
          <w:r w:rsidRPr="00DA4779">
            <w:rPr>
              <w:rFonts w:ascii="Arial" w:hAnsi="Arial" w:cs="Arial"/>
              <w:b/>
              <w:sz w:val="22"/>
              <w:szCs w:val="22"/>
            </w:rPr>
            <w:t>Transfusion Services Laboratory</w:t>
          </w:r>
        </w:p>
        <w:p w:rsidR="00B60136" w:rsidRPr="00DA4779" w:rsidRDefault="00B60136" w:rsidP="009917BC">
          <w:pPr>
            <w:rPr>
              <w:rFonts w:ascii="Arial" w:hAnsi="Arial" w:cs="Arial"/>
              <w:b/>
            </w:rPr>
          </w:pPr>
          <w:r w:rsidRPr="00DA4779">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B60136" w:rsidRPr="00A57370" w:rsidRDefault="00B60136" w:rsidP="009917BC">
          <w:pPr>
            <w:rPr>
              <w:rFonts w:ascii="Arial" w:hAnsi="Arial" w:cs="Arial"/>
              <w:b/>
            </w:rPr>
          </w:pPr>
          <w:r w:rsidRPr="00A57370">
            <w:rPr>
              <w:rFonts w:ascii="Arial" w:hAnsi="Arial" w:cs="Arial"/>
              <w:b/>
              <w:sz w:val="22"/>
              <w:szCs w:val="22"/>
            </w:rPr>
            <w:t>Original Effective Date:</w:t>
          </w:r>
        </w:p>
        <w:p w:rsidR="00B60136" w:rsidRPr="00A57370" w:rsidRDefault="00B60136" w:rsidP="009917BC">
          <w:pPr>
            <w:jc w:val="both"/>
            <w:rPr>
              <w:rFonts w:ascii="Arial" w:hAnsi="Arial" w:cs="Arial"/>
              <w:b/>
            </w:rPr>
          </w:pPr>
          <w:r w:rsidRPr="00A57370">
            <w:rPr>
              <w:rFonts w:ascii="Arial" w:hAnsi="Arial" w:cs="Arial"/>
              <w:b/>
              <w:sz w:val="22"/>
              <w:szCs w:val="22"/>
            </w:rPr>
            <w:t>April 1st 2011</w:t>
          </w:r>
        </w:p>
      </w:tc>
      <w:tc>
        <w:tcPr>
          <w:tcW w:w="2251" w:type="dxa"/>
          <w:tcBorders>
            <w:top w:val="double" w:sz="4" w:space="0" w:color="auto"/>
            <w:left w:val="nil"/>
            <w:bottom w:val="nil"/>
          </w:tcBorders>
        </w:tcPr>
        <w:p w:rsidR="00B60136" w:rsidRPr="00A57370" w:rsidRDefault="00B60136" w:rsidP="009917BC">
          <w:pPr>
            <w:jc w:val="both"/>
            <w:rPr>
              <w:rFonts w:ascii="Arial" w:hAnsi="Arial" w:cs="Arial"/>
              <w:b/>
            </w:rPr>
          </w:pPr>
          <w:r w:rsidRPr="00A57370">
            <w:rPr>
              <w:rFonts w:ascii="Arial" w:hAnsi="Arial" w:cs="Arial"/>
              <w:b/>
              <w:sz w:val="22"/>
              <w:szCs w:val="22"/>
            </w:rPr>
            <w:t xml:space="preserve">Number: </w:t>
          </w:r>
        </w:p>
        <w:p w:rsidR="00B60136" w:rsidRPr="00A57370" w:rsidRDefault="005D6A60" w:rsidP="00A57370">
          <w:pPr>
            <w:tabs>
              <w:tab w:val="left" w:pos="1241"/>
            </w:tabs>
            <w:jc w:val="both"/>
            <w:rPr>
              <w:rFonts w:ascii="Arial" w:hAnsi="Arial" w:cs="Arial"/>
              <w:b/>
              <w:sz w:val="20"/>
              <w:szCs w:val="20"/>
            </w:rPr>
          </w:pPr>
          <w:r w:rsidRPr="00A57370">
            <w:rPr>
              <w:rFonts w:ascii="Arial" w:hAnsi="Arial" w:cs="Arial"/>
              <w:b/>
              <w:sz w:val="20"/>
              <w:szCs w:val="20"/>
            </w:rPr>
            <w:t>5506-2</w:t>
          </w:r>
          <w:r w:rsidR="00A57370" w:rsidRPr="00A57370">
            <w:rPr>
              <w:rFonts w:ascii="Arial" w:hAnsi="Arial" w:cs="Arial"/>
              <w:b/>
              <w:sz w:val="20"/>
              <w:szCs w:val="20"/>
            </w:rPr>
            <w:tab/>
          </w:r>
        </w:p>
      </w:tc>
    </w:tr>
    <w:tr w:rsidR="00B60136" w:rsidTr="009917BC">
      <w:trPr>
        <w:cantSplit/>
        <w:trHeight w:val="132"/>
        <w:jc w:val="center"/>
      </w:trPr>
      <w:tc>
        <w:tcPr>
          <w:tcW w:w="5175" w:type="dxa"/>
          <w:vMerge/>
          <w:tcBorders>
            <w:top w:val="nil"/>
            <w:bottom w:val="single" w:sz="4" w:space="0" w:color="auto"/>
            <w:right w:val="single" w:sz="4" w:space="0" w:color="auto"/>
          </w:tcBorders>
        </w:tcPr>
        <w:p w:rsidR="00B60136" w:rsidRPr="00DA4779" w:rsidRDefault="00B60136" w:rsidP="009917BC">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B60136" w:rsidRPr="00A57370" w:rsidRDefault="00B60136" w:rsidP="009917BC">
          <w:pPr>
            <w:jc w:val="both"/>
            <w:rPr>
              <w:rFonts w:ascii="Arial" w:hAnsi="Arial" w:cs="Arial"/>
              <w:b/>
            </w:rPr>
          </w:pPr>
          <w:r w:rsidRPr="00A57370">
            <w:rPr>
              <w:rFonts w:ascii="Arial" w:hAnsi="Arial" w:cs="Arial"/>
              <w:b/>
              <w:sz w:val="22"/>
              <w:szCs w:val="22"/>
            </w:rPr>
            <w:t>Revision Effective Date:</w:t>
          </w:r>
        </w:p>
        <w:p w:rsidR="00B60136" w:rsidRPr="00A57370" w:rsidRDefault="00233395" w:rsidP="000E3D5B">
          <w:pPr>
            <w:jc w:val="both"/>
            <w:rPr>
              <w:rFonts w:ascii="Arial" w:hAnsi="Arial" w:cs="Arial"/>
            </w:rPr>
          </w:pPr>
          <w:r w:rsidRPr="00A57370">
            <w:rPr>
              <w:rFonts w:ascii="Arial" w:hAnsi="Arial" w:cs="Arial"/>
              <w:sz w:val="22"/>
            </w:rPr>
            <w:t>6</w:t>
          </w:r>
          <w:r w:rsidR="000E3D5B" w:rsidRPr="00A57370">
            <w:rPr>
              <w:rFonts w:ascii="Arial" w:hAnsi="Arial" w:cs="Arial"/>
              <w:sz w:val="22"/>
            </w:rPr>
            <w:t>/15/15</w:t>
          </w:r>
        </w:p>
      </w:tc>
      <w:tc>
        <w:tcPr>
          <w:tcW w:w="2251" w:type="dxa"/>
          <w:tcBorders>
            <w:top w:val="single" w:sz="4" w:space="0" w:color="auto"/>
            <w:left w:val="nil"/>
            <w:bottom w:val="single" w:sz="4" w:space="0" w:color="auto"/>
          </w:tcBorders>
        </w:tcPr>
        <w:p w:rsidR="00B60136" w:rsidRPr="00A57370" w:rsidRDefault="00B60136" w:rsidP="009917BC">
          <w:pPr>
            <w:jc w:val="both"/>
            <w:rPr>
              <w:rFonts w:ascii="Arial" w:hAnsi="Arial" w:cs="Arial"/>
              <w:b/>
            </w:rPr>
          </w:pPr>
          <w:r w:rsidRPr="00A57370">
            <w:rPr>
              <w:rFonts w:ascii="Arial" w:hAnsi="Arial" w:cs="Arial"/>
              <w:b/>
              <w:sz w:val="22"/>
              <w:szCs w:val="22"/>
            </w:rPr>
            <w:t xml:space="preserve">Pages: </w:t>
          </w:r>
          <w:r w:rsidR="000A0926" w:rsidRPr="00A57370">
            <w:rPr>
              <w:rFonts w:ascii="Arial" w:hAnsi="Arial" w:cs="Arial"/>
              <w:b/>
              <w:sz w:val="22"/>
              <w:szCs w:val="22"/>
            </w:rPr>
            <w:t>3</w:t>
          </w:r>
        </w:p>
      </w:tc>
    </w:tr>
    <w:tr w:rsidR="00B60136" w:rsidTr="009917BC">
      <w:trPr>
        <w:cantSplit/>
        <w:trHeight w:val="590"/>
        <w:jc w:val="center"/>
      </w:trPr>
      <w:tc>
        <w:tcPr>
          <w:tcW w:w="10173" w:type="dxa"/>
          <w:gridSpan w:val="3"/>
          <w:tcBorders>
            <w:top w:val="nil"/>
            <w:bottom w:val="double" w:sz="4" w:space="0" w:color="auto"/>
          </w:tcBorders>
          <w:vAlign w:val="center"/>
        </w:tcPr>
        <w:p w:rsidR="00B60136" w:rsidRPr="001C32C4" w:rsidRDefault="00B60136" w:rsidP="005D6A60">
          <w:pPr>
            <w:rPr>
              <w:rFonts w:ascii="Arial" w:hAnsi="Arial" w:cs="Arial"/>
              <w:sz w:val="28"/>
              <w:szCs w:val="28"/>
            </w:rPr>
          </w:pPr>
          <w:r w:rsidRPr="001C32C4">
            <w:rPr>
              <w:rFonts w:ascii="Arial" w:hAnsi="Arial" w:cs="Arial"/>
              <w:sz w:val="28"/>
              <w:szCs w:val="28"/>
            </w:rPr>
            <w:t xml:space="preserve">TITLE: </w:t>
          </w:r>
          <w:r w:rsidRPr="00403193">
            <w:rPr>
              <w:rFonts w:ascii="Arial" w:hAnsi="Arial" w:cs="Arial"/>
              <w:b/>
              <w:sz w:val="28"/>
              <w:szCs w:val="28"/>
            </w:rPr>
            <w:t xml:space="preserve">Tango </w:t>
          </w:r>
          <w:r w:rsidR="005D6A60" w:rsidRPr="00403193">
            <w:rPr>
              <w:rFonts w:ascii="Arial" w:hAnsi="Arial" w:cs="Arial"/>
              <w:b/>
              <w:sz w:val="28"/>
              <w:szCs w:val="28"/>
            </w:rPr>
            <w:t xml:space="preserve">Liquid </w:t>
          </w:r>
          <w:r w:rsidRPr="00403193">
            <w:rPr>
              <w:rFonts w:ascii="Arial" w:hAnsi="Arial" w:cs="Arial"/>
              <w:b/>
              <w:sz w:val="28"/>
              <w:szCs w:val="28"/>
            </w:rPr>
            <w:t>Reagent</w:t>
          </w:r>
          <w:r w:rsidR="005D6A60" w:rsidRPr="00403193">
            <w:rPr>
              <w:rFonts w:ascii="Arial" w:hAnsi="Arial" w:cs="Arial"/>
              <w:b/>
              <w:sz w:val="28"/>
              <w:szCs w:val="28"/>
            </w:rPr>
            <w:t>s</w:t>
          </w:r>
        </w:p>
      </w:tc>
    </w:tr>
  </w:tbl>
  <w:p w:rsidR="00B60136" w:rsidRDefault="00B601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45E8"/>
    <w:multiLevelType w:val="hybridMultilevel"/>
    <w:tmpl w:val="AA1A5976"/>
    <w:lvl w:ilvl="0" w:tplc="86EA24B0">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276DC"/>
    <w:multiLevelType w:val="hybridMultilevel"/>
    <w:tmpl w:val="5BBE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B509A"/>
    <w:multiLevelType w:val="multilevel"/>
    <w:tmpl w:val="E930655E"/>
    <w:lvl w:ilvl="0">
      <w:start w:val="1"/>
      <w:numFmt w:val="upperLetter"/>
      <w:lvlText w:val="%1."/>
      <w:lvlJc w:val="left"/>
      <w:pPr>
        <w:tabs>
          <w:tab w:val="num" w:pos="720"/>
        </w:tabs>
        <w:ind w:left="1080" w:hanging="108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10EF5356"/>
    <w:multiLevelType w:val="hybridMultilevel"/>
    <w:tmpl w:val="BA2C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014C0"/>
    <w:multiLevelType w:val="hybridMultilevel"/>
    <w:tmpl w:val="C66CB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0266F1"/>
    <w:multiLevelType w:val="hybridMultilevel"/>
    <w:tmpl w:val="D7440AA8"/>
    <w:lvl w:ilvl="0" w:tplc="480ECB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B1157A"/>
    <w:multiLevelType w:val="hybridMultilevel"/>
    <w:tmpl w:val="AE3A9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3D2019F"/>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14CF0249"/>
    <w:multiLevelType w:val="hybridMultilevel"/>
    <w:tmpl w:val="6CF67D42"/>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3">
      <w:start w:val="1"/>
      <w:numFmt w:val="bullet"/>
      <w:lvlText w:val="o"/>
      <w:lvlJc w:val="left"/>
      <w:pPr>
        <w:ind w:left="3240" w:hanging="360"/>
      </w:pPr>
      <w:rPr>
        <w:rFonts w:ascii="Courier New" w:hAnsi="Courier New"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2E4347"/>
    <w:multiLevelType w:val="hybridMultilevel"/>
    <w:tmpl w:val="54BAE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F030DC"/>
    <w:multiLevelType w:val="hybridMultilevel"/>
    <w:tmpl w:val="59D0FA4E"/>
    <w:lvl w:ilvl="0" w:tplc="2BF84022">
      <w:start w:val="1"/>
      <w:numFmt w:val="bullet"/>
      <w:lvlText w:val="o"/>
      <w:lvlJc w:val="left"/>
      <w:pPr>
        <w:tabs>
          <w:tab w:val="num" w:pos="1080"/>
        </w:tabs>
        <w:ind w:left="1080" w:hanging="360"/>
      </w:pPr>
      <w:rPr>
        <w:rFonts w:ascii="Courier New" w:hAnsi="Courier New" w:cs="Courier New"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CDE21E8"/>
    <w:multiLevelType w:val="hybridMultilevel"/>
    <w:tmpl w:val="265E4ED6"/>
    <w:lvl w:ilvl="0" w:tplc="FD845350">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DF56504"/>
    <w:multiLevelType w:val="hybridMultilevel"/>
    <w:tmpl w:val="B1E67788"/>
    <w:lvl w:ilvl="0" w:tplc="2D2E91A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F6140C"/>
    <w:multiLevelType w:val="hybridMultilevel"/>
    <w:tmpl w:val="4D6A5C04"/>
    <w:lvl w:ilvl="0" w:tplc="80C8F5CC">
      <w:start w:val="1"/>
      <w:numFmt w:val="bullet"/>
      <w:lvlText w:val="o"/>
      <w:lvlJc w:val="left"/>
      <w:pPr>
        <w:ind w:left="720" w:hanging="360"/>
      </w:pPr>
      <w:rPr>
        <w:rFonts w:ascii="Courier New" w:hAnsi="Courier New" w:cs="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AE0024"/>
    <w:multiLevelType w:val="hybridMultilevel"/>
    <w:tmpl w:val="DCF8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FD6B3D"/>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2C7D66CB"/>
    <w:multiLevelType w:val="hybridMultilevel"/>
    <w:tmpl w:val="87868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D294693"/>
    <w:multiLevelType w:val="hybridMultilevel"/>
    <w:tmpl w:val="C5FA995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0A77B2"/>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2F1F62A7"/>
    <w:multiLevelType w:val="hybridMultilevel"/>
    <w:tmpl w:val="551C9C82"/>
    <w:lvl w:ilvl="0" w:tplc="D7183FB4">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144301E"/>
    <w:multiLevelType w:val="hybridMultilevel"/>
    <w:tmpl w:val="BDA0359C"/>
    <w:lvl w:ilvl="0" w:tplc="16E2590C">
      <w:start w:val="1"/>
      <w:numFmt w:val="bullet"/>
      <w:lvlText w:val=""/>
      <w:lvlJc w:val="left"/>
      <w:pPr>
        <w:ind w:left="1800" w:hanging="360"/>
      </w:pPr>
      <w:rPr>
        <w:rFonts w:ascii="Symbol" w:hAnsi="Symbol"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9A07D94"/>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3DAC1FE6"/>
    <w:multiLevelType w:val="hybridMultilevel"/>
    <w:tmpl w:val="068ECCC2"/>
    <w:lvl w:ilvl="0" w:tplc="CF1C1DEE">
      <w:start w:val="1"/>
      <w:numFmt w:val="bullet"/>
      <w:lvlText w:val=""/>
      <w:lvlJc w:val="left"/>
      <w:pPr>
        <w:ind w:left="360" w:hanging="360"/>
      </w:pPr>
      <w:rPr>
        <w:rFonts w:ascii="Symbol" w:hAnsi="Symbol" w:hint="default"/>
        <w:sz w:val="22"/>
      </w:rPr>
    </w:lvl>
    <w:lvl w:ilvl="1" w:tplc="36641492">
      <w:start w:val="1"/>
      <w:numFmt w:val="bullet"/>
      <w:lvlText w:val="o"/>
      <w:lvlJc w:val="left"/>
      <w:pPr>
        <w:ind w:left="1080" w:hanging="360"/>
      </w:pPr>
      <w:rPr>
        <w:rFonts w:ascii="Courier New" w:hAnsi="Courier New" w:cs="Courier New" w:hint="default"/>
        <w:sz w:val="2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EB61628"/>
    <w:multiLevelType w:val="hybridMultilevel"/>
    <w:tmpl w:val="52CC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0952A6"/>
    <w:multiLevelType w:val="hybridMultilevel"/>
    <w:tmpl w:val="03D0C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857E74"/>
    <w:multiLevelType w:val="hybridMultilevel"/>
    <w:tmpl w:val="E40A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B916D1"/>
    <w:multiLevelType w:val="multilevel"/>
    <w:tmpl w:val="A3906A54"/>
    <w:lvl w:ilvl="0">
      <w:start w:val="1"/>
      <w:numFmt w:val="upperLetter"/>
      <w:lvlText w:val="%1."/>
      <w:lvlJc w:val="left"/>
      <w:pPr>
        <w:tabs>
          <w:tab w:val="num" w:pos="720"/>
        </w:tabs>
        <w:ind w:left="720" w:hanging="720"/>
      </w:pPr>
      <w:rPr>
        <w:rFonts w:cs="Times New Roman" w:hint="default"/>
      </w:rPr>
    </w:lvl>
    <w:lvl w:ilvl="1">
      <w:start w:val="1"/>
      <w:numFmt w:val="bullet"/>
      <w:lvlText w:val=""/>
      <w:lvlJc w:val="left"/>
      <w:pPr>
        <w:tabs>
          <w:tab w:val="num" w:pos="0"/>
        </w:tabs>
        <w:ind w:left="36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448D18C7"/>
    <w:multiLevelType w:val="hybridMultilevel"/>
    <w:tmpl w:val="6446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9A1D2D"/>
    <w:multiLevelType w:val="hybridMultilevel"/>
    <w:tmpl w:val="F5C40FA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4576716C"/>
    <w:multiLevelType w:val="hybridMultilevel"/>
    <w:tmpl w:val="373C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8106AB"/>
    <w:multiLevelType w:val="hybridMultilevel"/>
    <w:tmpl w:val="F47868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48507222"/>
    <w:multiLevelType w:val="hybridMultilevel"/>
    <w:tmpl w:val="AA92243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DA863B6"/>
    <w:multiLevelType w:val="hybridMultilevel"/>
    <w:tmpl w:val="0CEA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53239A"/>
    <w:multiLevelType w:val="hybridMultilevel"/>
    <w:tmpl w:val="EB968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CEB7FFE"/>
    <w:multiLevelType w:val="hybridMultilevel"/>
    <w:tmpl w:val="11DA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EA0FB6"/>
    <w:multiLevelType w:val="multilevel"/>
    <w:tmpl w:val="CC567BD6"/>
    <w:lvl w:ilvl="0">
      <w:start w:val="1"/>
      <w:numFmt w:val="upperLetter"/>
      <w:lvlText w:val="%1."/>
      <w:lvlJc w:val="left"/>
      <w:pPr>
        <w:tabs>
          <w:tab w:val="num" w:pos="720"/>
        </w:tabs>
        <w:ind w:left="720" w:hanging="720"/>
      </w:pPr>
      <w:rPr>
        <w:rFonts w:cs="Times New Roman" w:hint="default"/>
      </w:rPr>
    </w:lvl>
    <w:lvl w:ilvl="1">
      <w:start w:val="1"/>
      <w:numFmt w:val="bullet"/>
      <w:lvlText w:val=""/>
      <w:lvlJc w:val="left"/>
      <w:pPr>
        <w:tabs>
          <w:tab w:val="num" w:pos="0"/>
        </w:tabs>
        <w:ind w:left="36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611D5A0D"/>
    <w:multiLevelType w:val="hybridMultilevel"/>
    <w:tmpl w:val="937E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2C0845"/>
    <w:multiLevelType w:val="multilevel"/>
    <w:tmpl w:val="D130D5A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560"/>
        </w:tabs>
        <w:ind w:left="156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5665124"/>
    <w:multiLevelType w:val="hybridMultilevel"/>
    <w:tmpl w:val="3A426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59439B4"/>
    <w:multiLevelType w:val="hybridMultilevel"/>
    <w:tmpl w:val="B210B52A"/>
    <w:lvl w:ilvl="0" w:tplc="AF26D09C">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560"/>
        </w:tabs>
        <w:ind w:left="156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684C7389"/>
    <w:multiLevelType w:val="hybridMultilevel"/>
    <w:tmpl w:val="58B4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FF221A"/>
    <w:multiLevelType w:val="hybridMultilevel"/>
    <w:tmpl w:val="6B9EE5E8"/>
    <w:lvl w:ilvl="0" w:tplc="B198BDFE">
      <w:start w:val="1"/>
      <w:numFmt w:val="bullet"/>
      <w:lvlText w:val=""/>
      <w:lvlJc w:val="left"/>
      <w:pPr>
        <w:ind w:left="360" w:hanging="360"/>
      </w:pPr>
      <w:rPr>
        <w:rFonts w:ascii="Symbol" w:hAnsi="Symbol" w:hint="default"/>
        <w:sz w:val="22"/>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A1046D8"/>
    <w:multiLevelType w:val="hybridMultilevel"/>
    <w:tmpl w:val="41966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1A47777"/>
    <w:multiLevelType w:val="hybridMultilevel"/>
    <w:tmpl w:val="7E9CB052"/>
    <w:lvl w:ilvl="0" w:tplc="5A061E7E">
      <w:start w:val="1"/>
      <w:numFmt w:val="bullet"/>
      <w:lvlText w:val=""/>
      <w:lvlJc w:val="left"/>
      <w:pPr>
        <w:ind w:left="360" w:hanging="360"/>
      </w:pPr>
      <w:rPr>
        <w:rFonts w:ascii="Symbol" w:hAnsi="Symbol" w:hint="default"/>
        <w:sz w:val="22"/>
      </w:rPr>
    </w:lvl>
    <w:lvl w:ilvl="1" w:tplc="E0E65C6C">
      <w:start w:val="1"/>
      <w:numFmt w:val="bullet"/>
      <w:lvlText w:val="o"/>
      <w:lvlJc w:val="left"/>
      <w:pPr>
        <w:ind w:left="1080" w:hanging="360"/>
      </w:pPr>
      <w:rPr>
        <w:rFonts w:ascii="Courier New" w:hAnsi="Courier New" w:cs="Courier New" w:hint="default"/>
        <w:sz w:val="2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BA836D2"/>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7F1F20E7"/>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7F5656AF"/>
    <w:multiLevelType w:val="multilevel"/>
    <w:tmpl w:val="A3906A54"/>
    <w:lvl w:ilvl="0">
      <w:start w:val="1"/>
      <w:numFmt w:val="upperLetter"/>
      <w:lvlText w:val="%1."/>
      <w:lvlJc w:val="left"/>
      <w:pPr>
        <w:tabs>
          <w:tab w:val="num" w:pos="720"/>
        </w:tabs>
        <w:ind w:left="720" w:hanging="720"/>
      </w:pPr>
      <w:rPr>
        <w:rFonts w:cs="Times New Roman" w:hint="default"/>
      </w:rPr>
    </w:lvl>
    <w:lvl w:ilvl="1">
      <w:start w:val="1"/>
      <w:numFmt w:val="bullet"/>
      <w:lvlText w:val=""/>
      <w:lvlJc w:val="left"/>
      <w:pPr>
        <w:tabs>
          <w:tab w:val="num" w:pos="0"/>
        </w:tabs>
        <w:ind w:left="36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
  </w:num>
  <w:num w:numId="2">
    <w:abstractNumId w:val="44"/>
  </w:num>
  <w:num w:numId="3">
    <w:abstractNumId w:val="18"/>
  </w:num>
  <w:num w:numId="4">
    <w:abstractNumId w:val="45"/>
  </w:num>
  <w:num w:numId="5">
    <w:abstractNumId w:val="21"/>
  </w:num>
  <w:num w:numId="6">
    <w:abstractNumId w:val="15"/>
  </w:num>
  <w:num w:numId="7">
    <w:abstractNumId w:val="26"/>
  </w:num>
  <w:num w:numId="8">
    <w:abstractNumId w:val="9"/>
  </w:num>
  <w:num w:numId="9">
    <w:abstractNumId w:val="29"/>
  </w:num>
  <w:num w:numId="10">
    <w:abstractNumId w:val="40"/>
  </w:num>
  <w:num w:numId="11">
    <w:abstractNumId w:val="35"/>
  </w:num>
  <w:num w:numId="12">
    <w:abstractNumId w:val="38"/>
  </w:num>
  <w:num w:numId="13">
    <w:abstractNumId w:val="17"/>
  </w:num>
  <w:num w:numId="14">
    <w:abstractNumId w:val="4"/>
  </w:num>
  <w:num w:numId="15">
    <w:abstractNumId w:val="46"/>
  </w:num>
  <w:num w:numId="16">
    <w:abstractNumId w:val="31"/>
  </w:num>
  <w:num w:numId="17">
    <w:abstractNumId w:val="27"/>
  </w:num>
  <w:num w:numId="18">
    <w:abstractNumId w:val="36"/>
  </w:num>
  <w:num w:numId="19">
    <w:abstractNumId w:val="25"/>
  </w:num>
  <w:num w:numId="20">
    <w:abstractNumId w:val="16"/>
  </w:num>
  <w:num w:numId="21">
    <w:abstractNumId w:val="34"/>
  </w:num>
  <w:num w:numId="22">
    <w:abstractNumId w:val="7"/>
  </w:num>
  <w:num w:numId="23">
    <w:abstractNumId w:val="32"/>
  </w:num>
  <w:num w:numId="24">
    <w:abstractNumId w:val="23"/>
  </w:num>
  <w:num w:numId="25">
    <w:abstractNumId w:val="8"/>
  </w:num>
  <w:num w:numId="26">
    <w:abstractNumId w:val="24"/>
  </w:num>
  <w:num w:numId="27">
    <w:abstractNumId w:val="33"/>
  </w:num>
  <w:num w:numId="28">
    <w:abstractNumId w:val="39"/>
  </w:num>
  <w:num w:numId="29">
    <w:abstractNumId w:val="10"/>
  </w:num>
  <w:num w:numId="30">
    <w:abstractNumId w:val="37"/>
  </w:num>
  <w:num w:numId="31">
    <w:abstractNumId w:val="30"/>
  </w:num>
  <w:num w:numId="32">
    <w:abstractNumId w:val="14"/>
  </w:num>
  <w:num w:numId="33">
    <w:abstractNumId w:val="3"/>
  </w:num>
  <w:num w:numId="34">
    <w:abstractNumId w:val="5"/>
  </w:num>
  <w:num w:numId="35">
    <w:abstractNumId w:val="0"/>
  </w:num>
  <w:num w:numId="36">
    <w:abstractNumId w:val="28"/>
  </w:num>
  <w:num w:numId="37">
    <w:abstractNumId w:val="6"/>
  </w:num>
  <w:num w:numId="38">
    <w:abstractNumId w:val="42"/>
  </w:num>
  <w:num w:numId="39">
    <w:abstractNumId w:val="19"/>
  </w:num>
  <w:num w:numId="40">
    <w:abstractNumId w:val="43"/>
  </w:num>
  <w:num w:numId="41">
    <w:abstractNumId w:val="22"/>
  </w:num>
  <w:num w:numId="42">
    <w:abstractNumId w:val="11"/>
  </w:num>
  <w:num w:numId="43">
    <w:abstractNumId w:val="41"/>
  </w:num>
  <w:num w:numId="44">
    <w:abstractNumId w:val="13"/>
  </w:num>
  <w:num w:numId="45">
    <w:abstractNumId w:val="20"/>
  </w:num>
  <w:num w:numId="46">
    <w:abstractNumId w:val="12"/>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617"/>
    <w:rsid w:val="000054DB"/>
    <w:rsid w:val="00013C43"/>
    <w:rsid w:val="00020C51"/>
    <w:rsid w:val="0004078D"/>
    <w:rsid w:val="000614D9"/>
    <w:rsid w:val="00063062"/>
    <w:rsid w:val="0006575D"/>
    <w:rsid w:val="00067AC5"/>
    <w:rsid w:val="00085A34"/>
    <w:rsid w:val="000A0926"/>
    <w:rsid w:val="000A5BB3"/>
    <w:rsid w:val="000C0429"/>
    <w:rsid w:val="000E3D5B"/>
    <w:rsid w:val="000F5CCD"/>
    <w:rsid w:val="0013118A"/>
    <w:rsid w:val="00132B4B"/>
    <w:rsid w:val="00135D76"/>
    <w:rsid w:val="00136256"/>
    <w:rsid w:val="0018416C"/>
    <w:rsid w:val="001C32C4"/>
    <w:rsid w:val="00233395"/>
    <w:rsid w:val="00250254"/>
    <w:rsid w:val="002969C6"/>
    <w:rsid w:val="002A08F5"/>
    <w:rsid w:val="002B468B"/>
    <w:rsid w:val="002D0B52"/>
    <w:rsid w:val="002E2076"/>
    <w:rsid w:val="002F3E9E"/>
    <w:rsid w:val="00311A1C"/>
    <w:rsid w:val="00320E5F"/>
    <w:rsid w:val="00373071"/>
    <w:rsid w:val="003755AA"/>
    <w:rsid w:val="003A34BF"/>
    <w:rsid w:val="003D773B"/>
    <w:rsid w:val="003E1279"/>
    <w:rsid w:val="003F00F9"/>
    <w:rsid w:val="00403193"/>
    <w:rsid w:val="00435311"/>
    <w:rsid w:val="0043664F"/>
    <w:rsid w:val="00455D69"/>
    <w:rsid w:val="0048178C"/>
    <w:rsid w:val="00484060"/>
    <w:rsid w:val="004A2B61"/>
    <w:rsid w:val="004A5868"/>
    <w:rsid w:val="004B05E8"/>
    <w:rsid w:val="004C0EB3"/>
    <w:rsid w:val="004E4F7A"/>
    <w:rsid w:val="005363C7"/>
    <w:rsid w:val="00541F3A"/>
    <w:rsid w:val="005537FA"/>
    <w:rsid w:val="005606C6"/>
    <w:rsid w:val="00575BF5"/>
    <w:rsid w:val="005813B4"/>
    <w:rsid w:val="00584408"/>
    <w:rsid w:val="005B4617"/>
    <w:rsid w:val="005B4B21"/>
    <w:rsid w:val="005D6A60"/>
    <w:rsid w:val="006034FE"/>
    <w:rsid w:val="00627623"/>
    <w:rsid w:val="00627A72"/>
    <w:rsid w:val="0065476C"/>
    <w:rsid w:val="00666E62"/>
    <w:rsid w:val="00673593"/>
    <w:rsid w:val="006831F8"/>
    <w:rsid w:val="00690294"/>
    <w:rsid w:val="006C3C49"/>
    <w:rsid w:val="006D4395"/>
    <w:rsid w:val="006E5DC4"/>
    <w:rsid w:val="006E7F0E"/>
    <w:rsid w:val="006F1F38"/>
    <w:rsid w:val="00745536"/>
    <w:rsid w:val="00777AE9"/>
    <w:rsid w:val="007A0EB3"/>
    <w:rsid w:val="007A4A29"/>
    <w:rsid w:val="007E47F8"/>
    <w:rsid w:val="00834343"/>
    <w:rsid w:val="00836932"/>
    <w:rsid w:val="0084654E"/>
    <w:rsid w:val="00861BCF"/>
    <w:rsid w:val="00872F1A"/>
    <w:rsid w:val="008B7436"/>
    <w:rsid w:val="008D3067"/>
    <w:rsid w:val="008D3BE8"/>
    <w:rsid w:val="008E2005"/>
    <w:rsid w:val="009038E8"/>
    <w:rsid w:val="00947A76"/>
    <w:rsid w:val="0097646F"/>
    <w:rsid w:val="009917BC"/>
    <w:rsid w:val="009A2F3B"/>
    <w:rsid w:val="009A71D1"/>
    <w:rsid w:val="009E402E"/>
    <w:rsid w:val="00A258D7"/>
    <w:rsid w:val="00A51862"/>
    <w:rsid w:val="00A57370"/>
    <w:rsid w:val="00A63EF7"/>
    <w:rsid w:val="00A82A1B"/>
    <w:rsid w:val="00A87E85"/>
    <w:rsid w:val="00A94F52"/>
    <w:rsid w:val="00AB2D5F"/>
    <w:rsid w:val="00AD33FB"/>
    <w:rsid w:val="00AE0C26"/>
    <w:rsid w:val="00B00BF0"/>
    <w:rsid w:val="00B338AF"/>
    <w:rsid w:val="00B52FE3"/>
    <w:rsid w:val="00B54794"/>
    <w:rsid w:val="00B60136"/>
    <w:rsid w:val="00B962F6"/>
    <w:rsid w:val="00B973B2"/>
    <w:rsid w:val="00BB28C8"/>
    <w:rsid w:val="00BD47F6"/>
    <w:rsid w:val="00BE2B59"/>
    <w:rsid w:val="00C06149"/>
    <w:rsid w:val="00C1650D"/>
    <w:rsid w:val="00C42899"/>
    <w:rsid w:val="00C50A7E"/>
    <w:rsid w:val="00C57B0F"/>
    <w:rsid w:val="00C76ADA"/>
    <w:rsid w:val="00D16C9E"/>
    <w:rsid w:val="00D47702"/>
    <w:rsid w:val="00D606D5"/>
    <w:rsid w:val="00D733D0"/>
    <w:rsid w:val="00D97F8F"/>
    <w:rsid w:val="00DA4779"/>
    <w:rsid w:val="00E35231"/>
    <w:rsid w:val="00EA2975"/>
    <w:rsid w:val="00EB37A2"/>
    <w:rsid w:val="00ED367D"/>
    <w:rsid w:val="00ED45C4"/>
    <w:rsid w:val="00EE6308"/>
    <w:rsid w:val="00F875F2"/>
    <w:rsid w:val="00F92102"/>
    <w:rsid w:val="00FA0017"/>
    <w:rsid w:val="00FA2380"/>
    <w:rsid w:val="00FD3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8D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4617"/>
    <w:pPr>
      <w:tabs>
        <w:tab w:val="center" w:pos="4680"/>
        <w:tab w:val="right" w:pos="9360"/>
      </w:tabs>
    </w:pPr>
  </w:style>
  <w:style w:type="character" w:customStyle="1" w:styleId="HeaderChar">
    <w:name w:val="Header Char"/>
    <w:basedOn w:val="DefaultParagraphFont"/>
    <w:link w:val="Header"/>
    <w:uiPriority w:val="99"/>
    <w:locked/>
    <w:rsid w:val="005B4617"/>
    <w:rPr>
      <w:rFonts w:cs="Times New Roman"/>
    </w:rPr>
  </w:style>
  <w:style w:type="paragraph" w:styleId="Footer">
    <w:name w:val="footer"/>
    <w:basedOn w:val="Normal"/>
    <w:link w:val="FooterChar"/>
    <w:uiPriority w:val="99"/>
    <w:rsid w:val="005B4617"/>
    <w:pPr>
      <w:tabs>
        <w:tab w:val="center" w:pos="4680"/>
        <w:tab w:val="right" w:pos="9360"/>
      </w:tabs>
    </w:pPr>
  </w:style>
  <w:style w:type="character" w:customStyle="1" w:styleId="FooterChar">
    <w:name w:val="Footer Char"/>
    <w:basedOn w:val="DefaultParagraphFont"/>
    <w:link w:val="Footer"/>
    <w:uiPriority w:val="99"/>
    <w:locked/>
    <w:rsid w:val="005B4617"/>
    <w:rPr>
      <w:rFonts w:cs="Times New Roman"/>
    </w:rPr>
  </w:style>
  <w:style w:type="paragraph" w:styleId="BalloonText">
    <w:name w:val="Balloon Text"/>
    <w:basedOn w:val="Normal"/>
    <w:link w:val="BalloonTextChar"/>
    <w:uiPriority w:val="99"/>
    <w:semiHidden/>
    <w:rsid w:val="005B46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4617"/>
    <w:rPr>
      <w:rFonts w:ascii="Tahoma" w:hAnsi="Tahoma" w:cs="Tahoma"/>
      <w:sz w:val="16"/>
      <w:szCs w:val="16"/>
    </w:rPr>
  </w:style>
  <w:style w:type="table" w:styleId="TableGrid">
    <w:name w:val="Table Grid"/>
    <w:basedOn w:val="TableNormal"/>
    <w:uiPriority w:val="99"/>
    <w:rsid w:val="005B461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484060"/>
    <w:pPr>
      <w:ind w:left="720"/>
      <w:contextualSpacing/>
    </w:pPr>
  </w:style>
  <w:style w:type="character" w:styleId="CommentReference">
    <w:name w:val="annotation reference"/>
    <w:basedOn w:val="DefaultParagraphFont"/>
    <w:uiPriority w:val="99"/>
    <w:semiHidden/>
    <w:unhideWhenUsed/>
    <w:rsid w:val="00BE2B59"/>
    <w:rPr>
      <w:sz w:val="16"/>
      <w:szCs w:val="16"/>
    </w:rPr>
  </w:style>
  <w:style w:type="paragraph" w:styleId="CommentText">
    <w:name w:val="annotation text"/>
    <w:basedOn w:val="Normal"/>
    <w:link w:val="CommentTextChar"/>
    <w:uiPriority w:val="99"/>
    <w:semiHidden/>
    <w:unhideWhenUsed/>
    <w:rsid w:val="00BE2B59"/>
    <w:rPr>
      <w:sz w:val="20"/>
      <w:szCs w:val="20"/>
    </w:rPr>
  </w:style>
  <w:style w:type="character" w:customStyle="1" w:styleId="CommentTextChar">
    <w:name w:val="Comment Text Char"/>
    <w:basedOn w:val="DefaultParagraphFont"/>
    <w:link w:val="CommentText"/>
    <w:uiPriority w:val="99"/>
    <w:semiHidden/>
    <w:rsid w:val="00BE2B59"/>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E2B59"/>
    <w:rPr>
      <w:b/>
      <w:bCs/>
    </w:rPr>
  </w:style>
  <w:style w:type="character" w:customStyle="1" w:styleId="CommentSubjectChar">
    <w:name w:val="Comment Subject Char"/>
    <w:basedOn w:val="CommentTextChar"/>
    <w:link w:val="CommentSubject"/>
    <w:uiPriority w:val="99"/>
    <w:semiHidden/>
    <w:rsid w:val="00BE2B59"/>
    <w:rPr>
      <w:rFonts w:ascii="Times New Roman" w:eastAsia="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8D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4617"/>
    <w:pPr>
      <w:tabs>
        <w:tab w:val="center" w:pos="4680"/>
        <w:tab w:val="right" w:pos="9360"/>
      </w:tabs>
    </w:pPr>
  </w:style>
  <w:style w:type="character" w:customStyle="1" w:styleId="HeaderChar">
    <w:name w:val="Header Char"/>
    <w:basedOn w:val="DefaultParagraphFont"/>
    <w:link w:val="Header"/>
    <w:uiPriority w:val="99"/>
    <w:locked/>
    <w:rsid w:val="005B4617"/>
    <w:rPr>
      <w:rFonts w:cs="Times New Roman"/>
    </w:rPr>
  </w:style>
  <w:style w:type="paragraph" w:styleId="Footer">
    <w:name w:val="footer"/>
    <w:basedOn w:val="Normal"/>
    <w:link w:val="FooterChar"/>
    <w:uiPriority w:val="99"/>
    <w:rsid w:val="005B4617"/>
    <w:pPr>
      <w:tabs>
        <w:tab w:val="center" w:pos="4680"/>
        <w:tab w:val="right" w:pos="9360"/>
      </w:tabs>
    </w:pPr>
  </w:style>
  <w:style w:type="character" w:customStyle="1" w:styleId="FooterChar">
    <w:name w:val="Footer Char"/>
    <w:basedOn w:val="DefaultParagraphFont"/>
    <w:link w:val="Footer"/>
    <w:uiPriority w:val="99"/>
    <w:locked/>
    <w:rsid w:val="005B4617"/>
    <w:rPr>
      <w:rFonts w:cs="Times New Roman"/>
    </w:rPr>
  </w:style>
  <w:style w:type="paragraph" w:styleId="BalloonText">
    <w:name w:val="Balloon Text"/>
    <w:basedOn w:val="Normal"/>
    <w:link w:val="BalloonTextChar"/>
    <w:uiPriority w:val="99"/>
    <w:semiHidden/>
    <w:rsid w:val="005B46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4617"/>
    <w:rPr>
      <w:rFonts w:ascii="Tahoma" w:hAnsi="Tahoma" w:cs="Tahoma"/>
      <w:sz w:val="16"/>
      <w:szCs w:val="16"/>
    </w:rPr>
  </w:style>
  <w:style w:type="table" w:styleId="TableGrid">
    <w:name w:val="Table Grid"/>
    <w:basedOn w:val="TableNormal"/>
    <w:uiPriority w:val="99"/>
    <w:rsid w:val="005B461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484060"/>
    <w:pPr>
      <w:ind w:left="720"/>
      <w:contextualSpacing/>
    </w:pPr>
  </w:style>
  <w:style w:type="character" w:styleId="CommentReference">
    <w:name w:val="annotation reference"/>
    <w:basedOn w:val="DefaultParagraphFont"/>
    <w:uiPriority w:val="99"/>
    <w:semiHidden/>
    <w:unhideWhenUsed/>
    <w:rsid w:val="00BE2B59"/>
    <w:rPr>
      <w:sz w:val="16"/>
      <w:szCs w:val="16"/>
    </w:rPr>
  </w:style>
  <w:style w:type="paragraph" w:styleId="CommentText">
    <w:name w:val="annotation text"/>
    <w:basedOn w:val="Normal"/>
    <w:link w:val="CommentTextChar"/>
    <w:uiPriority w:val="99"/>
    <w:semiHidden/>
    <w:unhideWhenUsed/>
    <w:rsid w:val="00BE2B59"/>
    <w:rPr>
      <w:sz w:val="20"/>
      <w:szCs w:val="20"/>
    </w:rPr>
  </w:style>
  <w:style w:type="character" w:customStyle="1" w:styleId="CommentTextChar">
    <w:name w:val="Comment Text Char"/>
    <w:basedOn w:val="DefaultParagraphFont"/>
    <w:link w:val="CommentText"/>
    <w:uiPriority w:val="99"/>
    <w:semiHidden/>
    <w:rsid w:val="00BE2B59"/>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E2B59"/>
    <w:rPr>
      <w:b/>
      <w:bCs/>
    </w:rPr>
  </w:style>
  <w:style w:type="character" w:customStyle="1" w:styleId="CommentSubjectChar">
    <w:name w:val="Comment Subject Char"/>
    <w:basedOn w:val="CommentTextChar"/>
    <w:link w:val="CommentSubject"/>
    <w:uiPriority w:val="99"/>
    <w:semiHidden/>
    <w:rsid w:val="00BE2B59"/>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7D0FC-3A7A-4F30-A13C-6897CE854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5108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Brennan Katchatag</dc:creator>
  <cp:lastModifiedBy>Sen, Nina</cp:lastModifiedBy>
  <cp:revision>2</cp:revision>
  <cp:lastPrinted>2015-06-16T21:16:00Z</cp:lastPrinted>
  <dcterms:created xsi:type="dcterms:W3CDTF">2015-06-19T01:15:00Z</dcterms:created>
  <dcterms:modified xsi:type="dcterms:W3CDTF">2015-06-19T01:15:00Z</dcterms:modified>
</cp:coreProperties>
</file>