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Tr="00BD1504">
        <w:tc>
          <w:tcPr>
            <w:tcW w:w="10630" w:type="dxa"/>
            <w:gridSpan w:val="3"/>
          </w:tcPr>
          <w:p w:rsidR="00104C97" w:rsidRDefault="00104C97" w:rsidP="00DF5592">
            <w:pPr>
              <w:jc w:val="center"/>
            </w:pPr>
            <w:r>
              <w:t>HMC</w:t>
            </w:r>
            <w:r w:rsidR="009D1B10">
              <w:t xml:space="preserve"> </w:t>
            </w:r>
            <w:r>
              <w:t>Transfusion Service S</w:t>
            </w:r>
            <w:r w:rsidR="009D1B10">
              <w:t xml:space="preserve">taff </w:t>
            </w:r>
            <w:r w:rsidR="00D45F76">
              <w:t xml:space="preserve">Meeting </w:t>
            </w:r>
            <w:r w:rsidR="00DF5592">
              <w:t>11/19/15</w:t>
            </w:r>
          </w:p>
        </w:tc>
      </w:tr>
      <w:tr w:rsidR="00104C97" w:rsidTr="00BD1504">
        <w:tc>
          <w:tcPr>
            <w:tcW w:w="5842" w:type="dxa"/>
            <w:gridSpan w:val="2"/>
            <w:vAlign w:val="center"/>
          </w:tcPr>
          <w:p w:rsidR="00104C97" w:rsidRDefault="000E30B7" w:rsidP="00D45F76">
            <w:pPr>
              <w:jc w:val="center"/>
            </w:pPr>
            <w:r w:rsidRPr="000E30B7">
              <w:rPr>
                <w:noProof/>
              </w:rPr>
              <w:drawing>
                <wp:inline distT="0" distB="0" distL="0" distR="0" wp14:anchorId="0F708B57" wp14:editId="6B9E4A77">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Default="004D30F8" w:rsidP="00880BCD">
            <w:pPr>
              <w:rPr>
                <w:i/>
                <w:sz w:val="20"/>
                <w:szCs w:val="20"/>
              </w:rPr>
            </w:pPr>
          </w:p>
          <w:p w:rsidR="00104C97" w:rsidRPr="007B00B8" w:rsidRDefault="00104C97" w:rsidP="00880BCD">
            <w:pPr>
              <w:rPr>
                <w:sz w:val="20"/>
                <w:szCs w:val="20"/>
              </w:rPr>
            </w:pPr>
            <w:r w:rsidRPr="007B00B8">
              <w:rPr>
                <w:i/>
                <w:sz w:val="20"/>
                <w:szCs w:val="20"/>
              </w:rPr>
              <w:t>Patients are First</w:t>
            </w:r>
            <w:r w:rsidRPr="007B00B8">
              <w:rPr>
                <w:sz w:val="20"/>
                <w:szCs w:val="20"/>
              </w:rPr>
              <w:t xml:space="preserve"> Pillar Goals</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Focu</w:t>
            </w:r>
            <w:r w:rsidR="00B87C4C">
              <w:rPr>
                <w:rFonts w:asciiTheme="majorHAnsi" w:hAnsiTheme="majorHAnsi"/>
                <w:i/>
                <w:sz w:val="20"/>
                <w:szCs w:val="20"/>
              </w:rPr>
              <w:t>s on Serving the Patient/Family</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Provi</w:t>
            </w:r>
            <w:r w:rsidR="00B87C4C">
              <w:rPr>
                <w:rFonts w:asciiTheme="majorHAnsi" w:hAnsiTheme="majorHAnsi"/>
                <w:i/>
                <w:sz w:val="20"/>
                <w:szCs w:val="20"/>
              </w:rPr>
              <w:t>de the Highest Quality of Care</w:t>
            </w:r>
            <w:r w:rsidR="00B87C4C">
              <w:rPr>
                <w:rFonts w:asciiTheme="majorHAnsi" w:hAnsiTheme="majorHAnsi"/>
                <w:i/>
                <w:sz w:val="20"/>
                <w:szCs w:val="20"/>
              </w:rPr>
              <w:tab/>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Become the Employer of Choice</w:t>
            </w:r>
          </w:p>
          <w:p w:rsidR="00104C97" w:rsidRPr="007B00B8" w:rsidRDefault="00104C97" w:rsidP="00880BCD">
            <w:pPr>
              <w:pStyle w:val="ListParagraph"/>
              <w:numPr>
                <w:ilvl w:val="0"/>
                <w:numId w:val="1"/>
              </w:numPr>
              <w:rPr>
                <w:rFonts w:asciiTheme="majorHAnsi" w:hAnsiTheme="majorHAnsi"/>
                <w:i/>
                <w:sz w:val="20"/>
                <w:szCs w:val="20"/>
              </w:rPr>
            </w:pPr>
            <w:r w:rsidRPr="007B00B8">
              <w:rPr>
                <w:rFonts w:asciiTheme="majorHAnsi" w:hAnsiTheme="majorHAnsi"/>
                <w:i/>
                <w:sz w:val="20"/>
                <w:szCs w:val="20"/>
              </w:rPr>
              <w:t>Practice Fiscal Responsibility</w:t>
            </w:r>
          </w:p>
          <w:p w:rsidR="00B87C4C" w:rsidRDefault="00B87C4C" w:rsidP="00880BCD">
            <w:pPr>
              <w:rPr>
                <w:sz w:val="20"/>
                <w:szCs w:val="20"/>
              </w:rPr>
            </w:pPr>
          </w:p>
          <w:p w:rsidR="00104C97" w:rsidRPr="007B00B8" w:rsidRDefault="00104C97" w:rsidP="00880BCD">
            <w:pPr>
              <w:rPr>
                <w:sz w:val="20"/>
                <w:szCs w:val="20"/>
              </w:rPr>
            </w:pPr>
            <w:r w:rsidRPr="007B00B8">
              <w:rPr>
                <w:sz w:val="20"/>
                <w:szCs w:val="20"/>
              </w:rPr>
              <w:t>Service Culture Guidelines</w:t>
            </w:r>
          </w:p>
          <w:p w:rsidR="00104C97" w:rsidRPr="00037D5C" w:rsidRDefault="00104C97" w:rsidP="00880BCD">
            <w:pPr>
              <w:pStyle w:val="ListParagraph"/>
              <w:numPr>
                <w:ilvl w:val="0"/>
                <w:numId w:val="2"/>
              </w:numPr>
              <w:rPr>
                <w:rFonts w:asciiTheme="majorHAnsi" w:hAnsiTheme="majorHAnsi"/>
                <w:i/>
                <w:sz w:val="20"/>
                <w:szCs w:val="20"/>
              </w:rPr>
            </w:pPr>
            <w:r w:rsidRPr="00037D5C">
              <w:rPr>
                <w:rFonts w:asciiTheme="majorHAnsi" w:hAnsiTheme="majorHAnsi"/>
                <w:i/>
                <w:sz w:val="20"/>
                <w:szCs w:val="20"/>
              </w:rPr>
              <w:t>Respect privacy and confidentiality</w:t>
            </w:r>
          </w:p>
          <w:p w:rsidR="00104C97" w:rsidRPr="007B00B8" w:rsidRDefault="00104C97" w:rsidP="00880BCD">
            <w:pPr>
              <w:pStyle w:val="ListParagraph"/>
              <w:numPr>
                <w:ilvl w:val="0"/>
                <w:numId w:val="2"/>
              </w:numPr>
              <w:rPr>
                <w:rFonts w:asciiTheme="majorHAnsi" w:hAnsiTheme="majorHAnsi"/>
                <w:i/>
                <w:sz w:val="20"/>
                <w:szCs w:val="20"/>
              </w:rPr>
            </w:pPr>
            <w:r w:rsidRPr="007B00B8">
              <w:rPr>
                <w:rFonts w:asciiTheme="majorHAnsi" w:hAnsiTheme="majorHAnsi"/>
                <w:i/>
                <w:sz w:val="20"/>
                <w:szCs w:val="20"/>
              </w:rPr>
              <w:t>Communicate effectively</w:t>
            </w:r>
          </w:p>
          <w:p w:rsidR="00104C97" w:rsidRPr="005C6A48" w:rsidRDefault="004D30F8" w:rsidP="00880BCD">
            <w:pPr>
              <w:pStyle w:val="ListParagraph"/>
              <w:numPr>
                <w:ilvl w:val="0"/>
                <w:numId w:val="2"/>
              </w:numPr>
              <w:rPr>
                <w:rFonts w:asciiTheme="majorHAnsi" w:hAnsiTheme="majorHAnsi"/>
                <w:i/>
                <w:sz w:val="20"/>
                <w:szCs w:val="20"/>
              </w:rPr>
            </w:pPr>
            <w:r>
              <w:rPr>
                <w:rFonts w:asciiTheme="majorHAnsi" w:hAnsiTheme="majorHAnsi"/>
                <w:i/>
                <w:sz w:val="20"/>
                <w:szCs w:val="20"/>
              </w:rPr>
              <w:t xml:space="preserve">Conduct </w:t>
            </w:r>
            <w:r w:rsidR="00104C97" w:rsidRPr="005C6A48">
              <w:rPr>
                <w:rFonts w:asciiTheme="majorHAnsi" w:hAnsiTheme="majorHAnsi"/>
                <w:i/>
                <w:sz w:val="20"/>
                <w:szCs w:val="20"/>
              </w:rPr>
              <w:t>myself professionally</w:t>
            </w:r>
          </w:p>
          <w:p w:rsidR="00104C97" w:rsidRPr="00915AD8" w:rsidRDefault="00104C97" w:rsidP="00880BCD">
            <w:pPr>
              <w:pStyle w:val="ListParagraph"/>
              <w:numPr>
                <w:ilvl w:val="0"/>
                <w:numId w:val="2"/>
              </w:numPr>
              <w:rPr>
                <w:rFonts w:asciiTheme="majorHAnsi" w:hAnsiTheme="majorHAnsi"/>
                <w:i/>
                <w:sz w:val="20"/>
                <w:szCs w:val="20"/>
              </w:rPr>
            </w:pPr>
            <w:r w:rsidRPr="00915AD8">
              <w:rPr>
                <w:rFonts w:asciiTheme="majorHAnsi" w:hAnsiTheme="majorHAnsi"/>
                <w:i/>
                <w:sz w:val="20"/>
                <w:szCs w:val="20"/>
              </w:rPr>
              <w:t>Be accountable</w:t>
            </w:r>
          </w:p>
          <w:p w:rsidR="00104C97" w:rsidRPr="00104C97" w:rsidRDefault="00104C97" w:rsidP="00880BCD">
            <w:pPr>
              <w:pStyle w:val="ListParagraph"/>
              <w:numPr>
                <w:ilvl w:val="0"/>
                <w:numId w:val="2"/>
              </w:numPr>
              <w:rPr>
                <w:sz w:val="28"/>
              </w:rPr>
            </w:pPr>
            <w:r w:rsidRPr="00915AD8">
              <w:rPr>
                <w:rFonts w:asciiTheme="majorHAnsi" w:hAnsiTheme="majorHAnsi"/>
                <w:i/>
                <w:sz w:val="20"/>
                <w:szCs w:val="20"/>
              </w:rPr>
              <w:t xml:space="preserve">Be committed to my </w:t>
            </w:r>
            <w:r w:rsidRPr="007B00B8">
              <w:rPr>
                <w:rFonts w:asciiTheme="majorHAnsi" w:hAnsiTheme="majorHAnsi"/>
                <w:i/>
                <w:sz w:val="20"/>
                <w:szCs w:val="20"/>
              </w:rPr>
              <w:t>colleagues and to the UW Medicine Health System</w:t>
            </w:r>
          </w:p>
        </w:tc>
      </w:tr>
      <w:tr w:rsidR="00104C97" w:rsidTr="00E20E54">
        <w:trPr>
          <w:trHeight w:val="2375"/>
        </w:trPr>
        <w:tc>
          <w:tcPr>
            <w:tcW w:w="3592" w:type="dxa"/>
          </w:tcPr>
          <w:p w:rsidR="00104C97" w:rsidRDefault="00C7555C" w:rsidP="00CB5A7A">
            <w:r>
              <w:t>Service Culture Guideline</w:t>
            </w:r>
          </w:p>
        </w:tc>
        <w:tc>
          <w:tcPr>
            <w:tcW w:w="7038" w:type="dxa"/>
            <w:gridSpan w:val="2"/>
          </w:tcPr>
          <w:p w:rsidR="00EE5A48" w:rsidRPr="00B87C4C" w:rsidRDefault="002D2E25" w:rsidP="00EE5A48">
            <w:pPr>
              <w:pStyle w:val="ListParagraph"/>
              <w:numPr>
                <w:ilvl w:val="0"/>
                <w:numId w:val="4"/>
              </w:numPr>
              <w:rPr>
                <w:i/>
                <w:szCs w:val="20"/>
              </w:rPr>
            </w:pPr>
            <w:r>
              <w:rPr>
                <w:i/>
                <w:szCs w:val="20"/>
              </w:rPr>
              <w:t>Commitment</w:t>
            </w:r>
          </w:p>
          <w:p w:rsidR="002D2E25" w:rsidRPr="002D2E25" w:rsidRDefault="002D2E25" w:rsidP="002D2E25">
            <w:pPr>
              <w:spacing w:line="270" w:lineRule="atLeast"/>
              <w:textAlignment w:val="top"/>
              <w:rPr>
                <w:rFonts w:eastAsia="Times New Roman"/>
                <w:color w:val="000000"/>
                <w:sz w:val="18"/>
                <w:szCs w:val="18"/>
              </w:rPr>
            </w:pPr>
            <w:r w:rsidRPr="002D2E25">
              <w:rPr>
                <w:rFonts w:eastAsia="Times New Roman"/>
                <w:color w:val="000000"/>
                <w:sz w:val="18"/>
                <w:szCs w:val="18"/>
              </w:rPr>
              <w:t xml:space="preserve">Be COMMITTED to my colleagues and to the UW Medicine Health System Respect and acknowledge differing values, opinions and viewpoints. </w:t>
            </w:r>
          </w:p>
          <w:p w:rsidR="002D2E25" w:rsidRPr="002D2E25" w:rsidRDefault="002D2E25" w:rsidP="002D2E25">
            <w:pPr>
              <w:numPr>
                <w:ilvl w:val="1"/>
                <w:numId w:val="11"/>
              </w:numPr>
              <w:spacing w:before="100" w:beforeAutospacing="1" w:after="100" w:afterAutospacing="1" w:line="288" w:lineRule="auto"/>
              <w:ind w:left="375" w:right="150"/>
              <w:textAlignment w:val="top"/>
              <w:rPr>
                <w:rFonts w:eastAsia="Times New Roman"/>
                <w:color w:val="000000"/>
                <w:sz w:val="18"/>
                <w:szCs w:val="18"/>
              </w:rPr>
            </w:pPr>
            <w:r w:rsidRPr="002D2E25">
              <w:rPr>
                <w:rFonts w:eastAsia="Times New Roman"/>
                <w:color w:val="000000"/>
                <w:sz w:val="18"/>
                <w:szCs w:val="18"/>
              </w:rPr>
              <w:t xml:space="preserve">Recognize and encourage positive behavior. </w:t>
            </w:r>
          </w:p>
          <w:p w:rsidR="002D2E25" w:rsidRPr="002D2E25" w:rsidRDefault="002D2E25" w:rsidP="002D2E25">
            <w:pPr>
              <w:numPr>
                <w:ilvl w:val="1"/>
                <w:numId w:val="11"/>
              </w:numPr>
              <w:spacing w:before="100" w:beforeAutospacing="1" w:after="100" w:afterAutospacing="1" w:line="288" w:lineRule="auto"/>
              <w:ind w:left="375" w:right="150"/>
              <w:textAlignment w:val="top"/>
              <w:rPr>
                <w:rFonts w:eastAsia="Times New Roman"/>
                <w:color w:val="000000"/>
                <w:sz w:val="18"/>
                <w:szCs w:val="18"/>
              </w:rPr>
            </w:pPr>
            <w:r w:rsidRPr="002D2E25">
              <w:rPr>
                <w:rFonts w:eastAsia="Times New Roman"/>
                <w:color w:val="000000"/>
                <w:sz w:val="18"/>
                <w:szCs w:val="18"/>
              </w:rPr>
              <w:t xml:space="preserve">Address inappropriate behaviors in a confidential and constructive manner. </w:t>
            </w:r>
          </w:p>
          <w:p w:rsidR="002D2E25" w:rsidRPr="002D2E25" w:rsidRDefault="002D2E25" w:rsidP="002D2E25">
            <w:pPr>
              <w:numPr>
                <w:ilvl w:val="1"/>
                <w:numId w:val="11"/>
              </w:numPr>
              <w:spacing w:before="100" w:beforeAutospacing="1" w:after="100" w:afterAutospacing="1" w:line="288" w:lineRule="auto"/>
              <w:ind w:left="375" w:right="150"/>
              <w:textAlignment w:val="top"/>
              <w:rPr>
                <w:rFonts w:eastAsia="Times New Roman"/>
                <w:color w:val="000000"/>
                <w:sz w:val="18"/>
                <w:szCs w:val="18"/>
              </w:rPr>
            </w:pPr>
            <w:r w:rsidRPr="002D2E25">
              <w:rPr>
                <w:rFonts w:eastAsia="Times New Roman"/>
                <w:color w:val="000000"/>
                <w:sz w:val="18"/>
                <w:szCs w:val="18"/>
              </w:rPr>
              <w:t xml:space="preserve">Promote interdisciplinary and interdepartmental cooperation. </w:t>
            </w:r>
          </w:p>
          <w:p w:rsidR="002D2E25" w:rsidRPr="002D2E25" w:rsidRDefault="002D2E25" w:rsidP="002D2E25">
            <w:pPr>
              <w:numPr>
                <w:ilvl w:val="1"/>
                <w:numId w:val="11"/>
              </w:numPr>
              <w:spacing w:before="100" w:beforeAutospacing="1" w:after="100" w:afterAutospacing="1" w:line="288" w:lineRule="auto"/>
              <w:ind w:left="375" w:right="150"/>
              <w:textAlignment w:val="top"/>
              <w:rPr>
                <w:rFonts w:eastAsia="Times New Roman"/>
                <w:color w:val="000000"/>
                <w:sz w:val="18"/>
                <w:szCs w:val="18"/>
              </w:rPr>
            </w:pPr>
            <w:r w:rsidRPr="002D2E25">
              <w:rPr>
                <w:rFonts w:eastAsia="Times New Roman"/>
                <w:color w:val="000000"/>
                <w:sz w:val="18"/>
                <w:szCs w:val="18"/>
              </w:rPr>
              <w:t xml:space="preserve">Promote the mission, vision and values of the UW Medicine Health System. </w:t>
            </w:r>
          </w:p>
          <w:p w:rsidR="00EE5A48" w:rsidRPr="002D2E25" w:rsidRDefault="002D2E25" w:rsidP="002D2E25">
            <w:pPr>
              <w:numPr>
                <w:ilvl w:val="1"/>
                <w:numId w:val="11"/>
              </w:numPr>
              <w:spacing w:before="100" w:beforeAutospacing="1" w:after="100" w:afterAutospacing="1" w:line="288" w:lineRule="auto"/>
              <w:ind w:left="375" w:right="150"/>
              <w:textAlignment w:val="top"/>
              <w:rPr>
                <w:rFonts w:eastAsia="Times New Roman"/>
                <w:color w:val="000000"/>
                <w:sz w:val="18"/>
                <w:szCs w:val="18"/>
              </w:rPr>
            </w:pPr>
            <w:r w:rsidRPr="002D2E25">
              <w:rPr>
                <w:rFonts w:eastAsia="Times New Roman"/>
                <w:color w:val="000000"/>
                <w:sz w:val="18"/>
                <w:szCs w:val="18"/>
              </w:rPr>
              <w:t xml:space="preserve">Follow all UW Medicine policies and procedures. </w:t>
            </w:r>
          </w:p>
        </w:tc>
      </w:tr>
      <w:tr w:rsidR="00E1208F" w:rsidTr="002D165D">
        <w:trPr>
          <w:trHeight w:val="620"/>
        </w:trPr>
        <w:tc>
          <w:tcPr>
            <w:tcW w:w="3592" w:type="dxa"/>
          </w:tcPr>
          <w:p w:rsidR="00E1208F" w:rsidRDefault="00E1208F" w:rsidP="00B46151">
            <w:r>
              <w:t>Hospital Update</w:t>
            </w:r>
          </w:p>
        </w:tc>
        <w:tc>
          <w:tcPr>
            <w:tcW w:w="7038" w:type="dxa"/>
            <w:gridSpan w:val="2"/>
          </w:tcPr>
          <w:p w:rsidR="00E1208F" w:rsidRDefault="00E1208F" w:rsidP="002D165D">
            <w:pPr>
              <w:pStyle w:val="ListParagraph"/>
              <w:numPr>
                <w:ilvl w:val="0"/>
                <w:numId w:val="4"/>
              </w:numPr>
              <w:rPr>
                <w:b w:val="0"/>
              </w:rPr>
            </w:pPr>
            <w:r>
              <w:rPr>
                <w:b w:val="0"/>
              </w:rPr>
              <w:t xml:space="preserve">HR/Payroll modernization- </w:t>
            </w:r>
            <w:proofErr w:type="gramStart"/>
            <w:r>
              <w:rPr>
                <w:b w:val="0"/>
              </w:rPr>
              <w:t>go</w:t>
            </w:r>
            <w:proofErr w:type="gramEnd"/>
            <w:r>
              <w:rPr>
                <w:b w:val="0"/>
              </w:rPr>
              <w:t xml:space="preserve"> live June 2016</w:t>
            </w:r>
            <w:r w:rsidR="00602F3D">
              <w:rPr>
                <w:b w:val="0"/>
              </w:rPr>
              <w:t xml:space="preserve">. New workday platform. No changes to pay dates. </w:t>
            </w:r>
          </w:p>
          <w:p w:rsidR="00E1208F" w:rsidRDefault="00E1208F" w:rsidP="002D165D">
            <w:pPr>
              <w:pStyle w:val="ListParagraph"/>
              <w:numPr>
                <w:ilvl w:val="0"/>
                <w:numId w:val="4"/>
              </w:numPr>
              <w:rPr>
                <w:b w:val="0"/>
              </w:rPr>
            </w:pPr>
            <w:r>
              <w:rPr>
                <w:b w:val="0"/>
              </w:rPr>
              <w:t>Children’s Holiday Party volunteer Dec11 and 12</w:t>
            </w:r>
            <w:r w:rsidRPr="00602F3D">
              <w:rPr>
                <w:b w:val="0"/>
                <w:vertAlign w:val="superscript"/>
              </w:rPr>
              <w:t>th</w:t>
            </w:r>
            <w:r w:rsidR="00602F3D">
              <w:rPr>
                <w:b w:val="0"/>
              </w:rPr>
              <w:t>. Please help HMC by volunteering your time. More information on the HMC intranet</w:t>
            </w:r>
          </w:p>
          <w:p w:rsidR="00E1208F" w:rsidRDefault="00E1208F" w:rsidP="002D165D">
            <w:pPr>
              <w:pStyle w:val="ListParagraph"/>
              <w:numPr>
                <w:ilvl w:val="0"/>
                <w:numId w:val="4"/>
              </w:numPr>
              <w:rPr>
                <w:b w:val="0"/>
              </w:rPr>
            </w:pPr>
            <w:r>
              <w:rPr>
                <w:b w:val="0"/>
              </w:rPr>
              <w:t>Winter Celebration &amp; Auction Basket, Dec 16</w:t>
            </w:r>
            <w:r w:rsidRPr="00E1208F">
              <w:rPr>
                <w:b w:val="0"/>
                <w:vertAlign w:val="superscript"/>
              </w:rPr>
              <w:t>th</w:t>
            </w:r>
            <w:r>
              <w:rPr>
                <w:b w:val="0"/>
              </w:rPr>
              <w:t xml:space="preserve"> 2-4pm</w:t>
            </w:r>
            <w:r w:rsidR="00602F3D">
              <w:rPr>
                <w:b w:val="0"/>
              </w:rPr>
              <w:t xml:space="preserve">. </w:t>
            </w:r>
            <w:r w:rsidR="0039578B">
              <w:rPr>
                <w:b w:val="0"/>
              </w:rPr>
              <w:t>Submit i</w:t>
            </w:r>
            <w:r w:rsidR="00602F3D">
              <w:rPr>
                <w:b w:val="0"/>
              </w:rPr>
              <w:t xml:space="preserve">deas by the end of November. Past ideas have been “alcohol basket”, Disney princess, </w:t>
            </w:r>
            <w:proofErr w:type="spellStart"/>
            <w:r w:rsidR="00602F3D">
              <w:rPr>
                <w:b w:val="0"/>
              </w:rPr>
              <w:t>lego</w:t>
            </w:r>
            <w:proofErr w:type="spellEnd"/>
            <w:r w:rsidR="00602F3D">
              <w:rPr>
                <w:b w:val="0"/>
              </w:rPr>
              <w:t xml:space="preserve">, tea. All proceeds </w:t>
            </w:r>
            <w:proofErr w:type="gramStart"/>
            <w:r w:rsidR="00602F3D">
              <w:rPr>
                <w:b w:val="0"/>
              </w:rPr>
              <w:t>helps</w:t>
            </w:r>
            <w:proofErr w:type="gramEnd"/>
            <w:r w:rsidR="00602F3D">
              <w:rPr>
                <w:b w:val="0"/>
              </w:rPr>
              <w:t xml:space="preserve"> families in need. More information on the intranet. </w:t>
            </w:r>
          </w:p>
          <w:p w:rsidR="00E1208F" w:rsidRDefault="00E1208F" w:rsidP="002D165D">
            <w:pPr>
              <w:pStyle w:val="ListParagraph"/>
              <w:numPr>
                <w:ilvl w:val="0"/>
                <w:numId w:val="4"/>
              </w:numPr>
              <w:rPr>
                <w:b w:val="0"/>
              </w:rPr>
            </w:pPr>
            <w:r>
              <w:rPr>
                <w:b w:val="0"/>
              </w:rPr>
              <w:t xml:space="preserve">Benefits open enrollment </w:t>
            </w:r>
            <w:r w:rsidR="00602F3D">
              <w:rPr>
                <w:b w:val="0"/>
              </w:rPr>
              <w:t>–ends Nov 30</w:t>
            </w:r>
            <w:r w:rsidR="00602F3D" w:rsidRPr="00602F3D">
              <w:rPr>
                <w:b w:val="0"/>
                <w:vertAlign w:val="superscript"/>
              </w:rPr>
              <w:t>th</w:t>
            </w:r>
            <w:r w:rsidR="00602F3D">
              <w:rPr>
                <w:b w:val="0"/>
              </w:rPr>
              <w:t xml:space="preserve">. Please review new plans and change before 11/30/15. If plans remain the same, no action needed. </w:t>
            </w:r>
          </w:p>
        </w:tc>
      </w:tr>
      <w:tr w:rsidR="00BD1504" w:rsidTr="002D165D">
        <w:trPr>
          <w:trHeight w:val="620"/>
        </w:trPr>
        <w:tc>
          <w:tcPr>
            <w:tcW w:w="3592" w:type="dxa"/>
          </w:tcPr>
          <w:p w:rsidR="00BD1504" w:rsidRDefault="00EE5A48" w:rsidP="00B46151">
            <w:r>
              <w:t xml:space="preserve">Lab Update </w:t>
            </w:r>
          </w:p>
        </w:tc>
        <w:tc>
          <w:tcPr>
            <w:tcW w:w="7038" w:type="dxa"/>
            <w:gridSpan w:val="2"/>
          </w:tcPr>
          <w:p w:rsidR="002D165D" w:rsidRPr="002D165D" w:rsidRDefault="002D165D" w:rsidP="002D165D">
            <w:pPr>
              <w:pStyle w:val="ListParagraph"/>
              <w:numPr>
                <w:ilvl w:val="0"/>
                <w:numId w:val="4"/>
              </w:numPr>
            </w:pPr>
            <w:r>
              <w:rPr>
                <w:b w:val="0"/>
              </w:rPr>
              <w:t>IH clinical trial</w:t>
            </w:r>
            <w:r w:rsidR="00D91017">
              <w:rPr>
                <w:b w:val="0"/>
              </w:rPr>
              <w:t xml:space="preserve"> </w:t>
            </w:r>
            <w:r w:rsidR="00602F3D">
              <w:rPr>
                <w:b w:val="0"/>
              </w:rPr>
              <w:t>– currently in process. Will be testing manual gel incubator and centrifuge along with IH reader. Projected start date will be sometime in the 1</w:t>
            </w:r>
            <w:r w:rsidR="00602F3D" w:rsidRPr="00602F3D">
              <w:rPr>
                <w:b w:val="0"/>
                <w:vertAlign w:val="superscript"/>
              </w:rPr>
              <w:t>st</w:t>
            </w:r>
            <w:r w:rsidR="00602F3D">
              <w:rPr>
                <w:b w:val="0"/>
              </w:rPr>
              <w:t xml:space="preserve"> quarter next year. </w:t>
            </w:r>
          </w:p>
          <w:p w:rsidR="00571D9D" w:rsidRPr="00E1208F" w:rsidRDefault="00571D9D" w:rsidP="00E1208F">
            <w:pPr>
              <w:pStyle w:val="ListParagraph"/>
              <w:numPr>
                <w:ilvl w:val="0"/>
                <w:numId w:val="4"/>
              </w:numPr>
            </w:pPr>
            <w:r>
              <w:rPr>
                <w:b w:val="0"/>
              </w:rPr>
              <w:t xml:space="preserve">UW TSL </w:t>
            </w:r>
            <w:proofErr w:type="gramStart"/>
            <w:r w:rsidR="00E1208F">
              <w:rPr>
                <w:b w:val="0"/>
              </w:rPr>
              <w:t>g</w:t>
            </w:r>
            <w:r w:rsidR="00602F3D">
              <w:rPr>
                <w:b w:val="0"/>
              </w:rPr>
              <w:t>o</w:t>
            </w:r>
            <w:proofErr w:type="gramEnd"/>
            <w:r w:rsidR="00602F3D">
              <w:rPr>
                <w:b w:val="0"/>
              </w:rPr>
              <w:t xml:space="preserve"> live date March 2016- many changes to SQ are happening. Blood Component prep along with Blood Order Processing </w:t>
            </w:r>
            <w:proofErr w:type="gramStart"/>
            <w:r w:rsidR="00602F3D">
              <w:rPr>
                <w:b w:val="0"/>
              </w:rPr>
              <w:t>are</w:t>
            </w:r>
            <w:proofErr w:type="gramEnd"/>
            <w:r w:rsidR="00602F3D">
              <w:rPr>
                <w:b w:val="0"/>
              </w:rPr>
              <w:t xml:space="preserve"> two big ones. Transfusion record will have unit expiration instead of crossmatch expiration. We will start posting summary of changes for staff. </w:t>
            </w:r>
          </w:p>
          <w:p w:rsidR="00602F3D" w:rsidRPr="00602F3D" w:rsidRDefault="00E1208F" w:rsidP="00E1208F">
            <w:pPr>
              <w:pStyle w:val="ListParagraph"/>
              <w:numPr>
                <w:ilvl w:val="0"/>
                <w:numId w:val="4"/>
              </w:numPr>
            </w:pPr>
            <w:proofErr w:type="spellStart"/>
            <w:r>
              <w:rPr>
                <w:b w:val="0"/>
              </w:rPr>
              <w:t>Combi</w:t>
            </w:r>
            <w:r w:rsidR="00602F3D">
              <w:rPr>
                <w:b w:val="0"/>
              </w:rPr>
              <w:t>n</w:t>
            </w:r>
            <w:proofErr w:type="spellEnd"/>
            <w:r w:rsidR="00602F3D">
              <w:rPr>
                <w:b w:val="0"/>
              </w:rPr>
              <w:t xml:space="preserve"> platelets expiration change- </w:t>
            </w:r>
            <w:proofErr w:type="spellStart"/>
            <w:r w:rsidR="00602F3D">
              <w:rPr>
                <w:b w:val="0"/>
              </w:rPr>
              <w:t>dec</w:t>
            </w:r>
            <w:proofErr w:type="spellEnd"/>
            <w:r w:rsidR="00602F3D">
              <w:rPr>
                <w:b w:val="0"/>
              </w:rPr>
              <w:t xml:space="preserve"> 1</w:t>
            </w:r>
            <w:r w:rsidR="00602F3D" w:rsidRPr="00602F3D">
              <w:rPr>
                <w:b w:val="0"/>
                <w:vertAlign w:val="superscript"/>
              </w:rPr>
              <w:t>st</w:t>
            </w:r>
            <w:r w:rsidR="00602F3D">
              <w:rPr>
                <w:b w:val="0"/>
              </w:rPr>
              <w:t>. Remember the system will need the tech to enter the new expiration date and time. If the unit expires before midnight then a QA warning po</w:t>
            </w:r>
            <w:r w:rsidR="0039578B">
              <w:rPr>
                <w:b w:val="0"/>
              </w:rPr>
              <w:t>ps up. Staff should not extend</w:t>
            </w:r>
            <w:r w:rsidR="00602F3D">
              <w:rPr>
                <w:b w:val="0"/>
              </w:rPr>
              <w:t xml:space="preserve"> beyond the original expiration. Practice in test environment to become familiar with the change. </w:t>
            </w:r>
          </w:p>
          <w:p w:rsidR="00E1208F" w:rsidRPr="002D165D" w:rsidRDefault="00E1208F" w:rsidP="00E1208F">
            <w:pPr>
              <w:pStyle w:val="ListParagraph"/>
              <w:numPr>
                <w:ilvl w:val="0"/>
                <w:numId w:val="4"/>
              </w:numPr>
            </w:pPr>
            <w:proofErr w:type="spellStart"/>
            <w:r>
              <w:rPr>
                <w:b w:val="0"/>
              </w:rPr>
              <w:t>Bloodworks</w:t>
            </w:r>
            <w:proofErr w:type="spellEnd"/>
            <w:r>
              <w:rPr>
                <w:b w:val="0"/>
              </w:rPr>
              <w:t xml:space="preserve"> NW name change in December</w:t>
            </w:r>
          </w:p>
        </w:tc>
      </w:tr>
      <w:tr w:rsidR="0066685A" w:rsidTr="00D91017">
        <w:trPr>
          <w:trHeight w:val="260"/>
        </w:trPr>
        <w:tc>
          <w:tcPr>
            <w:tcW w:w="3592" w:type="dxa"/>
          </w:tcPr>
          <w:p w:rsidR="0066685A" w:rsidRDefault="0066685A">
            <w:r>
              <w:t>Project updates</w:t>
            </w:r>
          </w:p>
        </w:tc>
        <w:tc>
          <w:tcPr>
            <w:tcW w:w="7038" w:type="dxa"/>
            <w:gridSpan w:val="2"/>
          </w:tcPr>
          <w:p w:rsidR="0082115F" w:rsidRDefault="00B87C4C" w:rsidP="0066685A">
            <w:pPr>
              <w:pStyle w:val="ListParagraph"/>
              <w:numPr>
                <w:ilvl w:val="0"/>
                <w:numId w:val="5"/>
              </w:numPr>
              <w:rPr>
                <w:b w:val="0"/>
              </w:rPr>
            </w:pPr>
            <w:proofErr w:type="spellStart"/>
            <w:r>
              <w:rPr>
                <w:b w:val="0"/>
              </w:rPr>
              <w:t>LabMed</w:t>
            </w:r>
            <w:proofErr w:type="spellEnd"/>
            <w:r>
              <w:rPr>
                <w:b w:val="0"/>
              </w:rPr>
              <w:t xml:space="preserve"> construction</w:t>
            </w:r>
            <w:r w:rsidR="00D91017">
              <w:rPr>
                <w:b w:val="0"/>
              </w:rPr>
              <w:t xml:space="preserve"> postponed</w:t>
            </w:r>
            <w:r w:rsidR="00776EDA">
              <w:rPr>
                <w:b w:val="0"/>
              </w:rPr>
              <w:t xml:space="preserve"> indefinitely</w:t>
            </w:r>
            <w:r w:rsidR="00602F3D">
              <w:rPr>
                <w:b w:val="0"/>
              </w:rPr>
              <w:t xml:space="preserve">- no changes to HMC transfusion services lab. </w:t>
            </w:r>
          </w:p>
          <w:p w:rsidR="00F414F0" w:rsidRPr="00A62A03" w:rsidRDefault="002D165D" w:rsidP="00E1208F">
            <w:pPr>
              <w:pStyle w:val="ListParagraph"/>
              <w:numPr>
                <w:ilvl w:val="0"/>
                <w:numId w:val="5"/>
              </w:numPr>
              <w:rPr>
                <w:b w:val="0"/>
              </w:rPr>
            </w:pPr>
            <w:r>
              <w:rPr>
                <w:b w:val="0"/>
              </w:rPr>
              <w:lastRenderedPageBreak/>
              <w:t xml:space="preserve">Sterile </w:t>
            </w:r>
            <w:proofErr w:type="spellStart"/>
            <w:r>
              <w:rPr>
                <w:b w:val="0"/>
              </w:rPr>
              <w:t>docker</w:t>
            </w:r>
            <w:proofErr w:type="spellEnd"/>
            <w:r>
              <w:rPr>
                <w:b w:val="0"/>
              </w:rPr>
              <w:t xml:space="preserve"> validation</w:t>
            </w:r>
            <w:r w:rsidR="00D91017">
              <w:rPr>
                <w:b w:val="0"/>
              </w:rPr>
              <w:t xml:space="preserve"> </w:t>
            </w:r>
            <w:r w:rsidR="00E1208F">
              <w:rPr>
                <w:b w:val="0"/>
              </w:rPr>
              <w:t xml:space="preserve">complete. Next </w:t>
            </w:r>
            <w:r w:rsidR="00602F3D">
              <w:rPr>
                <w:b w:val="0"/>
              </w:rPr>
              <w:t>will be training, SOPs to write. We will go live with this once the SQ codes have been validated and available to use. February/March 2016</w:t>
            </w:r>
          </w:p>
        </w:tc>
      </w:tr>
      <w:tr w:rsidR="00CB2B1D" w:rsidRPr="00CB2B1D" w:rsidTr="00BD1504">
        <w:tc>
          <w:tcPr>
            <w:tcW w:w="3592" w:type="dxa"/>
          </w:tcPr>
          <w:p w:rsidR="00CB2B1D" w:rsidRPr="00CB2B1D" w:rsidRDefault="00CB2B1D">
            <w:r w:rsidRPr="00CB2B1D">
              <w:lastRenderedPageBreak/>
              <w:t>QA</w:t>
            </w:r>
            <w:r w:rsidR="00BC3B93">
              <w:t>/Blood Utilization</w:t>
            </w:r>
          </w:p>
        </w:tc>
        <w:tc>
          <w:tcPr>
            <w:tcW w:w="7038" w:type="dxa"/>
            <w:gridSpan w:val="2"/>
          </w:tcPr>
          <w:p w:rsidR="0039578B" w:rsidRDefault="0039578B" w:rsidP="00EA0C13">
            <w:pPr>
              <w:pStyle w:val="ListParagraph"/>
              <w:numPr>
                <w:ilvl w:val="0"/>
                <w:numId w:val="5"/>
              </w:numPr>
              <w:rPr>
                <w:b w:val="0"/>
              </w:rPr>
            </w:pPr>
            <w:r w:rsidRPr="0039578B">
              <w:t>Reminder:</w:t>
            </w:r>
            <w:r>
              <w:rPr>
                <w:b w:val="0"/>
              </w:rPr>
              <w:t xml:space="preserve"> all trauma responses should have a platelet along with the RBCs and plasma. We have already had a complaint from the trauma docs that a </w:t>
            </w:r>
            <w:proofErr w:type="spellStart"/>
            <w:r>
              <w:rPr>
                <w:b w:val="0"/>
              </w:rPr>
              <w:t>plt</w:t>
            </w:r>
            <w:proofErr w:type="spellEnd"/>
            <w:r>
              <w:rPr>
                <w:b w:val="0"/>
              </w:rPr>
              <w:t xml:space="preserve"> was not present when asked. </w:t>
            </w:r>
          </w:p>
          <w:p w:rsidR="00DA1C85" w:rsidRDefault="002D2E25" w:rsidP="00EA0C13">
            <w:pPr>
              <w:pStyle w:val="ListParagraph"/>
              <w:numPr>
                <w:ilvl w:val="0"/>
                <w:numId w:val="5"/>
              </w:numPr>
              <w:rPr>
                <w:b w:val="0"/>
              </w:rPr>
            </w:pPr>
            <w:r>
              <w:rPr>
                <w:b w:val="0"/>
              </w:rPr>
              <w:t>October</w:t>
            </w:r>
            <w:r w:rsidR="00CB5A7A">
              <w:rPr>
                <w:b w:val="0"/>
              </w:rPr>
              <w:t xml:space="preserve"> </w:t>
            </w:r>
            <w:r w:rsidR="00752F51">
              <w:rPr>
                <w:b w:val="0"/>
              </w:rPr>
              <w:t xml:space="preserve">utilization </w:t>
            </w:r>
            <w:r w:rsidR="00DA1C85">
              <w:rPr>
                <w:b w:val="0"/>
              </w:rPr>
              <w:t>data</w:t>
            </w:r>
          </w:p>
          <w:p w:rsidR="00DA1C85" w:rsidRDefault="002D2E25" w:rsidP="00B87C4C">
            <w:pPr>
              <w:pStyle w:val="ListParagraph"/>
              <w:numPr>
                <w:ilvl w:val="0"/>
                <w:numId w:val="3"/>
              </w:numPr>
              <w:ind w:left="1080"/>
              <w:rPr>
                <w:b w:val="0"/>
              </w:rPr>
            </w:pPr>
            <w:r>
              <w:rPr>
                <w:b w:val="0"/>
              </w:rPr>
              <w:t>RBC</w:t>
            </w:r>
            <w:r w:rsidR="00DF5592">
              <w:rPr>
                <w:b w:val="0"/>
              </w:rPr>
              <w:t>-2</w:t>
            </w:r>
          </w:p>
          <w:p w:rsidR="000F354E" w:rsidRDefault="002D2E25" w:rsidP="00B87C4C">
            <w:pPr>
              <w:pStyle w:val="ListParagraph"/>
              <w:numPr>
                <w:ilvl w:val="0"/>
                <w:numId w:val="3"/>
              </w:numPr>
              <w:ind w:left="1080"/>
              <w:rPr>
                <w:b w:val="0"/>
              </w:rPr>
            </w:pPr>
            <w:r>
              <w:rPr>
                <w:b w:val="0"/>
              </w:rPr>
              <w:t>PLTs</w:t>
            </w:r>
            <w:r w:rsidR="00DF5592">
              <w:rPr>
                <w:b w:val="0"/>
              </w:rPr>
              <w:t>-3 outdate</w:t>
            </w:r>
          </w:p>
          <w:p w:rsidR="00DA1C85" w:rsidRPr="000F354E" w:rsidRDefault="002D2E25" w:rsidP="00B87C4C">
            <w:pPr>
              <w:pStyle w:val="ListParagraph"/>
              <w:numPr>
                <w:ilvl w:val="0"/>
                <w:numId w:val="3"/>
              </w:numPr>
              <w:ind w:left="1080"/>
              <w:rPr>
                <w:b w:val="0"/>
              </w:rPr>
            </w:pPr>
            <w:r>
              <w:rPr>
                <w:b w:val="0"/>
              </w:rPr>
              <w:t>Plasma</w:t>
            </w:r>
            <w:r w:rsidR="00DF5592">
              <w:rPr>
                <w:b w:val="0"/>
              </w:rPr>
              <w:t>- 1</w:t>
            </w:r>
          </w:p>
          <w:p w:rsidR="00CB2B1D" w:rsidRPr="00A62A03" w:rsidRDefault="002D2E25" w:rsidP="00324FF5">
            <w:pPr>
              <w:pStyle w:val="ListParagraph"/>
              <w:numPr>
                <w:ilvl w:val="0"/>
                <w:numId w:val="3"/>
              </w:numPr>
              <w:ind w:left="1080"/>
              <w:rPr>
                <w:b w:val="0"/>
              </w:rPr>
            </w:pPr>
            <w:r>
              <w:rPr>
                <w:b w:val="0"/>
              </w:rPr>
              <w:t>Cryo</w:t>
            </w:r>
            <w:r w:rsidR="00DF5592">
              <w:rPr>
                <w:b w:val="0"/>
              </w:rPr>
              <w:t xml:space="preserve">-0 </w:t>
            </w:r>
          </w:p>
        </w:tc>
      </w:tr>
      <w:tr w:rsidR="00EE5A48" w:rsidRPr="00CB2B1D" w:rsidTr="00BD1504">
        <w:tc>
          <w:tcPr>
            <w:tcW w:w="3592" w:type="dxa"/>
          </w:tcPr>
          <w:p w:rsidR="00EE5A48" w:rsidRPr="00CB2B1D" w:rsidRDefault="00EE5A48">
            <w:r>
              <w:t>Other</w:t>
            </w:r>
          </w:p>
        </w:tc>
        <w:tc>
          <w:tcPr>
            <w:tcW w:w="7038" w:type="dxa"/>
            <w:gridSpan w:val="2"/>
          </w:tcPr>
          <w:p w:rsidR="00880BCD" w:rsidRDefault="00E1208F" w:rsidP="00813E05">
            <w:pPr>
              <w:pStyle w:val="ListParagraph"/>
              <w:numPr>
                <w:ilvl w:val="0"/>
                <w:numId w:val="5"/>
              </w:numPr>
              <w:rPr>
                <w:b w:val="0"/>
              </w:rPr>
            </w:pPr>
            <w:r>
              <w:rPr>
                <w:b w:val="0"/>
              </w:rPr>
              <w:t>Performance evaluations – continuing education documentation due 12/15/15</w:t>
            </w:r>
            <w:r w:rsidR="00602F3D">
              <w:rPr>
                <w:b w:val="0"/>
              </w:rPr>
              <w:t xml:space="preserve">. All staff should complete the continuing education form and submit by 12/15/15. Nina will scan them and email to </w:t>
            </w:r>
            <w:proofErr w:type="spellStart"/>
            <w:r w:rsidR="00602F3D">
              <w:rPr>
                <w:b w:val="0"/>
              </w:rPr>
              <w:t>labmed</w:t>
            </w:r>
            <w:proofErr w:type="spellEnd"/>
            <w:r w:rsidR="00602F3D">
              <w:rPr>
                <w:b w:val="0"/>
              </w:rPr>
              <w:t xml:space="preserve"> education. All staff evaluation will be completed by the end of December. </w:t>
            </w:r>
          </w:p>
          <w:p w:rsidR="00E1208F" w:rsidRDefault="00E1208F" w:rsidP="00813E05">
            <w:pPr>
              <w:pStyle w:val="ListParagraph"/>
              <w:numPr>
                <w:ilvl w:val="0"/>
                <w:numId w:val="5"/>
              </w:numPr>
              <w:rPr>
                <w:b w:val="0"/>
              </w:rPr>
            </w:pPr>
            <w:r>
              <w:rPr>
                <w:b w:val="0"/>
              </w:rPr>
              <w:t xml:space="preserve">Attendance- as we enter the flu season, </w:t>
            </w:r>
            <w:proofErr w:type="gramStart"/>
            <w:r>
              <w:rPr>
                <w:b w:val="0"/>
              </w:rPr>
              <w:t>be</w:t>
            </w:r>
            <w:proofErr w:type="gramEnd"/>
            <w:r>
              <w:rPr>
                <w:b w:val="0"/>
              </w:rPr>
              <w:t xml:space="preserve"> aware of the tardiness and sick calls</w:t>
            </w:r>
            <w:r w:rsidR="00602F3D">
              <w:rPr>
                <w:b w:val="0"/>
              </w:rPr>
              <w:t xml:space="preserve">. Staff that needs FMLA should complete the paperwork and send to HR. </w:t>
            </w:r>
          </w:p>
          <w:p w:rsidR="00E1208F" w:rsidRDefault="00E1208F" w:rsidP="00813E05">
            <w:pPr>
              <w:pStyle w:val="ListParagraph"/>
              <w:numPr>
                <w:ilvl w:val="0"/>
                <w:numId w:val="5"/>
              </w:numPr>
              <w:rPr>
                <w:b w:val="0"/>
              </w:rPr>
            </w:pPr>
            <w:r>
              <w:rPr>
                <w:b w:val="0"/>
              </w:rPr>
              <w:t xml:space="preserve">Rounding –Stoplight report </w:t>
            </w:r>
            <w:r w:rsidR="00602F3D">
              <w:rPr>
                <w:b w:val="0"/>
              </w:rPr>
              <w:t xml:space="preserve">will be done once per quarter to summarize results from the rounding. </w:t>
            </w:r>
          </w:p>
          <w:p w:rsidR="00DF5592" w:rsidRPr="00A62A03" w:rsidRDefault="00DF5592" w:rsidP="00813E05">
            <w:pPr>
              <w:pStyle w:val="ListParagraph"/>
              <w:numPr>
                <w:ilvl w:val="0"/>
                <w:numId w:val="5"/>
              </w:numPr>
              <w:rPr>
                <w:b w:val="0"/>
              </w:rPr>
            </w:pPr>
            <w:r>
              <w:rPr>
                <w:b w:val="0"/>
              </w:rPr>
              <w:t>Vacation time off requests</w:t>
            </w:r>
            <w:r w:rsidR="00602F3D">
              <w:rPr>
                <w:b w:val="0"/>
              </w:rPr>
              <w:t xml:space="preserve">- time off requests will be denied if there are requested on dates when there is only 4 techs working per shift. Please trade if possible. </w:t>
            </w:r>
          </w:p>
        </w:tc>
      </w:tr>
      <w:tr w:rsidR="00602F3D" w:rsidRPr="00CB2B1D" w:rsidTr="00BD1504">
        <w:tc>
          <w:tcPr>
            <w:tcW w:w="3592" w:type="dxa"/>
          </w:tcPr>
          <w:p w:rsidR="00602F3D" w:rsidRDefault="00602F3D">
            <w:r>
              <w:t>Staff Q and A</w:t>
            </w:r>
          </w:p>
        </w:tc>
        <w:tc>
          <w:tcPr>
            <w:tcW w:w="7038" w:type="dxa"/>
            <w:gridSpan w:val="2"/>
          </w:tcPr>
          <w:p w:rsidR="00602F3D" w:rsidRPr="003B2472" w:rsidRDefault="00602F3D" w:rsidP="00813E05">
            <w:pPr>
              <w:pStyle w:val="ListParagraph"/>
              <w:numPr>
                <w:ilvl w:val="0"/>
                <w:numId w:val="5"/>
              </w:numPr>
            </w:pPr>
            <w:r w:rsidRPr="003B2472">
              <w:t>Should 2 samples drawn at the same date and time be rejected for the 2</w:t>
            </w:r>
            <w:r w:rsidRPr="003B2472">
              <w:rPr>
                <w:vertAlign w:val="superscript"/>
              </w:rPr>
              <w:t>nd</w:t>
            </w:r>
            <w:r w:rsidRPr="003B2472">
              <w:t xml:space="preserve"> sample requirement?</w:t>
            </w:r>
          </w:p>
          <w:p w:rsidR="003B2472" w:rsidRPr="003B2472" w:rsidRDefault="0039578B" w:rsidP="0039578B">
            <w:pPr>
              <w:pStyle w:val="ListParagraph"/>
              <w:ind w:left="720"/>
              <w:rPr>
                <w:b w:val="0"/>
                <w:i/>
              </w:rPr>
            </w:pPr>
            <w:r w:rsidRPr="003B2472">
              <w:rPr>
                <w:b w:val="0"/>
                <w:i/>
              </w:rPr>
              <w:t>Confirm with the nurse that the samples were drawn independently. If yes, then the 2</w:t>
            </w:r>
            <w:r w:rsidRPr="003B2472">
              <w:rPr>
                <w:b w:val="0"/>
                <w:i/>
                <w:vertAlign w:val="superscript"/>
              </w:rPr>
              <w:t>nd</w:t>
            </w:r>
            <w:r w:rsidRPr="003B2472">
              <w:rPr>
                <w:b w:val="0"/>
                <w:i/>
              </w:rPr>
              <w:t xml:space="preserve"> draw can be accepted as ABRH2. There is no time difference limitation between the 1</w:t>
            </w:r>
            <w:r w:rsidRPr="003B2472">
              <w:rPr>
                <w:b w:val="0"/>
                <w:i/>
                <w:vertAlign w:val="superscript"/>
              </w:rPr>
              <w:t>st</w:t>
            </w:r>
            <w:r w:rsidRPr="003B2472">
              <w:rPr>
                <w:b w:val="0"/>
                <w:i/>
              </w:rPr>
              <w:t xml:space="preserve"> TSCR and the 2</w:t>
            </w:r>
            <w:r w:rsidRPr="003B2472">
              <w:rPr>
                <w:b w:val="0"/>
                <w:i/>
                <w:vertAlign w:val="superscript"/>
              </w:rPr>
              <w:t>nd</w:t>
            </w:r>
            <w:r w:rsidRPr="003B2472">
              <w:rPr>
                <w:b w:val="0"/>
                <w:i/>
              </w:rPr>
              <w:t xml:space="preserve"> ABRH2. As long as the nurses have </w:t>
            </w:r>
            <w:proofErr w:type="spellStart"/>
            <w:r w:rsidRPr="003B2472">
              <w:rPr>
                <w:b w:val="0"/>
                <w:i/>
              </w:rPr>
              <w:t>reidentified</w:t>
            </w:r>
            <w:proofErr w:type="spellEnd"/>
            <w:r w:rsidRPr="003B2472">
              <w:rPr>
                <w:b w:val="0"/>
                <w:i/>
              </w:rPr>
              <w:t xml:space="preserve"> the patient and performed an independent draw, both samples are accepted. We will discuss this with Abby </w:t>
            </w:r>
          </w:p>
          <w:p w:rsidR="0039578B" w:rsidRPr="003B2472" w:rsidRDefault="003B2472" w:rsidP="0039578B">
            <w:pPr>
              <w:pStyle w:val="ListParagraph"/>
              <w:ind w:left="720"/>
              <w:rPr>
                <w:b w:val="0"/>
                <w:i/>
              </w:rPr>
            </w:pPr>
            <w:r w:rsidRPr="003B2472">
              <w:rPr>
                <w:b w:val="0"/>
                <w:i/>
              </w:rPr>
              <w:t>(</w:t>
            </w:r>
            <w:proofErr w:type="gramStart"/>
            <w:r w:rsidR="0039578B" w:rsidRPr="003B2472">
              <w:rPr>
                <w:b w:val="0"/>
                <w:i/>
              </w:rPr>
              <w:t>she</w:t>
            </w:r>
            <w:proofErr w:type="gramEnd"/>
            <w:r w:rsidR="0039578B" w:rsidRPr="003B2472">
              <w:rPr>
                <w:b w:val="0"/>
                <w:i/>
              </w:rPr>
              <w:t xml:space="preserve"> is covering for Patrick) to improve </w:t>
            </w:r>
            <w:r w:rsidRPr="003B2472">
              <w:rPr>
                <w:b w:val="0"/>
                <w:i/>
              </w:rPr>
              <w:t>the current process. More to follow…</w:t>
            </w:r>
            <w:bookmarkStart w:id="0" w:name="_GoBack"/>
            <w:bookmarkEnd w:id="0"/>
          </w:p>
          <w:p w:rsidR="00602F3D" w:rsidRPr="0039578B" w:rsidRDefault="0039578B" w:rsidP="0039578B">
            <w:pPr>
              <w:pStyle w:val="ListParagraph"/>
              <w:numPr>
                <w:ilvl w:val="0"/>
                <w:numId w:val="5"/>
              </w:numPr>
              <w:rPr>
                <w:b w:val="0"/>
              </w:rPr>
            </w:pPr>
            <w:r w:rsidRPr="0039578B">
              <w:t xml:space="preserve">It was noticed that TXA was given on a trauma where the MTP was not activated. Is this something the lab </w:t>
            </w:r>
            <w:proofErr w:type="gramStart"/>
            <w:r w:rsidRPr="0039578B">
              <w:t>staff need</w:t>
            </w:r>
            <w:proofErr w:type="gramEnd"/>
            <w:r w:rsidRPr="0039578B">
              <w:t xml:space="preserve"> to follow up on? </w:t>
            </w:r>
          </w:p>
          <w:p w:rsidR="0039578B" w:rsidRPr="0039578B" w:rsidRDefault="0039578B" w:rsidP="0039578B">
            <w:pPr>
              <w:pStyle w:val="ListParagraph"/>
              <w:ind w:left="720"/>
              <w:rPr>
                <w:b w:val="0"/>
                <w:i/>
              </w:rPr>
            </w:pPr>
            <w:r w:rsidRPr="0039578B">
              <w:rPr>
                <w:b w:val="0"/>
                <w:i/>
              </w:rPr>
              <w:t xml:space="preserve">No. The trauma folks do want to know which patients had MTP activated. This allows for them to check if the patient had received TXA as part of protocol. They know the patients that have received TXA but they don’t know the patients that should get TXA but didn’t. Therefore our audit of which ones have the MTP activated is very helpful to the trauma team. </w:t>
            </w:r>
          </w:p>
        </w:tc>
      </w:tr>
    </w:tbl>
    <w:p w:rsidR="00104C97" w:rsidRDefault="00104C97" w:rsidP="00A62A03"/>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1209C9"/>
    <w:multiLevelType w:val="hybridMultilevel"/>
    <w:tmpl w:val="B20A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03D2E"/>
    <w:multiLevelType w:val="hybridMultilevel"/>
    <w:tmpl w:val="124E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7"/>
  </w:num>
  <w:num w:numId="6">
    <w:abstractNumId w:val="9"/>
  </w:num>
  <w:num w:numId="7">
    <w:abstractNumId w:val="4"/>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37D5C"/>
    <w:rsid w:val="00072EBF"/>
    <w:rsid w:val="000E30B7"/>
    <w:rsid w:val="000F354E"/>
    <w:rsid w:val="00104C97"/>
    <w:rsid w:val="001E5E7F"/>
    <w:rsid w:val="00202A12"/>
    <w:rsid w:val="002341E8"/>
    <w:rsid w:val="002562C8"/>
    <w:rsid w:val="002D165D"/>
    <w:rsid w:val="002D2E25"/>
    <w:rsid w:val="00324FF5"/>
    <w:rsid w:val="0039578B"/>
    <w:rsid w:val="003B2472"/>
    <w:rsid w:val="003D69DD"/>
    <w:rsid w:val="00415824"/>
    <w:rsid w:val="004D30F8"/>
    <w:rsid w:val="00571D9D"/>
    <w:rsid w:val="005C6A48"/>
    <w:rsid w:val="005E6EA2"/>
    <w:rsid w:val="00602F3D"/>
    <w:rsid w:val="00625EF4"/>
    <w:rsid w:val="006301A0"/>
    <w:rsid w:val="00635CD8"/>
    <w:rsid w:val="006579D4"/>
    <w:rsid w:val="0066685A"/>
    <w:rsid w:val="00672E8D"/>
    <w:rsid w:val="006F2121"/>
    <w:rsid w:val="007229FD"/>
    <w:rsid w:val="00752F51"/>
    <w:rsid w:val="00770977"/>
    <w:rsid w:val="00776EDA"/>
    <w:rsid w:val="00813991"/>
    <w:rsid w:val="00813E05"/>
    <w:rsid w:val="0082115F"/>
    <w:rsid w:val="00877D60"/>
    <w:rsid w:val="00880BCD"/>
    <w:rsid w:val="008B5F7A"/>
    <w:rsid w:val="008C1727"/>
    <w:rsid w:val="00915AD8"/>
    <w:rsid w:val="009D1B10"/>
    <w:rsid w:val="00A52519"/>
    <w:rsid w:val="00A62A03"/>
    <w:rsid w:val="00A66A17"/>
    <w:rsid w:val="00AC6FB3"/>
    <w:rsid w:val="00B10B7A"/>
    <w:rsid w:val="00B45650"/>
    <w:rsid w:val="00B46151"/>
    <w:rsid w:val="00B87C4C"/>
    <w:rsid w:val="00BC3B93"/>
    <w:rsid w:val="00BD1504"/>
    <w:rsid w:val="00BD323D"/>
    <w:rsid w:val="00BE4BBA"/>
    <w:rsid w:val="00C10615"/>
    <w:rsid w:val="00C7555C"/>
    <w:rsid w:val="00CA06A7"/>
    <w:rsid w:val="00CB2B1D"/>
    <w:rsid w:val="00CB5A7A"/>
    <w:rsid w:val="00D31527"/>
    <w:rsid w:val="00D45F76"/>
    <w:rsid w:val="00D91017"/>
    <w:rsid w:val="00DA1C85"/>
    <w:rsid w:val="00DE50FD"/>
    <w:rsid w:val="00DF5592"/>
    <w:rsid w:val="00DF5F1C"/>
    <w:rsid w:val="00E1208F"/>
    <w:rsid w:val="00E14CBA"/>
    <w:rsid w:val="00E20E54"/>
    <w:rsid w:val="00EA0C13"/>
    <w:rsid w:val="00EA6BB8"/>
    <w:rsid w:val="00EB575A"/>
    <w:rsid w:val="00ED5200"/>
    <w:rsid w:val="00EE5A48"/>
    <w:rsid w:val="00F3589D"/>
    <w:rsid w:val="00F414F0"/>
    <w:rsid w:val="00F56FAE"/>
    <w:rsid w:val="00F81DDB"/>
    <w:rsid w:val="00FA710D"/>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76FE-A6F4-424C-8252-651B6726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2015-05-21T00:18:00Z</cp:lastPrinted>
  <dcterms:created xsi:type="dcterms:W3CDTF">2015-11-21T00:37:00Z</dcterms:created>
  <dcterms:modified xsi:type="dcterms:W3CDTF">2015-11-21T00:37:00Z</dcterms:modified>
</cp:coreProperties>
</file>