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and processing </w:t>
      </w:r>
      <w:r w:rsidR="00BB65EE">
        <w:rPr>
          <w:rFonts w:ascii="Arial" w:hAnsi="Arial" w:cs="Arial"/>
          <w:sz w:val="22"/>
          <w:szCs w:val="22"/>
        </w:rPr>
        <w:t>Low Titer Pla</w:t>
      </w:r>
      <w:r w:rsidR="00020453">
        <w:rPr>
          <w:rFonts w:ascii="Arial" w:hAnsi="Arial" w:cs="Arial"/>
          <w:sz w:val="22"/>
          <w:szCs w:val="22"/>
        </w:rPr>
        <w:t>telets</w:t>
      </w:r>
      <w:r w:rsidR="00BB65EE">
        <w:rPr>
          <w:rFonts w:ascii="Arial" w:hAnsi="Arial" w:cs="Arial"/>
          <w:sz w:val="22"/>
          <w:szCs w:val="22"/>
        </w:rPr>
        <w:t xml:space="preserve"> (</w:t>
      </w:r>
      <w:r w:rsidR="00BB65EE" w:rsidRPr="00022888">
        <w:rPr>
          <w:rFonts w:ascii="Arial" w:hAnsi="Arial" w:cs="Arial"/>
          <w:sz w:val="22"/>
          <w:szCs w:val="22"/>
        </w:rPr>
        <w:t>LTP</w:t>
      </w:r>
      <w:r w:rsidR="00020453" w:rsidRPr="00022888">
        <w:rPr>
          <w:rFonts w:ascii="Arial" w:hAnsi="Arial" w:cs="Arial"/>
          <w:sz w:val="22"/>
          <w:szCs w:val="22"/>
        </w:rPr>
        <w:t>LT</w:t>
      </w:r>
      <w:r w:rsidR="00BB65EE" w:rsidRPr="00022888">
        <w:rPr>
          <w:rFonts w:ascii="Arial" w:hAnsi="Arial" w:cs="Arial"/>
          <w:sz w:val="22"/>
          <w:szCs w:val="22"/>
        </w:rPr>
        <w:t>)</w:t>
      </w:r>
      <w:r w:rsidR="00BB65EE">
        <w:rPr>
          <w:rFonts w:ascii="Arial" w:hAnsi="Arial" w:cs="Arial"/>
          <w:sz w:val="22"/>
          <w:szCs w:val="22"/>
        </w:rPr>
        <w:t xml:space="preserve"> </w:t>
      </w:r>
      <w:r w:rsidR="00B54453">
        <w:rPr>
          <w:rFonts w:ascii="Arial" w:hAnsi="Arial" w:cs="Arial"/>
          <w:sz w:val="22"/>
          <w:szCs w:val="22"/>
        </w:rPr>
        <w:t>for use at HMC</w:t>
      </w:r>
      <w:r>
        <w:rPr>
          <w:rFonts w:ascii="Arial" w:hAnsi="Arial" w:cs="Arial"/>
          <w:sz w:val="22"/>
          <w:szCs w:val="22"/>
        </w:rPr>
        <w:t xml:space="preserve"> </w:t>
      </w:r>
      <w:r w:rsidR="00B54453">
        <w:rPr>
          <w:rFonts w:ascii="Arial" w:hAnsi="Arial" w:cs="Arial"/>
          <w:sz w:val="22"/>
          <w:szCs w:val="22"/>
        </w:rPr>
        <w:t>Transfusion Services L</w:t>
      </w:r>
      <w:r w:rsidR="00BB65EE">
        <w:rPr>
          <w:rFonts w:ascii="Arial" w:hAnsi="Arial" w:cs="Arial"/>
          <w:sz w:val="22"/>
          <w:szCs w:val="22"/>
        </w:rPr>
        <w:t>aboratory</w:t>
      </w:r>
      <w:r w:rsidR="00C72F9C">
        <w:rPr>
          <w:rFonts w:ascii="Arial" w:hAnsi="Arial" w:cs="Arial"/>
          <w:sz w:val="22"/>
          <w:szCs w:val="22"/>
        </w:rPr>
        <w:t xml:space="preserve"> (TSL)</w:t>
      </w:r>
      <w:r w:rsidR="00BB65EE">
        <w:rPr>
          <w:rFonts w:ascii="Arial" w:hAnsi="Arial" w:cs="Arial"/>
          <w:sz w:val="22"/>
          <w:szCs w:val="22"/>
        </w:rPr>
        <w:t>.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Pr="00C72F9C" w:rsidRDefault="00BB65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 Titer </w:t>
      </w:r>
      <w:r w:rsidR="00B400FC">
        <w:rPr>
          <w:rFonts w:ascii="Arial" w:hAnsi="Arial" w:cs="Arial"/>
          <w:sz w:val="22"/>
          <w:szCs w:val="22"/>
        </w:rPr>
        <w:t>Pla</w:t>
      </w:r>
      <w:r w:rsidR="00020453">
        <w:rPr>
          <w:rFonts w:ascii="Arial" w:hAnsi="Arial" w:cs="Arial"/>
          <w:sz w:val="22"/>
          <w:szCs w:val="22"/>
        </w:rPr>
        <w:t>telets</w:t>
      </w:r>
      <w:r w:rsidR="00B400FC">
        <w:rPr>
          <w:rFonts w:ascii="Arial" w:hAnsi="Arial" w:cs="Arial"/>
          <w:sz w:val="22"/>
          <w:szCs w:val="22"/>
        </w:rPr>
        <w:t xml:space="preserve"> will be received and used by Harborview Medical Center Transfusion Services as part of the inventory. </w:t>
      </w:r>
      <w:r>
        <w:rPr>
          <w:rFonts w:ascii="Arial" w:hAnsi="Arial" w:cs="Arial"/>
          <w:sz w:val="22"/>
          <w:szCs w:val="22"/>
        </w:rPr>
        <w:t xml:space="preserve">Product will primarily be used for trauma and massive transfusion </w:t>
      </w:r>
      <w:r w:rsidRPr="00C72F9C">
        <w:rPr>
          <w:rFonts w:ascii="Arial" w:hAnsi="Arial" w:cs="Arial"/>
          <w:sz w:val="22"/>
          <w:szCs w:val="22"/>
        </w:rPr>
        <w:t>response</w:t>
      </w:r>
      <w:r w:rsidR="00EC64DA" w:rsidRPr="00C72F9C">
        <w:rPr>
          <w:rFonts w:ascii="Arial" w:hAnsi="Arial" w:cs="Arial"/>
          <w:sz w:val="22"/>
          <w:szCs w:val="22"/>
        </w:rPr>
        <w:t xml:space="preserve"> when no ABO </w:t>
      </w:r>
      <w:r w:rsidR="007A0EA6" w:rsidRPr="00C72F9C">
        <w:rPr>
          <w:rFonts w:ascii="Arial" w:hAnsi="Arial" w:cs="Arial"/>
          <w:sz w:val="22"/>
          <w:szCs w:val="22"/>
        </w:rPr>
        <w:t xml:space="preserve">testing </w:t>
      </w:r>
      <w:r w:rsidR="00EC64DA" w:rsidRPr="00C72F9C">
        <w:rPr>
          <w:rFonts w:ascii="Arial" w:hAnsi="Arial" w:cs="Arial"/>
          <w:sz w:val="22"/>
          <w:szCs w:val="22"/>
        </w:rPr>
        <w:t>has been performed on the patient</w:t>
      </w:r>
      <w:r w:rsidR="00C72F9C" w:rsidRPr="00C72F9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2F9C" w:rsidRPr="00C72F9C">
        <w:rPr>
          <w:rFonts w:ascii="Arial" w:hAnsi="Arial" w:cs="Arial"/>
          <w:sz w:val="22"/>
          <w:szCs w:val="22"/>
        </w:rPr>
        <w:t>Bloodworks</w:t>
      </w:r>
      <w:proofErr w:type="spellEnd"/>
      <w:r w:rsidR="00C72F9C" w:rsidRPr="00C72F9C">
        <w:rPr>
          <w:rFonts w:ascii="Arial" w:hAnsi="Arial" w:cs="Arial"/>
          <w:sz w:val="22"/>
          <w:szCs w:val="22"/>
        </w:rPr>
        <w:t xml:space="preserve"> N</w:t>
      </w:r>
      <w:r w:rsidR="00347E49">
        <w:rPr>
          <w:rFonts w:ascii="Arial" w:hAnsi="Arial" w:cs="Arial"/>
          <w:sz w:val="22"/>
          <w:szCs w:val="22"/>
        </w:rPr>
        <w:t>orthwest</w:t>
      </w:r>
      <w:r w:rsidR="00C72F9C" w:rsidRPr="00C72F9C">
        <w:rPr>
          <w:rFonts w:ascii="Arial" w:hAnsi="Arial" w:cs="Arial"/>
          <w:sz w:val="22"/>
          <w:szCs w:val="22"/>
        </w:rPr>
        <w:t xml:space="preserve"> will test group O single donor apheresis</w:t>
      </w:r>
      <w:r w:rsidR="00C72F9C">
        <w:rPr>
          <w:rFonts w:ascii="Arial" w:hAnsi="Arial" w:cs="Arial"/>
          <w:sz w:val="22"/>
          <w:szCs w:val="22"/>
        </w:rPr>
        <w:t xml:space="preserve"> platelets for anti-A and anti-B high titers &gt;1:150. Platelets that test as negative will be labeled as “No High Titer Antibody to A and/or B antigens Detected”</w:t>
      </w:r>
    </w:p>
    <w:p w:rsidR="00B400FC" w:rsidRDefault="00B400FC">
      <w:pPr>
        <w:rPr>
          <w:rFonts w:ascii="Arial" w:hAnsi="Arial" w:cs="Arial"/>
          <w:sz w:val="22"/>
          <w:szCs w:val="22"/>
        </w:rPr>
      </w:pPr>
    </w:p>
    <w:p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Pr="00C72F9C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2F9C"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 w:rsidRPr="00C72F9C">
        <w:rPr>
          <w:rFonts w:ascii="Arial" w:hAnsi="Arial" w:cs="Arial"/>
          <w:sz w:val="22"/>
          <w:szCs w:val="22"/>
        </w:rPr>
        <w:t>eatening trauma/hemorrhages</w:t>
      </w:r>
    </w:p>
    <w:p w:rsidR="00EC64DA" w:rsidRPr="00C72F9C" w:rsidRDefault="00EC64DA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2F9C">
        <w:rPr>
          <w:rFonts w:ascii="Arial" w:hAnsi="Arial" w:cs="Arial"/>
          <w:sz w:val="22"/>
          <w:szCs w:val="22"/>
        </w:rPr>
        <w:t>Treatment of patients whose ABO is unknown</w:t>
      </w:r>
    </w:p>
    <w:p w:rsidR="00024693" w:rsidRPr="00C72F9C" w:rsidRDefault="00024693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2F9C">
        <w:rPr>
          <w:rFonts w:ascii="Arial" w:hAnsi="Arial" w:cs="Arial"/>
          <w:sz w:val="22"/>
          <w:szCs w:val="22"/>
        </w:rPr>
        <w:t>Utilized as regular stock for patients whose ABO is known</w:t>
      </w:r>
    </w:p>
    <w:p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:rsidR="00BB65EE" w:rsidRPr="007A0EA6" w:rsidRDefault="00BB65EE" w:rsidP="007A0EA6">
      <w:pPr>
        <w:rPr>
          <w:rFonts w:ascii="Arial" w:hAnsi="Arial" w:cs="Arial"/>
          <w:strike/>
          <w:sz w:val="22"/>
          <w:szCs w:val="22"/>
        </w:rPr>
      </w:pPr>
    </w:p>
    <w:p w:rsidR="00E86808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:rsidR="00C72F9C" w:rsidRPr="00BB65EE" w:rsidRDefault="00C72F9C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TSL Medical Director</w:t>
      </w:r>
      <w:r w:rsidR="00B54453">
        <w:rPr>
          <w:rFonts w:ascii="Arial" w:hAnsi="Arial" w:cs="Arial"/>
          <w:sz w:val="22"/>
          <w:szCs w:val="22"/>
        </w:rPr>
        <w:t xml:space="preserve"> approval required</w:t>
      </w:r>
      <w:r>
        <w:rPr>
          <w:rFonts w:ascii="Arial" w:hAnsi="Arial" w:cs="Arial"/>
          <w:sz w:val="22"/>
          <w:szCs w:val="22"/>
        </w:rPr>
        <w:t xml:space="preserve"> </w:t>
      </w:r>
      <w:r w:rsidR="00B54453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patients with specific platelet type requirements such as bone marrow transplants</w:t>
      </w:r>
    </w:p>
    <w:p w:rsidR="00BC6ED0" w:rsidRDefault="00BC6ED0">
      <w:pPr>
        <w:rPr>
          <w:rFonts w:ascii="Arial" w:hAnsi="Arial" w:cs="Arial"/>
          <w:sz w:val="22"/>
          <w:szCs w:val="22"/>
        </w:rPr>
      </w:pPr>
    </w:p>
    <w:p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700"/>
      </w:tblGrid>
      <w:tr w:rsidR="00E937E9" w:rsidRPr="00E937E9" w:rsidTr="00BB5546">
        <w:tc>
          <w:tcPr>
            <w:tcW w:w="738" w:type="dxa"/>
            <w:vAlign w:val="center"/>
          </w:tcPr>
          <w:p w:rsidR="00E937E9" w:rsidRPr="00E937E9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RPr="004D5C22" w:rsidTr="00BB5546">
        <w:tc>
          <w:tcPr>
            <w:tcW w:w="738" w:type="dxa"/>
          </w:tcPr>
          <w:p w:rsidR="00BB65EE" w:rsidRPr="00C72F9C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BB65EE" w:rsidRPr="00C72F9C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Order Low Titer Pla</w:t>
            </w:r>
            <w:r w:rsidR="001C31DA" w:rsidRPr="00C72F9C">
              <w:rPr>
                <w:rFonts w:ascii="Arial" w:hAnsi="Arial" w:cs="Arial"/>
                <w:sz w:val="22"/>
                <w:szCs w:val="22"/>
              </w:rPr>
              <w:t>telets</w:t>
            </w:r>
            <w:r w:rsidRPr="00C72F9C">
              <w:rPr>
                <w:rFonts w:ascii="Arial" w:hAnsi="Arial" w:cs="Arial"/>
                <w:sz w:val="22"/>
                <w:szCs w:val="22"/>
              </w:rPr>
              <w:t xml:space="preserve"> (LTP</w:t>
            </w:r>
            <w:r w:rsidR="001C31DA" w:rsidRPr="00C72F9C">
              <w:rPr>
                <w:rFonts w:ascii="Arial" w:hAnsi="Arial" w:cs="Arial"/>
                <w:sz w:val="22"/>
                <w:szCs w:val="22"/>
              </w:rPr>
              <w:t>LT</w:t>
            </w:r>
            <w:r w:rsidRPr="00C72F9C">
              <w:rPr>
                <w:rFonts w:ascii="Arial" w:hAnsi="Arial" w:cs="Arial"/>
                <w:sz w:val="22"/>
                <w:szCs w:val="22"/>
              </w:rPr>
              <w:t>) as needed.</w:t>
            </w:r>
          </w:p>
          <w:p w:rsidR="00BC6ED0" w:rsidRPr="00C72F9C" w:rsidRDefault="00BC6ED0" w:rsidP="004056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Units will be tagged with a “</w:t>
            </w:r>
            <w:r w:rsidR="004056E5" w:rsidRPr="00C72F9C">
              <w:rPr>
                <w:rFonts w:ascii="Arial" w:hAnsi="Arial" w:cs="Arial"/>
                <w:sz w:val="22"/>
                <w:szCs w:val="22"/>
              </w:rPr>
              <w:t xml:space="preserve">No high titer antibody to </w:t>
            </w:r>
            <w:r w:rsidR="001C31DA" w:rsidRPr="00C72F9C">
              <w:rPr>
                <w:rFonts w:ascii="Arial" w:hAnsi="Arial" w:cs="Arial"/>
                <w:sz w:val="22"/>
                <w:szCs w:val="22"/>
              </w:rPr>
              <w:t xml:space="preserve">A and/or </w:t>
            </w:r>
            <w:r w:rsidR="004056E5" w:rsidRPr="00C72F9C">
              <w:rPr>
                <w:rFonts w:ascii="Arial" w:hAnsi="Arial" w:cs="Arial"/>
                <w:sz w:val="22"/>
                <w:szCs w:val="22"/>
              </w:rPr>
              <w:t>B antigen</w:t>
            </w:r>
            <w:r w:rsidR="001C31DA" w:rsidRPr="00C72F9C">
              <w:rPr>
                <w:rFonts w:ascii="Arial" w:hAnsi="Arial" w:cs="Arial"/>
                <w:sz w:val="22"/>
                <w:szCs w:val="22"/>
              </w:rPr>
              <w:t>s</w:t>
            </w:r>
            <w:r w:rsidR="004056E5" w:rsidRPr="00C72F9C">
              <w:rPr>
                <w:rFonts w:ascii="Arial" w:hAnsi="Arial" w:cs="Arial"/>
                <w:sz w:val="22"/>
                <w:szCs w:val="22"/>
              </w:rPr>
              <w:t xml:space="preserve"> detected</w:t>
            </w:r>
            <w:r w:rsidRPr="00C72F9C">
              <w:rPr>
                <w:rFonts w:ascii="Arial" w:hAnsi="Arial" w:cs="Arial"/>
                <w:sz w:val="22"/>
                <w:szCs w:val="22"/>
              </w:rPr>
              <w:t>” sticker.</w:t>
            </w:r>
          </w:p>
        </w:tc>
        <w:tc>
          <w:tcPr>
            <w:tcW w:w="2700" w:type="dxa"/>
          </w:tcPr>
          <w:p w:rsidR="00BB65EE" w:rsidRPr="004D5C22" w:rsidRDefault="00BB65EE">
            <w:p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RPr="004D5C22" w:rsidTr="00BB5546">
        <w:tc>
          <w:tcPr>
            <w:tcW w:w="738" w:type="dxa"/>
          </w:tcPr>
          <w:p w:rsidR="00E937E9" w:rsidRPr="00C72F9C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BB65EE" w:rsidRPr="00C72F9C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:rsidR="002C7ED0" w:rsidRPr="00C72F9C" w:rsidRDefault="002C7ED0" w:rsidP="00BB55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Click on “Ag/Ab/Attributes tab</w:t>
            </w:r>
          </w:p>
          <w:p w:rsidR="0013627F" w:rsidRPr="00C72F9C" w:rsidRDefault="00BB5546" w:rsidP="002C7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In box for</w:t>
            </w:r>
            <w:r w:rsidR="00FE6981" w:rsidRPr="00C72F9C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2C7ED0" w:rsidRPr="00C72F9C">
              <w:rPr>
                <w:rFonts w:ascii="Arial" w:hAnsi="Arial" w:cs="Arial"/>
                <w:sz w:val="22"/>
                <w:szCs w:val="22"/>
              </w:rPr>
              <w:t>Antigen/Antibody</w:t>
            </w:r>
            <w:r w:rsidR="00FE6981" w:rsidRPr="00C72F9C">
              <w:rPr>
                <w:rFonts w:ascii="Arial" w:hAnsi="Arial" w:cs="Arial"/>
                <w:sz w:val="22"/>
                <w:szCs w:val="22"/>
              </w:rPr>
              <w:t>”</w:t>
            </w:r>
            <w:r w:rsidRPr="00C72F9C">
              <w:rPr>
                <w:rFonts w:ascii="Arial" w:hAnsi="Arial" w:cs="Arial"/>
                <w:sz w:val="22"/>
                <w:szCs w:val="22"/>
              </w:rPr>
              <w:t>, add</w:t>
            </w:r>
            <w:r w:rsidR="00BB65EE" w:rsidRPr="00C72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5EE" w:rsidRPr="00C72F9C">
              <w:rPr>
                <w:rFonts w:ascii="Arial" w:hAnsi="Arial" w:cs="Arial"/>
                <w:b/>
                <w:i/>
                <w:sz w:val="22"/>
                <w:szCs w:val="22"/>
              </w:rPr>
              <w:t>LTP</w:t>
            </w:r>
            <w:r w:rsidR="001C31DA" w:rsidRPr="00C72F9C">
              <w:rPr>
                <w:rFonts w:ascii="Arial" w:hAnsi="Arial" w:cs="Arial"/>
                <w:b/>
                <w:i/>
                <w:sz w:val="22"/>
                <w:szCs w:val="22"/>
              </w:rPr>
              <w:t>LT</w:t>
            </w:r>
            <w:r w:rsidR="00BB65EE" w:rsidRPr="00C72F9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EB154C" w:rsidRPr="00C72F9C" w:rsidRDefault="00AB7BE1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72F9C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C72F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5546" w:rsidRPr="00C72F9C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937E9" w:rsidRPr="004D5C22" w:rsidRDefault="007A0EA6" w:rsidP="00BB5546">
            <w:pPr>
              <w:pStyle w:val="ListParagraph"/>
              <w:ind w:left="0"/>
            </w:pPr>
            <w:r w:rsidRPr="00C72F9C">
              <w:rPr>
                <w:rFonts w:ascii="Arial" w:hAnsi="Arial" w:cs="Arial"/>
                <w:sz w:val="22"/>
                <w:szCs w:val="22"/>
              </w:rPr>
              <w:t>SQ Blood Product Entry</w:t>
            </w:r>
          </w:p>
        </w:tc>
      </w:tr>
      <w:tr w:rsidR="00E937E9" w:rsidRPr="004D5C22" w:rsidTr="00BB5546">
        <w:tc>
          <w:tcPr>
            <w:tcW w:w="738" w:type="dxa"/>
          </w:tcPr>
          <w:p w:rsidR="00E937E9" w:rsidRPr="004D5C22" w:rsidRDefault="00F31F34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E937E9" w:rsidRPr="004D5C22" w:rsidRDefault="00EC64DA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Low Titer Platelets</w:t>
            </w:r>
            <w:r w:rsidR="00BB65EE" w:rsidRPr="004D5C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B65EE" w:rsidRPr="004D5C22" w:rsidRDefault="0058483E" w:rsidP="00BB65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visual inspection </w:t>
            </w:r>
          </w:p>
          <w:p w:rsidR="00521D8E" w:rsidRPr="0058483E" w:rsidRDefault="00521D8E" w:rsidP="0058483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4056E5" w:rsidRDefault="00584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Blood Product Testing </w:t>
            </w:r>
          </w:p>
          <w:p w:rsidR="0006124B" w:rsidRDefault="0006124B">
            <w:pPr>
              <w:rPr>
                <w:rFonts w:ascii="Arial" w:hAnsi="Arial" w:cs="Arial"/>
                <w:sz w:val="22"/>
                <w:szCs w:val="22"/>
              </w:rPr>
            </w:pPr>
          </w:p>
          <w:p w:rsidR="0058483E" w:rsidRPr="004D5C22" w:rsidRDefault="00584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Visual Inspection of Plasma Products </w:t>
            </w:r>
          </w:p>
        </w:tc>
      </w:tr>
      <w:tr w:rsidR="00BB65EE" w:rsidRPr="00706BA3" w:rsidTr="00BB5546">
        <w:trPr>
          <w:trHeight w:val="800"/>
        </w:trPr>
        <w:tc>
          <w:tcPr>
            <w:tcW w:w="738" w:type="dxa"/>
          </w:tcPr>
          <w:p w:rsidR="00BB65EE" w:rsidRPr="004D5C22" w:rsidRDefault="00F31F34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BB65EE" w:rsidRPr="004D5C22" w:rsidRDefault="00BB65EE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t>Use of Low Titer Pla</w:t>
            </w:r>
            <w:r w:rsidR="001C31DA">
              <w:rPr>
                <w:rFonts w:ascii="Arial" w:hAnsi="Arial" w:cs="Arial"/>
                <w:b/>
                <w:sz w:val="22"/>
                <w:szCs w:val="22"/>
              </w:rPr>
              <w:t>telets</w:t>
            </w:r>
            <w:r w:rsidRPr="004D5C22">
              <w:rPr>
                <w:rFonts w:ascii="Arial" w:hAnsi="Arial" w:cs="Arial"/>
                <w:b/>
                <w:sz w:val="22"/>
                <w:szCs w:val="22"/>
              </w:rPr>
              <w:t xml:space="preserve"> (LTP</w:t>
            </w:r>
            <w:r w:rsidR="001C31DA">
              <w:rPr>
                <w:rFonts w:ascii="Arial" w:hAnsi="Arial" w:cs="Arial"/>
                <w:b/>
                <w:sz w:val="22"/>
                <w:szCs w:val="22"/>
              </w:rPr>
              <w:t>LT</w:t>
            </w:r>
            <w:r w:rsidRPr="004D5C2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4056E5" w:rsidRPr="004D5C22" w:rsidRDefault="003D7283" w:rsidP="004056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Pack</w:t>
            </w:r>
          </w:p>
          <w:p w:rsidR="00CB4094" w:rsidRPr="004D5C22" w:rsidRDefault="00CB4094" w:rsidP="004056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Patient orders</w:t>
            </w:r>
          </w:p>
        </w:tc>
        <w:tc>
          <w:tcPr>
            <w:tcW w:w="2700" w:type="dxa"/>
          </w:tcPr>
          <w:p w:rsidR="00BB65EE" w:rsidRPr="004D5C22" w:rsidRDefault="00EB154C" w:rsidP="0006124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 xml:space="preserve">Trauma </w:t>
            </w:r>
            <w:r w:rsidR="0006124B">
              <w:rPr>
                <w:rFonts w:ascii="Arial" w:hAnsi="Arial" w:cs="Arial"/>
                <w:sz w:val="22"/>
                <w:szCs w:val="22"/>
              </w:rPr>
              <w:t>Pack Maintenance</w:t>
            </w:r>
          </w:p>
          <w:p w:rsidR="00CB4094" w:rsidRPr="001C31DA" w:rsidRDefault="00CB4094" w:rsidP="00EB154C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CB4094" w:rsidRPr="00EB154C" w:rsidRDefault="00CB4094" w:rsidP="0006124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Selection of Platelets, Plasma, and </w:t>
            </w:r>
            <w:r w:rsidR="0006124B">
              <w:rPr>
                <w:rFonts w:ascii="Arial" w:hAnsi="Arial" w:cs="Arial"/>
                <w:sz w:val="22"/>
                <w:szCs w:val="22"/>
              </w:rPr>
              <w:t>Cryo</w:t>
            </w:r>
          </w:p>
        </w:tc>
      </w:tr>
      <w:tr w:rsidR="00E06AA1" w:rsidRPr="00E06AA1" w:rsidTr="00BB5546">
        <w:trPr>
          <w:trHeight w:val="683"/>
        </w:trPr>
        <w:tc>
          <w:tcPr>
            <w:tcW w:w="738" w:type="dxa"/>
          </w:tcPr>
          <w:p w:rsidR="00E06AA1" w:rsidRDefault="00E06AA1" w:rsidP="00BB55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6AA1" w:rsidRPr="00E06AA1" w:rsidRDefault="00E06AA1" w:rsidP="00BB55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AA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E06AA1" w:rsidRPr="00E06AA1" w:rsidRDefault="00E06AA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AA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  <w:vAlign w:val="center"/>
          </w:tcPr>
          <w:p w:rsidR="00E06AA1" w:rsidRPr="00E06AA1" w:rsidRDefault="00E06AA1" w:rsidP="00EB15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6AA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E6981" w:rsidRPr="00706BA3" w:rsidTr="00BB5546">
        <w:trPr>
          <w:trHeight w:val="683"/>
        </w:trPr>
        <w:tc>
          <w:tcPr>
            <w:tcW w:w="738" w:type="dxa"/>
          </w:tcPr>
          <w:p w:rsidR="00FE6981" w:rsidRPr="00EB154C" w:rsidRDefault="00F31F34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EB154C" w:rsidRDefault="00FE698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:rsidR="00EB154C" w:rsidRPr="0058483E" w:rsidRDefault="0058483E" w:rsidP="0058483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Allocate per policy </w:t>
            </w:r>
          </w:p>
        </w:tc>
        <w:tc>
          <w:tcPr>
            <w:tcW w:w="2700" w:type="dxa"/>
            <w:vAlign w:val="center"/>
          </w:tcPr>
          <w:p w:rsidR="00FE6981" w:rsidRPr="00CB4094" w:rsidRDefault="00FE6981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58483E" w:rsidRPr="00706BA3" w:rsidTr="00BB5546">
        <w:trPr>
          <w:trHeight w:val="683"/>
        </w:trPr>
        <w:tc>
          <w:tcPr>
            <w:tcW w:w="738" w:type="dxa"/>
          </w:tcPr>
          <w:p w:rsidR="0058483E" w:rsidRPr="00EB154C" w:rsidRDefault="00F31F34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58483E" w:rsidRDefault="0058483E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Product Issue</w:t>
            </w:r>
          </w:p>
          <w:p w:rsidR="0058483E" w:rsidRPr="0058483E" w:rsidRDefault="0058483E" w:rsidP="0058483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8483E">
              <w:rPr>
                <w:rFonts w:ascii="Arial" w:hAnsi="Arial" w:cs="Arial"/>
                <w:sz w:val="22"/>
                <w:szCs w:val="22"/>
              </w:rPr>
              <w:t>Process per SOP</w:t>
            </w:r>
          </w:p>
        </w:tc>
        <w:tc>
          <w:tcPr>
            <w:tcW w:w="2700" w:type="dxa"/>
            <w:vAlign w:val="center"/>
          </w:tcPr>
          <w:p w:rsidR="0058483E" w:rsidRDefault="0058483E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Product Issue</w:t>
            </w:r>
          </w:p>
        </w:tc>
      </w:tr>
    </w:tbl>
    <w:p w:rsidR="00E937E9" w:rsidRPr="002A6C0B" w:rsidRDefault="00E937E9">
      <w:pPr>
        <w:rPr>
          <w:rFonts w:ascii="Arial" w:hAnsi="Arial" w:cs="Arial"/>
          <w:sz w:val="22"/>
          <w:szCs w:val="22"/>
        </w:rPr>
      </w:pPr>
    </w:p>
    <w:p w:rsidR="009551F8" w:rsidRPr="009465A8" w:rsidRDefault="009551F8">
      <w:pPr>
        <w:rPr>
          <w:rFonts w:ascii="Arial" w:hAnsi="Arial" w:cs="Arial"/>
          <w:b/>
          <w:sz w:val="22"/>
          <w:szCs w:val="22"/>
        </w:rPr>
      </w:pPr>
    </w:p>
    <w:p w:rsidR="009551F8" w:rsidRPr="0058483E" w:rsidRDefault="00870588">
      <w:pPr>
        <w:rPr>
          <w:rFonts w:ascii="Arial" w:hAnsi="Arial" w:cs="Arial"/>
          <w:b/>
          <w:sz w:val="22"/>
          <w:szCs w:val="22"/>
        </w:rPr>
      </w:pPr>
      <w:r w:rsidRPr="0058483E">
        <w:rPr>
          <w:rFonts w:ascii="Arial" w:hAnsi="Arial" w:cs="Arial"/>
          <w:b/>
          <w:sz w:val="22"/>
          <w:szCs w:val="22"/>
        </w:rPr>
        <w:t>References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p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November 2013.</w:t>
      </w:r>
    </w:p>
    <w:p w:rsidR="007A0EA6" w:rsidRDefault="007A0EA6" w:rsidP="007A0EA6">
      <w:pPr>
        <w:pStyle w:val="Header"/>
        <w:ind w:left="360" w:hanging="360"/>
        <w:rPr>
          <w:sz w:val="22"/>
          <w:szCs w:val="22"/>
        </w:rPr>
      </w:pPr>
    </w:p>
    <w:p w:rsidR="00FE6981" w:rsidRPr="00CA571D" w:rsidRDefault="00FE6981" w:rsidP="00E06AA1">
      <w:pPr>
        <w:pStyle w:val="Header"/>
        <w:ind w:left="36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Standards for Blood Banks and Transfusion Services, Current Edition.</w:t>
      </w:r>
      <w:r w:rsidR="007A0EA6">
        <w:rPr>
          <w:sz w:val="22"/>
          <w:szCs w:val="22"/>
        </w:rPr>
        <w:t xml:space="preserve"> </w:t>
      </w:r>
      <w:r w:rsidR="00E06AA1">
        <w:rPr>
          <w:sz w:val="22"/>
          <w:szCs w:val="22"/>
        </w:rPr>
        <w:t>American Association</w:t>
      </w:r>
      <w:r w:rsidR="007A0EA6">
        <w:rPr>
          <w:sz w:val="22"/>
          <w:szCs w:val="22"/>
        </w:rPr>
        <w:t xml:space="preserve"> of Blood </w:t>
      </w:r>
      <w:bookmarkStart w:id="0" w:name="_GoBack"/>
      <w:bookmarkEnd w:id="0"/>
      <w:r w:rsidR="007A0EA6">
        <w:rPr>
          <w:sz w:val="22"/>
          <w:szCs w:val="22"/>
        </w:rPr>
        <w:t>Banks.</w:t>
      </w:r>
      <w:r w:rsidR="00112AE8">
        <w:rPr>
          <w:sz w:val="22"/>
          <w:szCs w:val="22"/>
        </w:rPr>
        <w:t xml:space="preserve"> AABB Press,</w:t>
      </w:r>
      <w:r w:rsidR="007A0EA6">
        <w:rPr>
          <w:sz w:val="22"/>
          <w:szCs w:val="22"/>
        </w:rPr>
        <w:t xml:space="preserve"> Bethesda, MD.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sectPr w:rsidR="00FE6981" w:rsidRPr="00870588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06AA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06AA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Receiving and Processing </w:t>
    </w:r>
    <w:r w:rsidR="00BB65EE">
      <w:rPr>
        <w:b/>
        <w:sz w:val="22"/>
        <w:szCs w:val="22"/>
      </w:rPr>
      <w:t xml:space="preserve">Low Titer </w:t>
    </w:r>
    <w:r>
      <w:rPr>
        <w:b/>
        <w:sz w:val="22"/>
        <w:szCs w:val="22"/>
      </w:rPr>
      <w:t>Pla</w:t>
    </w:r>
    <w:r w:rsidR="003D7283">
      <w:rPr>
        <w:b/>
        <w:sz w:val="22"/>
        <w:szCs w:val="22"/>
      </w:rPr>
      <w:t>telets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E06AA1" w:rsidP="00020453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6</w:t>
          </w:r>
          <w:r w:rsidRPr="00E06AA1">
            <w:rPr>
              <w:rFonts w:ascii="Arial" w:hAnsi="Arial" w:cs="Arial"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sz w:val="22"/>
              <w:szCs w:val="22"/>
            </w:rPr>
            <w:t>, 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E06AA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5124-1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D5C2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9D0337" w:rsidRDefault="007D6ED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020453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and Processing </w:t>
          </w:r>
          <w:r w:rsidR="00BB65EE">
            <w:rPr>
              <w:rFonts w:ascii="Arial" w:hAnsi="Arial" w:cs="Arial"/>
              <w:b/>
              <w:sz w:val="28"/>
              <w:szCs w:val="28"/>
            </w:rPr>
            <w:t xml:space="preserve">Low Titer </w:t>
          </w:r>
          <w:r w:rsidR="002A6C0B">
            <w:rPr>
              <w:rFonts w:ascii="Arial" w:hAnsi="Arial" w:cs="Arial"/>
              <w:b/>
              <w:sz w:val="28"/>
              <w:szCs w:val="28"/>
            </w:rPr>
            <w:t>P</w:t>
          </w:r>
          <w:r w:rsidR="00020453">
            <w:rPr>
              <w:rFonts w:ascii="Arial" w:hAnsi="Arial" w:cs="Arial"/>
              <w:b/>
              <w:sz w:val="28"/>
              <w:szCs w:val="28"/>
            </w:rPr>
            <w:t>latelets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D2AB9"/>
    <w:multiLevelType w:val="hybridMultilevel"/>
    <w:tmpl w:val="8442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463B"/>
    <w:rsid w:val="00020453"/>
    <w:rsid w:val="00022888"/>
    <w:rsid w:val="00024693"/>
    <w:rsid w:val="0006124B"/>
    <w:rsid w:val="001065F9"/>
    <w:rsid w:val="00112AE8"/>
    <w:rsid w:val="0013627F"/>
    <w:rsid w:val="001A731F"/>
    <w:rsid w:val="001B3208"/>
    <w:rsid w:val="001C31DA"/>
    <w:rsid w:val="001D6C36"/>
    <w:rsid w:val="0022035C"/>
    <w:rsid w:val="00260E4A"/>
    <w:rsid w:val="00264806"/>
    <w:rsid w:val="00281B23"/>
    <w:rsid w:val="002A6C0B"/>
    <w:rsid w:val="002C7ED0"/>
    <w:rsid w:val="002E3BA6"/>
    <w:rsid w:val="002F4918"/>
    <w:rsid w:val="00347E49"/>
    <w:rsid w:val="003735F1"/>
    <w:rsid w:val="003816DA"/>
    <w:rsid w:val="003D7283"/>
    <w:rsid w:val="003E439B"/>
    <w:rsid w:val="004056E5"/>
    <w:rsid w:val="004D16C5"/>
    <w:rsid w:val="004D5C22"/>
    <w:rsid w:val="00521D8E"/>
    <w:rsid w:val="005407DE"/>
    <w:rsid w:val="0058483E"/>
    <w:rsid w:val="005A44E9"/>
    <w:rsid w:val="005D5B50"/>
    <w:rsid w:val="006720F8"/>
    <w:rsid w:val="006E7B0D"/>
    <w:rsid w:val="00750D94"/>
    <w:rsid w:val="007763E7"/>
    <w:rsid w:val="007A0EA6"/>
    <w:rsid w:val="007D6ED6"/>
    <w:rsid w:val="007E6C1C"/>
    <w:rsid w:val="00856E8A"/>
    <w:rsid w:val="00857286"/>
    <w:rsid w:val="008660E7"/>
    <w:rsid w:val="00870588"/>
    <w:rsid w:val="008A3E5D"/>
    <w:rsid w:val="008F4BFB"/>
    <w:rsid w:val="00903F57"/>
    <w:rsid w:val="009465A8"/>
    <w:rsid w:val="009551F8"/>
    <w:rsid w:val="0098460B"/>
    <w:rsid w:val="00990995"/>
    <w:rsid w:val="009D0337"/>
    <w:rsid w:val="00AB7BE1"/>
    <w:rsid w:val="00B400FC"/>
    <w:rsid w:val="00B54453"/>
    <w:rsid w:val="00B81275"/>
    <w:rsid w:val="00B82064"/>
    <w:rsid w:val="00BB5546"/>
    <w:rsid w:val="00BB65EE"/>
    <w:rsid w:val="00BC6ED0"/>
    <w:rsid w:val="00C1374C"/>
    <w:rsid w:val="00C244F1"/>
    <w:rsid w:val="00C25731"/>
    <w:rsid w:val="00C42CD1"/>
    <w:rsid w:val="00C610A3"/>
    <w:rsid w:val="00C6184B"/>
    <w:rsid w:val="00C72F9C"/>
    <w:rsid w:val="00CB4094"/>
    <w:rsid w:val="00CE6FBF"/>
    <w:rsid w:val="00D23AB8"/>
    <w:rsid w:val="00D3281B"/>
    <w:rsid w:val="00E06AA1"/>
    <w:rsid w:val="00E30F2D"/>
    <w:rsid w:val="00E86808"/>
    <w:rsid w:val="00E937E9"/>
    <w:rsid w:val="00EB154C"/>
    <w:rsid w:val="00EC64DA"/>
    <w:rsid w:val="00F31F34"/>
    <w:rsid w:val="00F417D5"/>
    <w:rsid w:val="00F57D65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7FD9-F880-444D-97F1-B2D7778C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6</cp:revision>
  <cp:lastPrinted>2016-03-24T23:12:00Z</cp:lastPrinted>
  <dcterms:created xsi:type="dcterms:W3CDTF">2016-03-22T18:13:00Z</dcterms:created>
  <dcterms:modified xsi:type="dcterms:W3CDTF">2016-03-25T01:01:00Z</dcterms:modified>
</cp:coreProperties>
</file>