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2250"/>
        <w:gridCol w:w="4788"/>
      </w:tblGrid>
      <w:tr w:rsidR="00104C97" w:rsidRPr="00B16FEE" w:rsidTr="00BD1504">
        <w:tc>
          <w:tcPr>
            <w:tcW w:w="10630" w:type="dxa"/>
            <w:gridSpan w:val="3"/>
          </w:tcPr>
          <w:p w:rsidR="00104C97" w:rsidRPr="00B16FEE" w:rsidRDefault="00104C97" w:rsidP="00866010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8C7DC5">
              <w:rPr>
                <w:rFonts w:asciiTheme="minorHAnsi" w:hAnsiTheme="minorHAnsi"/>
              </w:rPr>
              <w:t xml:space="preserve">Meeting </w:t>
            </w:r>
            <w:r w:rsidR="00866010">
              <w:rPr>
                <w:rFonts w:asciiTheme="minorHAnsi" w:hAnsiTheme="minorHAnsi"/>
              </w:rPr>
              <w:t>5/19</w:t>
            </w:r>
            <w:r w:rsidR="008C7DC5">
              <w:rPr>
                <w:rFonts w:asciiTheme="minorHAnsi" w:hAnsiTheme="minorHAnsi"/>
              </w:rPr>
              <w:t>/16</w:t>
            </w:r>
            <w:r w:rsidR="00CB548F">
              <w:rPr>
                <w:rFonts w:asciiTheme="minorHAnsi" w:hAnsiTheme="minorHAnsi"/>
              </w:rPr>
              <w:t xml:space="preserve"> 3WH108</w:t>
            </w:r>
          </w:p>
        </w:tc>
      </w:tr>
      <w:tr w:rsidR="00104C97" w:rsidRPr="00B16FEE" w:rsidTr="00BD1504">
        <w:tc>
          <w:tcPr>
            <w:tcW w:w="5842" w:type="dxa"/>
            <w:gridSpan w:val="2"/>
            <w:vAlign w:val="center"/>
          </w:tcPr>
          <w:p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53031398" wp14:editId="38138CA1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ab/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Respect privacy and confidentiality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Communicate effectively</w:t>
            </w:r>
          </w:p>
          <w:p w:rsidR="00104C97" w:rsidRPr="00B16FEE" w:rsidRDefault="004D30F8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 xml:space="preserve">Conduct </w:t>
            </w:r>
            <w:r w:rsidR="00104C97" w:rsidRPr="00B16FEE">
              <w:rPr>
                <w:rFonts w:asciiTheme="minorHAnsi" w:hAnsiTheme="minorHAnsi"/>
                <w:i/>
                <w:sz w:val="20"/>
                <w:szCs w:val="20"/>
              </w:rPr>
              <w:t>myself professionally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 accountable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 committed to my colleagues and to the UW Medicine Health System</w:t>
            </w:r>
          </w:p>
        </w:tc>
      </w:tr>
      <w:tr w:rsidR="00104C97" w:rsidRPr="00B16FEE" w:rsidTr="00E20E54">
        <w:trPr>
          <w:trHeight w:val="2375"/>
        </w:trPr>
        <w:tc>
          <w:tcPr>
            <w:tcW w:w="3592" w:type="dxa"/>
          </w:tcPr>
          <w:p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038" w:type="dxa"/>
            <w:gridSpan w:val="2"/>
          </w:tcPr>
          <w:p w:rsidR="007B0A90" w:rsidRPr="007B0A90" w:rsidRDefault="007B0A90" w:rsidP="007B0A90">
            <w:pPr>
              <w:autoSpaceDE w:val="0"/>
              <w:autoSpaceDN w:val="0"/>
              <w:adjustRightInd w:val="0"/>
            </w:pPr>
            <w:r w:rsidRPr="007B0A90">
              <w:t xml:space="preserve">Respect Privacy and Confidentiality </w:t>
            </w:r>
          </w:p>
          <w:p w:rsidR="007B0A90" w:rsidRPr="007B0A90" w:rsidRDefault="007B0A90" w:rsidP="007B0A90">
            <w:pPr>
              <w:autoSpaceDE w:val="0"/>
              <w:autoSpaceDN w:val="0"/>
              <w:adjustRightInd w:val="0"/>
              <w:rPr>
                <w:rFonts w:asciiTheme="minorHAnsi" w:hAnsiTheme="minorHAnsi" w:cs="GoudyOldStyleT-Regular"/>
              </w:rPr>
            </w:pPr>
          </w:p>
          <w:p w:rsidR="007B0A90" w:rsidRPr="007B0A90" w:rsidRDefault="007B0A90" w:rsidP="007B0A9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0A90">
              <w:rPr>
                <w:sz w:val="22"/>
              </w:rPr>
              <w:t xml:space="preserve">•Discuss patients and their care in a confidential manner </w:t>
            </w:r>
          </w:p>
          <w:p w:rsidR="007B0A90" w:rsidRPr="007B0A90" w:rsidRDefault="007B0A90" w:rsidP="007B0A9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0A90">
              <w:rPr>
                <w:sz w:val="22"/>
              </w:rPr>
              <w:t xml:space="preserve">•Knock and/or ask “can I come in?” before entering a patient’s room.  </w:t>
            </w:r>
          </w:p>
          <w:p w:rsidR="007B0A90" w:rsidRPr="007B0A90" w:rsidRDefault="007B0A90" w:rsidP="007B0A9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0A90">
              <w:rPr>
                <w:sz w:val="22"/>
              </w:rPr>
              <w:t xml:space="preserve">•Use doors, curtains and blankets to create a more private environment when necessary </w:t>
            </w:r>
          </w:p>
          <w:p w:rsidR="007B0A90" w:rsidRPr="007B0A90" w:rsidRDefault="007B0A90" w:rsidP="007B0A9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0A90">
              <w:rPr>
                <w:sz w:val="22"/>
              </w:rPr>
              <w:t xml:space="preserve">•Access only confidential patient information that is relevant to my job </w:t>
            </w:r>
          </w:p>
          <w:p w:rsidR="00C40E2C" w:rsidRDefault="007B0A90" w:rsidP="007B0A9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0A90">
              <w:rPr>
                <w:sz w:val="22"/>
              </w:rPr>
              <w:t>•Discuss confidential organizational issues only with those who need to know</w:t>
            </w:r>
          </w:p>
          <w:p w:rsidR="00916B89" w:rsidRDefault="00916B89" w:rsidP="007B0A90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916B89" w:rsidRPr="0097676E" w:rsidRDefault="00916B89" w:rsidP="007B0A90">
            <w:pPr>
              <w:autoSpaceDE w:val="0"/>
              <w:autoSpaceDN w:val="0"/>
              <w:adjustRightInd w:val="0"/>
              <w:rPr>
                <w:rFonts w:asciiTheme="minorHAnsi" w:hAnsiTheme="minorHAnsi" w:cs="GoudyOldStyleT-Regular"/>
                <w:b/>
              </w:rPr>
            </w:pPr>
            <w:r w:rsidRPr="0097676E">
              <w:rPr>
                <w:rFonts w:asciiTheme="minorHAnsi" w:hAnsiTheme="minorHAnsi" w:cs="GoudyOldStyleT-Regular"/>
                <w:b/>
                <w:sz w:val="24"/>
              </w:rPr>
              <w:t>How can you encourage your staff to protect the privacy of patients and their families and treat confidential information appropriately?</w:t>
            </w:r>
          </w:p>
        </w:tc>
      </w:tr>
      <w:tr w:rsidR="00E1208F" w:rsidRPr="00B16FEE" w:rsidTr="00CB548F">
        <w:trPr>
          <w:trHeight w:val="278"/>
        </w:trPr>
        <w:tc>
          <w:tcPr>
            <w:tcW w:w="3592" w:type="dxa"/>
          </w:tcPr>
          <w:p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038" w:type="dxa"/>
            <w:gridSpan w:val="2"/>
          </w:tcPr>
          <w:p w:rsidR="00C40E2C" w:rsidRDefault="00C40E2C" w:rsidP="009B1D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 </w:t>
            </w:r>
            <w:r w:rsidR="007B0A90">
              <w:rPr>
                <w:rFonts w:asciiTheme="minorHAnsi" w:hAnsiTheme="minorHAnsi"/>
                <w:b w:val="0"/>
              </w:rPr>
              <w:t>Kronos Day Divide</w:t>
            </w:r>
            <w:r w:rsidR="002B6719">
              <w:rPr>
                <w:rFonts w:asciiTheme="minorHAnsi" w:hAnsiTheme="minorHAnsi"/>
                <w:b w:val="0"/>
              </w:rPr>
              <w:t xml:space="preserve">- Impact to HMC TSL will be minimal. Affects </w:t>
            </w:r>
            <w:proofErr w:type="spellStart"/>
            <w:r w:rsidR="002B6719">
              <w:rPr>
                <w:rFonts w:asciiTheme="minorHAnsi" w:hAnsiTheme="minorHAnsi"/>
                <w:b w:val="0"/>
              </w:rPr>
              <w:t>non exempt</w:t>
            </w:r>
            <w:proofErr w:type="spellEnd"/>
            <w:r w:rsidR="002B6719">
              <w:rPr>
                <w:rFonts w:asciiTheme="minorHAnsi" w:hAnsiTheme="minorHAnsi"/>
                <w:b w:val="0"/>
              </w:rPr>
              <w:t xml:space="preserve"> staff only. No impact to MLS staff. Night shift </w:t>
            </w:r>
            <w:proofErr w:type="gramStart"/>
            <w:r w:rsidR="002B6719">
              <w:rPr>
                <w:rFonts w:asciiTheme="minorHAnsi" w:hAnsiTheme="minorHAnsi"/>
                <w:b w:val="0"/>
              </w:rPr>
              <w:t>staff who work</w:t>
            </w:r>
            <w:proofErr w:type="gramEnd"/>
            <w:r w:rsidR="002B6719">
              <w:rPr>
                <w:rFonts w:asciiTheme="minorHAnsi" w:hAnsiTheme="minorHAnsi"/>
                <w:b w:val="0"/>
              </w:rPr>
              <w:t xml:space="preserve"> on Sunday will have the cut off at midnight. Schedule change may happen to reduce the operational impact. This is a federal requirement that the University has to comply with. Updates to come after May 24</w:t>
            </w:r>
            <w:r w:rsidR="002B6719" w:rsidRPr="002B6719">
              <w:rPr>
                <w:rFonts w:asciiTheme="minorHAnsi" w:hAnsiTheme="minorHAnsi"/>
                <w:b w:val="0"/>
                <w:vertAlign w:val="superscript"/>
              </w:rPr>
              <w:t>th</w:t>
            </w:r>
            <w:r w:rsidR="002B6719">
              <w:rPr>
                <w:rFonts w:asciiTheme="minorHAnsi" w:hAnsiTheme="minorHAnsi"/>
                <w:b w:val="0"/>
              </w:rPr>
              <w:t>. Go Live June 20</w:t>
            </w:r>
            <w:r w:rsidR="002B6719" w:rsidRPr="002B6719">
              <w:rPr>
                <w:rFonts w:asciiTheme="minorHAnsi" w:hAnsiTheme="minorHAnsi"/>
                <w:b w:val="0"/>
                <w:vertAlign w:val="superscript"/>
              </w:rPr>
              <w:t>th</w:t>
            </w:r>
          </w:p>
          <w:p w:rsidR="00916B89" w:rsidRPr="002B6719" w:rsidRDefault="00916B89" w:rsidP="002B6719">
            <w:pPr>
              <w:ind w:left="360"/>
              <w:rPr>
                <w:rFonts w:asciiTheme="minorHAnsi" w:hAnsiTheme="minorHAnsi"/>
              </w:rPr>
            </w:pPr>
          </w:p>
        </w:tc>
      </w:tr>
      <w:tr w:rsidR="00BD1504" w:rsidRPr="00B16FEE" w:rsidTr="002D165D">
        <w:trPr>
          <w:trHeight w:val="620"/>
        </w:trPr>
        <w:tc>
          <w:tcPr>
            <w:tcW w:w="3592" w:type="dxa"/>
          </w:tcPr>
          <w:p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038" w:type="dxa"/>
            <w:gridSpan w:val="2"/>
          </w:tcPr>
          <w:p w:rsidR="00DB2D68" w:rsidRDefault="00866010" w:rsidP="00E120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MTP Protocol</w:t>
            </w:r>
            <w:r w:rsidR="009C084C">
              <w:rPr>
                <w:rFonts w:asciiTheme="minorHAnsi" w:hAnsiTheme="minorHAnsi"/>
                <w:b w:val="0"/>
              </w:rPr>
              <w:t xml:space="preserve"> Review </w:t>
            </w:r>
            <w:r w:rsidR="002B6719">
              <w:rPr>
                <w:rFonts w:asciiTheme="minorHAnsi" w:hAnsiTheme="minorHAnsi"/>
                <w:b w:val="0"/>
              </w:rPr>
              <w:t xml:space="preserve">– The Transfusion Practice Committee is reviewing the MTP protocol. Agreement among service group is that the 1:1 protocol is to be followed at HMC. See attachment in meeting minutes. </w:t>
            </w:r>
            <w:r w:rsidR="001152DD">
              <w:rPr>
                <w:rFonts w:asciiTheme="minorHAnsi" w:hAnsiTheme="minorHAnsi"/>
                <w:b w:val="0"/>
              </w:rPr>
              <w:t>The revisions and suggestions will be discussed in trauma and acute care council and reviewed at TPC meeting in June. No changes in process at</w:t>
            </w:r>
            <w:r w:rsidR="002B6719">
              <w:rPr>
                <w:rFonts w:asciiTheme="minorHAnsi" w:hAnsiTheme="minorHAnsi"/>
                <w:b w:val="0"/>
              </w:rPr>
              <w:t xml:space="preserve"> HMC TSL lab. If the utilization of plasma increases, then we may need to revise how many thawed plasma to keep available.</w:t>
            </w:r>
            <w:r w:rsidR="001152DD">
              <w:rPr>
                <w:rFonts w:asciiTheme="minorHAnsi" w:hAnsiTheme="minorHAnsi"/>
                <w:b w:val="0"/>
              </w:rPr>
              <w:t xml:space="preserve"> Patrick Ramos is also documenting the MTP activation event in ORCA. </w:t>
            </w:r>
            <w:bookmarkStart w:id="0" w:name="_GoBack"/>
            <w:bookmarkEnd w:id="0"/>
          </w:p>
          <w:p w:rsidR="00866010" w:rsidRDefault="00866010" w:rsidP="00E120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Cascade Regional Blood Services </w:t>
            </w:r>
            <w:r w:rsidR="002B6719">
              <w:rPr>
                <w:rFonts w:asciiTheme="minorHAnsi" w:hAnsiTheme="minorHAnsi"/>
                <w:b w:val="0"/>
              </w:rPr>
              <w:t>– new services from blood supplier starting May 23</w:t>
            </w:r>
            <w:r w:rsidR="002B6719" w:rsidRPr="002B6719">
              <w:rPr>
                <w:rFonts w:asciiTheme="minorHAnsi" w:hAnsiTheme="minorHAnsi"/>
                <w:b w:val="0"/>
                <w:vertAlign w:val="superscript"/>
              </w:rPr>
              <w:t>rd</w:t>
            </w:r>
            <w:r w:rsidR="002B6719">
              <w:rPr>
                <w:rFonts w:asciiTheme="minorHAnsi" w:hAnsiTheme="minorHAnsi"/>
                <w:b w:val="0"/>
              </w:rPr>
              <w:t xml:space="preserve">. We will be receiving 50RBCs (mix of irradiated and </w:t>
            </w:r>
            <w:proofErr w:type="spellStart"/>
            <w:proofErr w:type="gramStart"/>
            <w:r w:rsidR="002B6719">
              <w:rPr>
                <w:rFonts w:asciiTheme="minorHAnsi" w:hAnsiTheme="minorHAnsi"/>
                <w:b w:val="0"/>
              </w:rPr>
              <w:t>non</w:t>
            </w:r>
            <w:proofErr w:type="gramEnd"/>
            <w:r w:rsidR="002B6719">
              <w:rPr>
                <w:rFonts w:asciiTheme="minorHAnsi" w:hAnsiTheme="minorHAnsi"/>
                <w:b w:val="0"/>
              </w:rPr>
              <w:t xml:space="preserve"> irradiated</w:t>
            </w:r>
            <w:proofErr w:type="spellEnd"/>
            <w:r w:rsidR="002B6719">
              <w:rPr>
                <w:rFonts w:asciiTheme="minorHAnsi" w:hAnsiTheme="minorHAnsi"/>
                <w:b w:val="0"/>
              </w:rPr>
              <w:t xml:space="preserve">) and 6 </w:t>
            </w:r>
            <w:proofErr w:type="spellStart"/>
            <w:r w:rsidR="002B6719">
              <w:rPr>
                <w:rFonts w:asciiTheme="minorHAnsi" w:hAnsiTheme="minorHAnsi"/>
                <w:b w:val="0"/>
              </w:rPr>
              <w:t>plts</w:t>
            </w:r>
            <w:proofErr w:type="spellEnd"/>
            <w:r w:rsidR="002B6719">
              <w:rPr>
                <w:rFonts w:asciiTheme="minorHAnsi" w:hAnsiTheme="minorHAnsi"/>
                <w:b w:val="0"/>
              </w:rPr>
              <w:t xml:space="preserve"> (irradiated) weekly. Delivery during days/evenings by CRBS courier. Reason to receive blood from CRBS is to have pricing and ability to return units for credit. Additional supplier allows more flexibility. </w:t>
            </w:r>
          </w:p>
          <w:p w:rsidR="00866010" w:rsidRPr="00B16FEE" w:rsidRDefault="00866010" w:rsidP="002B6719">
            <w:pPr>
              <w:pStyle w:val="ListParagraph"/>
              <w:ind w:left="720"/>
              <w:rPr>
                <w:rFonts w:asciiTheme="minorHAnsi" w:hAnsiTheme="minorHAnsi"/>
                <w:b w:val="0"/>
              </w:rPr>
            </w:pPr>
          </w:p>
        </w:tc>
      </w:tr>
      <w:tr w:rsidR="00CB2B1D" w:rsidRPr="00B16FEE" w:rsidTr="00BD1504">
        <w:tc>
          <w:tcPr>
            <w:tcW w:w="3592" w:type="dxa"/>
          </w:tcPr>
          <w:p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038" w:type="dxa"/>
            <w:gridSpan w:val="2"/>
          </w:tcPr>
          <w:p w:rsidR="00DA1C85" w:rsidRPr="00B16FEE" w:rsidRDefault="00866010" w:rsidP="00EA0C1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April</w:t>
            </w:r>
            <w:r w:rsidR="00B16FEE" w:rsidRPr="00B16FEE">
              <w:rPr>
                <w:rFonts w:asciiTheme="minorHAnsi" w:hAnsiTheme="minorHAnsi"/>
                <w:b w:val="0"/>
              </w:rPr>
              <w:t xml:space="preserve"> </w:t>
            </w:r>
            <w:r w:rsidR="00752F51" w:rsidRPr="00B16FEE">
              <w:rPr>
                <w:rFonts w:asciiTheme="minorHAnsi" w:hAnsiTheme="minorHAnsi"/>
                <w:b w:val="0"/>
              </w:rPr>
              <w:t xml:space="preserve">utilization </w:t>
            </w:r>
            <w:r w:rsidR="00DA1C85" w:rsidRPr="00B16FEE">
              <w:rPr>
                <w:rFonts w:asciiTheme="minorHAnsi" w:hAnsiTheme="minorHAnsi"/>
                <w:b w:val="0"/>
              </w:rPr>
              <w:t>data</w:t>
            </w:r>
            <w:r w:rsidR="002B6719">
              <w:rPr>
                <w:rFonts w:asciiTheme="minorHAnsi" w:hAnsiTheme="minorHAnsi"/>
                <w:b w:val="0"/>
              </w:rPr>
              <w:t xml:space="preserve">- Utilization increased. </w:t>
            </w:r>
          </w:p>
          <w:p w:rsidR="00866010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b w:val="0"/>
              </w:rPr>
            </w:pPr>
            <w:r w:rsidRPr="00866010">
              <w:rPr>
                <w:rFonts w:asciiTheme="minorHAnsi" w:hAnsiTheme="minorHAnsi"/>
                <w:b w:val="0"/>
              </w:rPr>
              <w:t>RBC</w:t>
            </w:r>
            <w:r w:rsidR="00B16FEE" w:rsidRPr="00866010">
              <w:rPr>
                <w:rFonts w:asciiTheme="minorHAnsi" w:hAnsiTheme="minorHAnsi"/>
                <w:b w:val="0"/>
              </w:rPr>
              <w:t>-</w:t>
            </w:r>
            <w:r w:rsidR="007B0A90">
              <w:rPr>
                <w:rFonts w:asciiTheme="minorHAnsi" w:hAnsiTheme="minorHAnsi"/>
                <w:b w:val="0"/>
              </w:rPr>
              <w:t>4 oms30</w:t>
            </w:r>
          </w:p>
          <w:p w:rsidR="000F354E" w:rsidRPr="00866010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b w:val="0"/>
              </w:rPr>
            </w:pPr>
            <w:r w:rsidRPr="00866010">
              <w:rPr>
                <w:rFonts w:asciiTheme="minorHAnsi" w:hAnsiTheme="minorHAnsi"/>
                <w:b w:val="0"/>
              </w:rPr>
              <w:lastRenderedPageBreak/>
              <w:t>PLTs</w:t>
            </w:r>
            <w:r w:rsidR="00DF5592" w:rsidRPr="00866010">
              <w:rPr>
                <w:rFonts w:asciiTheme="minorHAnsi" w:hAnsiTheme="minorHAnsi"/>
                <w:b w:val="0"/>
              </w:rPr>
              <w:t>-</w:t>
            </w:r>
            <w:r w:rsidR="00C40E2C" w:rsidRPr="00866010">
              <w:rPr>
                <w:rFonts w:asciiTheme="minorHAnsi" w:hAnsiTheme="minorHAnsi"/>
                <w:b w:val="0"/>
              </w:rPr>
              <w:t xml:space="preserve"> </w:t>
            </w:r>
            <w:r w:rsidR="007B0A90">
              <w:rPr>
                <w:rFonts w:asciiTheme="minorHAnsi" w:hAnsiTheme="minorHAnsi"/>
                <w:b w:val="0"/>
              </w:rPr>
              <w:t>2 outdate</w:t>
            </w:r>
          </w:p>
          <w:p w:rsidR="00DA1C85" w:rsidRPr="00B16FEE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b w:val="0"/>
              </w:rPr>
            </w:pPr>
            <w:r w:rsidRPr="00B16FEE">
              <w:rPr>
                <w:rFonts w:asciiTheme="minorHAnsi" w:hAnsiTheme="minorHAnsi"/>
                <w:b w:val="0"/>
              </w:rPr>
              <w:t>Plasma</w:t>
            </w:r>
            <w:r w:rsidR="00DB2D68">
              <w:rPr>
                <w:rFonts w:asciiTheme="minorHAnsi" w:hAnsiTheme="minorHAnsi"/>
                <w:b w:val="0"/>
              </w:rPr>
              <w:t>-</w:t>
            </w:r>
            <w:r w:rsidR="00C40E2C">
              <w:rPr>
                <w:rFonts w:asciiTheme="minorHAnsi" w:hAnsiTheme="minorHAnsi"/>
                <w:b w:val="0"/>
              </w:rPr>
              <w:t xml:space="preserve"> </w:t>
            </w:r>
            <w:r w:rsidR="007B0A90">
              <w:rPr>
                <w:rFonts w:asciiTheme="minorHAnsi" w:hAnsiTheme="minorHAnsi"/>
                <w:b w:val="0"/>
              </w:rPr>
              <w:t>2 oms30</w:t>
            </w:r>
          </w:p>
          <w:p w:rsidR="00CB2B1D" w:rsidRDefault="002D2E25" w:rsidP="00324FF5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Theme="minorHAnsi" w:hAnsiTheme="minorHAnsi"/>
                <w:b w:val="0"/>
              </w:rPr>
            </w:pPr>
            <w:proofErr w:type="spellStart"/>
            <w:r w:rsidRPr="00B16FEE">
              <w:rPr>
                <w:rFonts w:asciiTheme="minorHAnsi" w:hAnsiTheme="minorHAnsi"/>
                <w:b w:val="0"/>
              </w:rPr>
              <w:t>Cryo</w:t>
            </w:r>
            <w:proofErr w:type="spellEnd"/>
            <w:r w:rsidR="00B16FEE" w:rsidRPr="00B16FEE">
              <w:rPr>
                <w:rFonts w:asciiTheme="minorHAnsi" w:hAnsiTheme="minorHAnsi"/>
                <w:b w:val="0"/>
              </w:rPr>
              <w:t>-</w:t>
            </w:r>
            <w:r w:rsidR="00EB7C03">
              <w:rPr>
                <w:rFonts w:asciiTheme="minorHAnsi" w:hAnsiTheme="minorHAnsi"/>
                <w:b w:val="0"/>
              </w:rPr>
              <w:t xml:space="preserve"> </w:t>
            </w:r>
            <w:r w:rsidR="007B0A90">
              <w:rPr>
                <w:rFonts w:asciiTheme="minorHAnsi" w:hAnsiTheme="minorHAnsi"/>
                <w:b w:val="0"/>
              </w:rPr>
              <w:t xml:space="preserve">2 </w:t>
            </w:r>
          </w:p>
          <w:p w:rsidR="00971500" w:rsidRDefault="00971500" w:rsidP="009715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 w:rsidRPr="00971500">
              <w:rPr>
                <w:rFonts w:asciiTheme="minorHAnsi" w:hAnsiTheme="minorHAnsi"/>
                <w:b w:val="0"/>
              </w:rPr>
              <w:t>QA update</w:t>
            </w:r>
          </w:p>
          <w:p w:rsidR="00C40E2C" w:rsidRDefault="00C40E2C" w:rsidP="00C40E2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Blood Label Check </w:t>
            </w:r>
            <w:r w:rsidR="00866010">
              <w:rPr>
                <w:rFonts w:asciiTheme="minorHAnsi" w:hAnsiTheme="minorHAnsi"/>
                <w:b w:val="0"/>
              </w:rPr>
              <w:t>– SOP updated</w:t>
            </w:r>
            <w:r w:rsidR="002B6719">
              <w:rPr>
                <w:rFonts w:asciiTheme="minorHAnsi" w:hAnsiTheme="minorHAnsi"/>
                <w:b w:val="0"/>
              </w:rPr>
              <w:t xml:space="preserve">. Units will be audited to make sure compliance with BLC process. </w:t>
            </w:r>
          </w:p>
          <w:p w:rsidR="0097676E" w:rsidRDefault="0097676E" w:rsidP="00C40E2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Credo Cooler-Data Logger </w:t>
            </w:r>
            <w:r w:rsidR="002B6719">
              <w:rPr>
                <w:rFonts w:asciiTheme="minorHAnsi" w:hAnsiTheme="minorHAnsi"/>
                <w:b w:val="0"/>
              </w:rPr>
              <w:t xml:space="preserve">– 2 weeks of data logger data not recorded at ALNW. For one of the weeks, units had to be discarded since the cooler was opened and used in flight. All staff </w:t>
            </w:r>
            <w:proofErr w:type="gramStart"/>
            <w:r w:rsidR="002B6719">
              <w:rPr>
                <w:rFonts w:asciiTheme="minorHAnsi" w:hAnsiTheme="minorHAnsi"/>
                <w:b w:val="0"/>
              </w:rPr>
              <w:t>need</w:t>
            </w:r>
            <w:proofErr w:type="gramEnd"/>
            <w:r w:rsidR="002B6719">
              <w:rPr>
                <w:rFonts w:asciiTheme="minorHAnsi" w:hAnsiTheme="minorHAnsi"/>
                <w:b w:val="0"/>
              </w:rPr>
              <w:t xml:space="preserve"> to make sure that the data logger is recording prior to packing the shipment. This is critical and only temperature tracking data that allows us to bring units into inventory.  </w:t>
            </w:r>
          </w:p>
          <w:p w:rsidR="002B6719" w:rsidRPr="00971500" w:rsidRDefault="002B6719" w:rsidP="00C40E2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BPDRs- couple in April. All related to Blood Product Release and Issue process. Wrong unit# issued in SQ versus what is in the ORCA chart when units are given using the portable log. </w:t>
            </w:r>
          </w:p>
        </w:tc>
      </w:tr>
      <w:tr w:rsidR="00EE5A48" w:rsidRPr="00B16FEE" w:rsidTr="00BD1504">
        <w:tc>
          <w:tcPr>
            <w:tcW w:w="3592" w:type="dxa"/>
          </w:tcPr>
          <w:p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lastRenderedPageBreak/>
              <w:t>Staff Round Table</w:t>
            </w:r>
          </w:p>
        </w:tc>
        <w:tc>
          <w:tcPr>
            <w:tcW w:w="7038" w:type="dxa"/>
            <w:gridSpan w:val="2"/>
          </w:tcPr>
          <w:p w:rsidR="00E1208F" w:rsidRPr="00B16FEE" w:rsidRDefault="00E1208F" w:rsidP="00B16FEE">
            <w:pPr>
              <w:pStyle w:val="ListParagraph"/>
              <w:ind w:left="720"/>
              <w:rPr>
                <w:rFonts w:asciiTheme="minorHAnsi" w:hAnsiTheme="minorHAnsi"/>
                <w:b w:val="0"/>
              </w:rPr>
            </w:pPr>
          </w:p>
          <w:p w:rsidR="00DF5592" w:rsidRPr="00B16FEE" w:rsidRDefault="00DF5592" w:rsidP="006D04D2">
            <w:pPr>
              <w:pStyle w:val="ListParagraph"/>
              <w:ind w:left="720"/>
              <w:rPr>
                <w:rFonts w:asciiTheme="minorHAnsi" w:hAnsiTheme="minorHAnsi"/>
                <w:b w:val="0"/>
              </w:rPr>
            </w:pPr>
          </w:p>
        </w:tc>
      </w:tr>
    </w:tbl>
    <w:p w:rsidR="00104C97" w:rsidRDefault="00104C97" w:rsidP="00A62A03"/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97"/>
    <w:multiLevelType w:val="hybridMultilevel"/>
    <w:tmpl w:val="6EF66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1209C9"/>
    <w:multiLevelType w:val="hybridMultilevel"/>
    <w:tmpl w:val="8C1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43A24"/>
    <w:multiLevelType w:val="hybridMultilevel"/>
    <w:tmpl w:val="73B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9D00FD"/>
    <w:multiLevelType w:val="multilevel"/>
    <w:tmpl w:val="317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74423D"/>
    <w:multiLevelType w:val="hybridMultilevel"/>
    <w:tmpl w:val="AC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8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3"/>
  </w:num>
  <w:num w:numId="17">
    <w:abstractNumId w:val="1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97"/>
    <w:rsid w:val="00035AC1"/>
    <w:rsid w:val="00037D5C"/>
    <w:rsid w:val="00072EBF"/>
    <w:rsid w:val="000E30B7"/>
    <w:rsid w:val="000F354E"/>
    <w:rsid w:val="00104C97"/>
    <w:rsid w:val="001152DD"/>
    <w:rsid w:val="001E2CFD"/>
    <w:rsid w:val="001E5E7F"/>
    <w:rsid w:val="00202A12"/>
    <w:rsid w:val="002341E8"/>
    <w:rsid w:val="002500D3"/>
    <w:rsid w:val="002562C8"/>
    <w:rsid w:val="002B6719"/>
    <w:rsid w:val="002D165D"/>
    <w:rsid w:val="002D2E25"/>
    <w:rsid w:val="00324FF5"/>
    <w:rsid w:val="00337DA8"/>
    <w:rsid w:val="00347AE1"/>
    <w:rsid w:val="003D69DD"/>
    <w:rsid w:val="00415824"/>
    <w:rsid w:val="004322B2"/>
    <w:rsid w:val="00441104"/>
    <w:rsid w:val="00450B01"/>
    <w:rsid w:val="004929E6"/>
    <w:rsid w:val="004D30F8"/>
    <w:rsid w:val="00571D9D"/>
    <w:rsid w:val="005C6A48"/>
    <w:rsid w:val="005E6EA2"/>
    <w:rsid w:val="00625EF4"/>
    <w:rsid w:val="006301A0"/>
    <w:rsid w:val="00635CD8"/>
    <w:rsid w:val="006579D4"/>
    <w:rsid w:val="0066685A"/>
    <w:rsid w:val="00672E8D"/>
    <w:rsid w:val="006D04D2"/>
    <w:rsid w:val="006F2121"/>
    <w:rsid w:val="007229FD"/>
    <w:rsid w:val="00752F51"/>
    <w:rsid w:val="00770977"/>
    <w:rsid w:val="00776EDA"/>
    <w:rsid w:val="007B0A90"/>
    <w:rsid w:val="00813991"/>
    <w:rsid w:val="00813E05"/>
    <w:rsid w:val="0082115F"/>
    <w:rsid w:val="008641AE"/>
    <w:rsid w:val="00865ECF"/>
    <w:rsid w:val="00866010"/>
    <w:rsid w:val="00877D60"/>
    <w:rsid w:val="00880BCD"/>
    <w:rsid w:val="008B5F7A"/>
    <w:rsid w:val="008C1727"/>
    <w:rsid w:val="008C7DC5"/>
    <w:rsid w:val="00915AD8"/>
    <w:rsid w:val="00916B89"/>
    <w:rsid w:val="00971500"/>
    <w:rsid w:val="0097676E"/>
    <w:rsid w:val="009B1DB1"/>
    <w:rsid w:val="009C084C"/>
    <w:rsid w:val="009D1B10"/>
    <w:rsid w:val="00A057CF"/>
    <w:rsid w:val="00A52519"/>
    <w:rsid w:val="00A62A03"/>
    <w:rsid w:val="00A63EEB"/>
    <w:rsid w:val="00A66A17"/>
    <w:rsid w:val="00AC6FB3"/>
    <w:rsid w:val="00B10B7A"/>
    <w:rsid w:val="00B16FEE"/>
    <w:rsid w:val="00B45650"/>
    <w:rsid w:val="00B46151"/>
    <w:rsid w:val="00B87C4C"/>
    <w:rsid w:val="00BC3B93"/>
    <w:rsid w:val="00BD1504"/>
    <w:rsid w:val="00BD323D"/>
    <w:rsid w:val="00BE4BBA"/>
    <w:rsid w:val="00C10615"/>
    <w:rsid w:val="00C40E2C"/>
    <w:rsid w:val="00C7555C"/>
    <w:rsid w:val="00CA06A7"/>
    <w:rsid w:val="00CB2B1D"/>
    <w:rsid w:val="00CB548F"/>
    <w:rsid w:val="00CB5A7A"/>
    <w:rsid w:val="00D31527"/>
    <w:rsid w:val="00D45F76"/>
    <w:rsid w:val="00D545E6"/>
    <w:rsid w:val="00D91017"/>
    <w:rsid w:val="00DA1C85"/>
    <w:rsid w:val="00DB2D68"/>
    <w:rsid w:val="00DE50FD"/>
    <w:rsid w:val="00DF5592"/>
    <w:rsid w:val="00DF5F1C"/>
    <w:rsid w:val="00E1208F"/>
    <w:rsid w:val="00E14CBA"/>
    <w:rsid w:val="00E20E54"/>
    <w:rsid w:val="00EA0C13"/>
    <w:rsid w:val="00EA6BB8"/>
    <w:rsid w:val="00EB575A"/>
    <w:rsid w:val="00EB7C03"/>
    <w:rsid w:val="00ED5200"/>
    <w:rsid w:val="00EE5A48"/>
    <w:rsid w:val="00F3589D"/>
    <w:rsid w:val="00F414F0"/>
    <w:rsid w:val="00F56FAE"/>
    <w:rsid w:val="00F81DDB"/>
    <w:rsid w:val="00FA710D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0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4A5D-445D-4D3F-917E-F2142552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2016-03-17T14:01:00Z</cp:lastPrinted>
  <dcterms:created xsi:type="dcterms:W3CDTF">2016-05-26T00:12:00Z</dcterms:created>
  <dcterms:modified xsi:type="dcterms:W3CDTF">2016-05-26T00:12:00Z</dcterms:modified>
</cp:coreProperties>
</file>