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E2" w:rsidRDefault="00C618CD">
      <w:pPr>
        <w:rPr>
          <w:b/>
        </w:rPr>
      </w:pPr>
      <w:r w:rsidRPr="00C618CD">
        <w:rPr>
          <w:b/>
        </w:rPr>
        <w:t>Morning Meeting Attendees</w:t>
      </w:r>
      <w:r w:rsidR="0035673D">
        <w:rPr>
          <w:b/>
        </w:rPr>
        <w:t xml:space="preserve">: </w:t>
      </w:r>
      <w:r w:rsidR="00826C1E" w:rsidRPr="00826C1E">
        <w:t xml:space="preserve">Ariel, </w:t>
      </w:r>
      <w:proofErr w:type="spellStart"/>
      <w:r w:rsidR="00826C1E" w:rsidRPr="00826C1E">
        <w:t>Vaness</w:t>
      </w:r>
      <w:proofErr w:type="spellEnd"/>
      <w:r w:rsidR="00826C1E" w:rsidRPr="00826C1E">
        <w:t xml:space="preserve">, Ben, Crystal, </w:t>
      </w:r>
      <w:proofErr w:type="spellStart"/>
      <w:r w:rsidR="00826C1E" w:rsidRPr="00826C1E">
        <w:t>Deann</w:t>
      </w:r>
      <w:proofErr w:type="spellEnd"/>
      <w:r w:rsidR="00826C1E" w:rsidRPr="00826C1E">
        <w:t>, Christine, Anel, Kate, Alyssa, Mariah (student)</w:t>
      </w:r>
    </w:p>
    <w:p w:rsidR="00C618CD" w:rsidRDefault="00C618CD">
      <w:r w:rsidRPr="00C618CD">
        <w:rPr>
          <w:b/>
        </w:rPr>
        <w:t>Afternoon Meeting Attendees</w:t>
      </w:r>
      <w:r>
        <w:t xml:space="preserve">:  </w:t>
      </w:r>
      <w:r w:rsidR="009E0B1A">
        <w:t xml:space="preserve"> </w:t>
      </w:r>
    </w:p>
    <w:tbl>
      <w:tblPr>
        <w:tblStyle w:val="TableGrid"/>
        <w:tblW w:w="0" w:type="auto"/>
        <w:tblLook w:val="04A0" w:firstRow="1" w:lastRow="0" w:firstColumn="1" w:lastColumn="0" w:noHBand="0" w:noVBand="1"/>
      </w:tblPr>
      <w:tblGrid>
        <w:gridCol w:w="3542"/>
        <w:gridCol w:w="6034"/>
      </w:tblGrid>
      <w:tr w:rsidR="0040077A" w:rsidRPr="0040077A" w:rsidTr="0026131D">
        <w:tc>
          <w:tcPr>
            <w:tcW w:w="3542" w:type="dxa"/>
            <w:shd w:val="clear" w:color="auto" w:fill="C4BC96" w:themeFill="background2" w:themeFillShade="BF"/>
          </w:tcPr>
          <w:p w:rsidR="0040077A" w:rsidRPr="0040077A" w:rsidRDefault="0040077A">
            <w:pPr>
              <w:rPr>
                <w:b/>
                <w:sz w:val="28"/>
                <w:szCs w:val="28"/>
              </w:rPr>
            </w:pPr>
            <w:r w:rsidRPr="0040077A">
              <w:rPr>
                <w:b/>
                <w:sz w:val="28"/>
                <w:szCs w:val="28"/>
              </w:rPr>
              <w:t>Agenda Item</w:t>
            </w:r>
          </w:p>
        </w:tc>
        <w:tc>
          <w:tcPr>
            <w:tcW w:w="6034" w:type="dxa"/>
            <w:shd w:val="clear" w:color="auto" w:fill="C4BC96" w:themeFill="background2" w:themeFillShade="BF"/>
          </w:tcPr>
          <w:p w:rsidR="0040077A" w:rsidRPr="0040077A" w:rsidRDefault="0040077A">
            <w:pPr>
              <w:rPr>
                <w:b/>
                <w:sz w:val="28"/>
                <w:szCs w:val="28"/>
              </w:rPr>
            </w:pPr>
            <w:r w:rsidRPr="0040077A">
              <w:rPr>
                <w:b/>
                <w:sz w:val="28"/>
                <w:szCs w:val="28"/>
              </w:rPr>
              <w:t>Discussion</w:t>
            </w:r>
          </w:p>
        </w:tc>
      </w:tr>
      <w:tr w:rsidR="00CD6AC6" w:rsidTr="000B6EAB">
        <w:tc>
          <w:tcPr>
            <w:tcW w:w="3542" w:type="dxa"/>
          </w:tcPr>
          <w:p w:rsidR="00CD6AC6" w:rsidRPr="00532ACD" w:rsidRDefault="00CD6AC6" w:rsidP="00532ACD">
            <w:pPr>
              <w:rPr>
                <w:b/>
                <w:sz w:val="28"/>
                <w:szCs w:val="28"/>
              </w:rPr>
            </w:pPr>
            <w:r w:rsidRPr="00532ACD">
              <w:rPr>
                <w:b/>
                <w:sz w:val="28"/>
                <w:szCs w:val="28"/>
              </w:rPr>
              <w:t xml:space="preserve">Staffing and schedule- </w:t>
            </w:r>
          </w:p>
        </w:tc>
        <w:tc>
          <w:tcPr>
            <w:tcW w:w="6034" w:type="dxa"/>
          </w:tcPr>
          <w:p w:rsidR="00ED0283" w:rsidRDefault="00ED0283" w:rsidP="00ED0283">
            <w:pPr>
              <w:pStyle w:val="ListParagraph"/>
              <w:numPr>
                <w:ilvl w:val="0"/>
                <w:numId w:val="12"/>
              </w:numPr>
            </w:pPr>
            <w:r>
              <w:t>New hires</w:t>
            </w:r>
          </w:p>
          <w:p w:rsidR="00826C1E" w:rsidRDefault="00826C1E" w:rsidP="00826C1E">
            <w:pPr>
              <w:pStyle w:val="ListParagraph"/>
              <w:numPr>
                <w:ilvl w:val="1"/>
                <w:numId w:val="12"/>
              </w:numPr>
            </w:pPr>
            <w:r>
              <w:t>Night shift offer out pending acceptance</w:t>
            </w:r>
          </w:p>
          <w:p w:rsidR="00826C1E" w:rsidRDefault="00826C1E" w:rsidP="00826C1E">
            <w:pPr>
              <w:pStyle w:val="ListParagraph"/>
              <w:numPr>
                <w:ilvl w:val="1"/>
                <w:numId w:val="12"/>
              </w:numPr>
            </w:pPr>
            <w:r>
              <w:t>New employee starting is night shift</w:t>
            </w:r>
          </w:p>
          <w:p w:rsidR="00CD6AC6" w:rsidRDefault="00ED0283" w:rsidP="00ED0283">
            <w:pPr>
              <w:pStyle w:val="ListParagraph"/>
              <w:numPr>
                <w:ilvl w:val="0"/>
                <w:numId w:val="12"/>
              </w:numPr>
            </w:pPr>
            <w:r>
              <w:t>Night shift coverage</w:t>
            </w:r>
          </w:p>
          <w:p w:rsidR="00ED0283" w:rsidRDefault="00826C1E" w:rsidP="00ED0283">
            <w:pPr>
              <w:pStyle w:val="ListParagraph"/>
              <w:numPr>
                <w:ilvl w:val="0"/>
                <w:numId w:val="12"/>
              </w:numPr>
            </w:pPr>
            <w:r>
              <w:t>Evening shift is fully staffed</w:t>
            </w:r>
          </w:p>
          <w:p w:rsidR="00826C1E" w:rsidRDefault="00826C1E" w:rsidP="00ED0283">
            <w:pPr>
              <w:pStyle w:val="ListParagraph"/>
              <w:numPr>
                <w:ilvl w:val="0"/>
                <w:numId w:val="12"/>
              </w:numPr>
            </w:pPr>
            <w:r>
              <w:t>One opening on day shift</w:t>
            </w:r>
          </w:p>
          <w:p w:rsidR="00826C1E" w:rsidRPr="006B66B1" w:rsidRDefault="00826C1E" w:rsidP="00ED0283">
            <w:pPr>
              <w:pStyle w:val="ListParagraph"/>
              <w:numPr>
                <w:ilvl w:val="0"/>
                <w:numId w:val="12"/>
              </w:numPr>
            </w:pPr>
            <w:r>
              <w:t>Pushing schedules to the shifts and coordinating with Ryan so that there are no problems</w:t>
            </w:r>
          </w:p>
        </w:tc>
      </w:tr>
      <w:tr w:rsidR="00CD6AC6" w:rsidTr="000B6EAB">
        <w:trPr>
          <w:trHeight w:val="1124"/>
        </w:trPr>
        <w:tc>
          <w:tcPr>
            <w:tcW w:w="3542" w:type="dxa"/>
          </w:tcPr>
          <w:p w:rsidR="00CD6AC6" w:rsidRPr="00532ACD" w:rsidRDefault="000B6EAB" w:rsidP="00532ACD">
            <w:pPr>
              <w:rPr>
                <w:b/>
                <w:sz w:val="28"/>
                <w:szCs w:val="28"/>
              </w:rPr>
            </w:pPr>
            <w:r w:rsidRPr="00532ACD">
              <w:rPr>
                <w:b/>
                <w:sz w:val="28"/>
                <w:szCs w:val="28"/>
              </w:rPr>
              <w:t>Cleaning</w:t>
            </w:r>
            <w:r w:rsidR="00CD6AC6" w:rsidRPr="00532ACD">
              <w:rPr>
                <w:b/>
                <w:sz w:val="28"/>
                <w:szCs w:val="28"/>
              </w:rPr>
              <w:t xml:space="preserve"> </w:t>
            </w:r>
          </w:p>
        </w:tc>
        <w:tc>
          <w:tcPr>
            <w:tcW w:w="6034" w:type="dxa"/>
          </w:tcPr>
          <w:p w:rsidR="00ED0283" w:rsidRDefault="00ED0283" w:rsidP="00ED0283">
            <w:r>
              <w:t>Reminder from housekeeping to keep the area picked up to allow them to complete their cleaning duties</w:t>
            </w:r>
          </w:p>
          <w:p w:rsidR="00826C1E" w:rsidRDefault="00826C1E" w:rsidP="00826C1E">
            <w:pPr>
              <w:pStyle w:val="ListParagraph"/>
              <w:numPr>
                <w:ilvl w:val="0"/>
                <w:numId w:val="14"/>
              </w:numPr>
            </w:pPr>
            <w:r>
              <w:t>Clean up after potlucks so Jolly (house keeper) can do her cleaning</w:t>
            </w:r>
          </w:p>
          <w:p w:rsidR="00CD6AC6" w:rsidRPr="006B66B1" w:rsidRDefault="00CD6AC6" w:rsidP="00ED0283"/>
        </w:tc>
      </w:tr>
      <w:tr w:rsidR="00800B50" w:rsidTr="000B6EAB">
        <w:trPr>
          <w:trHeight w:val="1124"/>
        </w:trPr>
        <w:tc>
          <w:tcPr>
            <w:tcW w:w="3542" w:type="dxa"/>
          </w:tcPr>
          <w:p w:rsidR="00800B50" w:rsidRDefault="00800B50" w:rsidP="00532ACD">
            <w:pPr>
              <w:rPr>
                <w:b/>
                <w:sz w:val="28"/>
                <w:szCs w:val="28"/>
              </w:rPr>
            </w:pPr>
            <w:r>
              <w:rPr>
                <w:b/>
                <w:sz w:val="28"/>
                <w:szCs w:val="28"/>
              </w:rPr>
              <w:t>Marnie Thomas role transition plan</w:t>
            </w:r>
          </w:p>
        </w:tc>
        <w:tc>
          <w:tcPr>
            <w:tcW w:w="6034" w:type="dxa"/>
          </w:tcPr>
          <w:p w:rsidR="00800B50" w:rsidRDefault="00800B50" w:rsidP="00800B50">
            <w:pPr>
              <w:pStyle w:val="ListParagraph"/>
              <w:numPr>
                <w:ilvl w:val="0"/>
                <w:numId w:val="12"/>
              </w:numPr>
            </w:pPr>
            <w:r>
              <w:t xml:space="preserve">Going away from </w:t>
            </w:r>
            <w:proofErr w:type="spellStart"/>
            <w:r>
              <w:t>Tx</w:t>
            </w:r>
            <w:proofErr w:type="spellEnd"/>
            <w:r>
              <w:t xml:space="preserve"> coordinator to Nurse development on May 8</w:t>
            </w:r>
            <w:r w:rsidRPr="00800B50">
              <w:rPr>
                <w:vertAlign w:val="superscript"/>
              </w:rPr>
              <w:t>th</w:t>
            </w:r>
          </w:p>
          <w:p w:rsidR="00800B50" w:rsidRDefault="00800B50" w:rsidP="00800B50">
            <w:pPr>
              <w:pStyle w:val="ListParagraph"/>
              <w:numPr>
                <w:ilvl w:val="0"/>
                <w:numId w:val="12"/>
              </w:numPr>
            </w:pPr>
            <w:r>
              <w:t>No longer the person to call about issues.</w:t>
            </w:r>
          </w:p>
          <w:p w:rsidR="00800B50" w:rsidRDefault="00800B50" w:rsidP="00800B50">
            <w:pPr>
              <w:pStyle w:val="ListParagraph"/>
              <w:numPr>
                <w:ilvl w:val="1"/>
                <w:numId w:val="12"/>
              </w:numPr>
            </w:pPr>
            <w:r>
              <w:t>These will be handled internally or with the affected units</w:t>
            </w:r>
          </w:p>
        </w:tc>
      </w:tr>
      <w:tr w:rsidR="00826C1E" w:rsidTr="000B6EAB">
        <w:trPr>
          <w:trHeight w:val="1124"/>
        </w:trPr>
        <w:tc>
          <w:tcPr>
            <w:tcW w:w="3542" w:type="dxa"/>
          </w:tcPr>
          <w:p w:rsidR="00826C1E" w:rsidRPr="00532ACD" w:rsidRDefault="00826C1E" w:rsidP="00532ACD">
            <w:pPr>
              <w:rPr>
                <w:b/>
                <w:sz w:val="28"/>
                <w:szCs w:val="28"/>
              </w:rPr>
            </w:pPr>
            <w:r>
              <w:rPr>
                <w:b/>
                <w:sz w:val="28"/>
                <w:szCs w:val="28"/>
              </w:rPr>
              <w:t>DARA Carryover</w:t>
            </w:r>
          </w:p>
        </w:tc>
        <w:tc>
          <w:tcPr>
            <w:tcW w:w="6034" w:type="dxa"/>
          </w:tcPr>
          <w:p w:rsidR="00826C1E" w:rsidRDefault="00826C1E" w:rsidP="00800B50">
            <w:pPr>
              <w:pStyle w:val="ListParagraph"/>
              <w:numPr>
                <w:ilvl w:val="0"/>
                <w:numId w:val="12"/>
              </w:numPr>
            </w:pPr>
            <w:r>
              <w:t>We are good about known DARA go to Manual bench</w:t>
            </w:r>
          </w:p>
          <w:p w:rsidR="00826C1E" w:rsidRDefault="00826C1E" w:rsidP="00800B50">
            <w:pPr>
              <w:pStyle w:val="ListParagraph"/>
              <w:numPr>
                <w:ilvl w:val="0"/>
                <w:numId w:val="12"/>
              </w:numPr>
            </w:pPr>
            <w:r>
              <w:t>New SCCA patients that are already on DARA are giving us problems.</w:t>
            </w:r>
          </w:p>
          <w:p w:rsidR="00826C1E" w:rsidRDefault="00826C1E" w:rsidP="00800B50">
            <w:pPr>
              <w:pStyle w:val="ListParagraph"/>
              <w:numPr>
                <w:ilvl w:val="1"/>
                <w:numId w:val="12"/>
              </w:numPr>
            </w:pPr>
            <w:r>
              <w:t>If it says multiple myeloma, send to manual bench or interpret subsequent positive reactions with caution (they may be false)</w:t>
            </w:r>
          </w:p>
          <w:p w:rsidR="00826C1E" w:rsidRDefault="00826C1E" w:rsidP="00800B50">
            <w:pPr>
              <w:pStyle w:val="ListParagraph"/>
              <w:numPr>
                <w:ilvl w:val="1"/>
                <w:numId w:val="12"/>
              </w:numPr>
            </w:pPr>
            <w:r>
              <w:t>NOTE: pre-DARA may mean pre dose administration not pre-starting DARA therapy</w:t>
            </w:r>
          </w:p>
          <w:p w:rsidR="00826C1E" w:rsidRDefault="00826C1E" w:rsidP="00800B50">
            <w:pPr>
              <w:pStyle w:val="ListParagraph"/>
              <w:numPr>
                <w:ilvl w:val="0"/>
                <w:numId w:val="12"/>
              </w:numPr>
            </w:pPr>
            <w:r>
              <w:t>FYI: Will not go live with Infinity unless HMC can validate theirs.</w:t>
            </w:r>
          </w:p>
          <w:p w:rsidR="00826C1E" w:rsidRDefault="00826C1E" w:rsidP="00800B50">
            <w:pPr>
              <w:pStyle w:val="ListParagraph"/>
              <w:numPr>
                <w:ilvl w:val="1"/>
                <w:numId w:val="12"/>
              </w:numPr>
            </w:pPr>
            <w:r>
              <w:t>Germany is able to replicate the missed reactions between Tango and Inf</w:t>
            </w:r>
            <w:r w:rsidR="009973BE">
              <w:t xml:space="preserve">inity, it may be related to how the machines pipette </w:t>
            </w:r>
          </w:p>
        </w:tc>
      </w:tr>
      <w:tr w:rsidR="00826C1E" w:rsidTr="000B6EAB">
        <w:trPr>
          <w:trHeight w:val="1124"/>
        </w:trPr>
        <w:tc>
          <w:tcPr>
            <w:tcW w:w="3542" w:type="dxa"/>
          </w:tcPr>
          <w:p w:rsidR="00826C1E" w:rsidRPr="00532ACD" w:rsidRDefault="00826C1E" w:rsidP="00532ACD">
            <w:pPr>
              <w:rPr>
                <w:b/>
                <w:sz w:val="28"/>
                <w:szCs w:val="28"/>
              </w:rPr>
            </w:pPr>
            <w:r>
              <w:rPr>
                <w:b/>
                <w:sz w:val="28"/>
                <w:szCs w:val="28"/>
              </w:rPr>
              <w:t>ARC Antigen Negative Reports</w:t>
            </w:r>
          </w:p>
        </w:tc>
        <w:tc>
          <w:tcPr>
            <w:tcW w:w="6034" w:type="dxa"/>
          </w:tcPr>
          <w:p w:rsidR="00826C1E" w:rsidRDefault="00826C1E" w:rsidP="00826C1E">
            <w:pPr>
              <w:pStyle w:val="ListParagraph"/>
              <w:numPr>
                <w:ilvl w:val="0"/>
                <w:numId w:val="15"/>
              </w:numPr>
            </w:pPr>
            <w:r>
              <w:t xml:space="preserve">Antigen </w:t>
            </w:r>
            <w:proofErr w:type="spellStart"/>
            <w:r>
              <w:t>Neg</w:t>
            </w:r>
            <w:proofErr w:type="spellEnd"/>
            <w:r>
              <w:t xml:space="preserve"> reports come in an envelope addressed to management.  The envelope is NOT for management. Open it, review it, move units to appropriate locations (for patient or antigen negative inventory), and file</w:t>
            </w:r>
          </w:p>
        </w:tc>
      </w:tr>
      <w:tr w:rsidR="00826C1E" w:rsidTr="000B6EAB">
        <w:trPr>
          <w:trHeight w:val="1124"/>
        </w:trPr>
        <w:tc>
          <w:tcPr>
            <w:tcW w:w="3542" w:type="dxa"/>
          </w:tcPr>
          <w:p w:rsidR="00826C1E" w:rsidRPr="00532ACD" w:rsidRDefault="00826C1E" w:rsidP="00532ACD">
            <w:pPr>
              <w:rPr>
                <w:b/>
                <w:sz w:val="28"/>
                <w:szCs w:val="28"/>
              </w:rPr>
            </w:pPr>
            <w:r>
              <w:rPr>
                <w:b/>
                <w:sz w:val="28"/>
                <w:szCs w:val="28"/>
              </w:rPr>
              <w:t>Units returned from Issu</w:t>
            </w:r>
            <w:r w:rsidR="009973BE">
              <w:rPr>
                <w:b/>
                <w:sz w:val="28"/>
                <w:szCs w:val="28"/>
              </w:rPr>
              <w:t>e</w:t>
            </w:r>
          </w:p>
        </w:tc>
        <w:tc>
          <w:tcPr>
            <w:tcW w:w="6034" w:type="dxa"/>
          </w:tcPr>
          <w:p w:rsidR="00826C1E" w:rsidRDefault="009973BE" w:rsidP="00532ACD">
            <w:r>
              <w:t>Units returned from issue must have the temperature checked for acceptability prior to returning to inventory when not stored in monitored storage</w:t>
            </w:r>
          </w:p>
          <w:p w:rsidR="009973BE" w:rsidRDefault="009973BE" w:rsidP="009973BE">
            <w:pPr>
              <w:pStyle w:val="ListParagraph"/>
              <w:numPr>
                <w:ilvl w:val="0"/>
                <w:numId w:val="15"/>
              </w:numPr>
            </w:pPr>
            <w:r>
              <w:t xml:space="preserve">Check the temperature </w:t>
            </w:r>
            <w:r w:rsidRPr="009973BE">
              <w:rPr>
                <w:b/>
                <w:u w:val="single"/>
              </w:rPr>
              <w:t>when it arrives</w:t>
            </w:r>
            <w:r>
              <w:t xml:space="preserve">. It may come into acceptable temperature while in quarantine awaiting </w:t>
            </w:r>
            <w:r>
              <w:lastRenderedPageBreak/>
              <w:t>approval.</w:t>
            </w:r>
          </w:p>
          <w:p w:rsidR="009973BE" w:rsidRDefault="009973BE" w:rsidP="009973BE">
            <w:pPr>
              <w:pStyle w:val="ListParagraph"/>
              <w:numPr>
                <w:ilvl w:val="0"/>
                <w:numId w:val="15"/>
              </w:numPr>
            </w:pPr>
            <w:r>
              <w:t>Floor asked for two units, received two units, and later called requesting a refrigerator for second unit.  Tech refused.  Tech was correct.  Have them return the unit so we can check the temperature and return to inventory or quarantine (as appropriate).</w:t>
            </w:r>
          </w:p>
          <w:p w:rsidR="009973BE" w:rsidRDefault="009973BE" w:rsidP="009973BE">
            <w:pPr>
              <w:pStyle w:val="ListParagraph"/>
              <w:numPr>
                <w:ilvl w:val="0"/>
                <w:numId w:val="15"/>
              </w:numPr>
            </w:pPr>
            <w:r>
              <w:t>Look</w:t>
            </w:r>
            <w:r w:rsidR="005E7DF0">
              <w:t>ing at alternative thermometers</w:t>
            </w:r>
            <w:r>
              <w:t xml:space="preserve"> </w:t>
            </w:r>
          </w:p>
          <w:p w:rsidR="009973BE" w:rsidRDefault="009973BE" w:rsidP="009973BE">
            <w:pPr>
              <w:pStyle w:val="ListParagraph"/>
              <w:numPr>
                <w:ilvl w:val="1"/>
                <w:numId w:val="15"/>
              </w:numPr>
            </w:pPr>
            <w:r>
              <w:t>The Fluke is meant for liquid so not the best</w:t>
            </w:r>
            <w:r w:rsidR="005E7DF0">
              <w:t xml:space="preserve"> for the task</w:t>
            </w:r>
          </w:p>
          <w:p w:rsidR="009973BE" w:rsidRDefault="009973BE" w:rsidP="009973BE">
            <w:pPr>
              <w:pStyle w:val="ListParagraph"/>
              <w:numPr>
                <w:ilvl w:val="1"/>
                <w:numId w:val="15"/>
              </w:numPr>
            </w:pPr>
            <w:r>
              <w:t>Temperature stickers that are placed on the unit are not cost effective for the volume that we issue</w:t>
            </w:r>
          </w:p>
          <w:p w:rsidR="009973BE" w:rsidRDefault="009973BE" w:rsidP="009973BE">
            <w:pPr>
              <w:pStyle w:val="ListParagraph"/>
              <w:numPr>
                <w:ilvl w:val="1"/>
                <w:numId w:val="15"/>
              </w:numPr>
            </w:pPr>
            <w:r>
              <w:t xml:space="preserve">Please let </w:t>
            </w:r>
            <w:proofErr w:type="spellStart"/>
            <w:r>
              <w:t>Deann</w:t>
            </w:r>
            <w:proofErr w:type="spellEnd"/>
            <w:r>
              <w:t xml:space="preserve"> know if you know of a good thermometer from working elsewhere</w:t>
            </w:r>
          </w:p>
          <w:p w:rsidR="009973BE" w:rsidRDefault="009973BE" w:rsidP="009973BE">
            <w:pPr>
              <w:pStyle w:val="ListParagraph"/>
              <w:numPr>
                <w:ilvl w:val="0"/>
                <w:numId w:val="15"/>
              </w:numPr>
            </w:pPr>
            <w:r>
              <w:t xml:space="preserve">Should we have a protocol for </w:t>
            </w:r>
            <w:r w:rsidR="005E7DF0">
              <w:t>deferred</w:t>
            </w:r>
            <w:r>
              <w:t xml:space="preserve"> tube</w:t>
            </w:r>
            <w:r w:rsidR="005E7DF0">
              <w:t>?</w:t>
            </w:r>
          </w:p>
          <w:p w:rsidR="009973BE" w:rsidRDefault="009973BE" w:rsidP="009973BE">
            <w:pPr>
              <w:pStyle w:val="ListParagraph"/>
              <w:numPr>
                <w:ilvl w:val="0"/>
                <w:numId w:val="15"/>
              </w:numPr>
            </w:pPr>
            <w:r>
              <w:t>Tubes sometimes sit at tube station for 5+ minutes waiting to leave</w:t>
            </w:r>
          </w:p>
          <w:p w:rsidR="009973BE" w:rsidRDefault="009973BE" w:rsidP="009973BE">
            <w:pPr>
              <w:pStyle w:val="ListParagraph"/>
              <w:numPr>
                <w:ilvl w:val="1"/>
                <w:numId w:val="15"/>
              </w:numPr>
            </w:pPr>
            <w:r>
              <w:t xml:space="preserve">Our location is not on the main tube line, tubes take a very </w:t>
            </w:r>
            <w:r w:rsidR="00800B50">
              <w:t>inefficient route</w:t>
            </w:r>
          </w:p>
          <w:p w:rsidR="00800B50" w:rsidRDefault="00800B50" w:rsidP="009973BE">
            <w:pPr>
              <w:pStyle w:val="ListParagraph"/>
              <w:numPr>
                <w:ilvl w:val="1"/>
                <w:numId w:val="15"/>
              </w:numPr>
            </w:pPr>
            <w:r>
              <w:t>Management will check tube station delivery times</w:t>
            </w:r>
          </w:p>
          <w:p w:rsidR="00800B50" w:rsidRPr="009973BE" w:rsidRDefault="00800B50" w:rsidP="009973BE">
            <w:pPr>
              <w:pStyle w:val="ListParagraph"/>
              <w:numPr>
                <w:ilvl w:val="1"/>
                <w:numId w:val="15"/>
              </w:numPr>
            </w:pPr>
            <w:r>
              <w:t>Construction is required to give our tubes direct routes.  Management will check with DSB</w:t>
            </w:r>
          </w:p>
        </w:tc>
      </w:tr>
      <w:tr w:rsidR="00800B50" w:rsidTr="000B6EAB">
        <w:trPr>
          <w:trHeight w:val="1124"/>
        </w:trPr>
        <w:tc>
          <w:tcPr>
            <w:tcW w:w="3542" w:type="dxa"/>
          </w:tcPr>
          <w:p w:rsidR="00800B50" w:rsidRPr="00532ACD" w:rsidRDefault="00800B50" w:rsidP="00532ACD">
            <w:pPr>
              <w:rPr>
                <w:b/>
                <w:sz w:val="28"/>
                <w:szCs w:val="28"/>
              </w:rPr>
            </w:pPr>
            <w:r>
              <w:rPr>
                <w:b/>
                <w:sz w:val="28"/>
                <w:szCs w:val="28"/>
              </w:rPr>
              <w:lastRenderedPageBreak/>
              <w:t>TRRX – itching and hives only</w:t>
            </w:r>
          </w:p>
        </w:tc>
        <w:tc>
          <w:tcPr>
            <w:tcW w:w="6034" w:type="dxa"/>
          </w:tcPr>
          <w:p w:rsidR="00800B50" w:rsidRDefault="00800B50" w:rsidP="00800B50">
            <w:pPr>
              <w:pStyle w:val="ListParagraph"/>
              <w:numPr>
                <w:ilvl w:val="0"/>
                <w:numId w:val="16"/>
              </w:numPr>
            </w:pPr>
            <w:r>
              <w:t>If patient’s physician deem it is nothing other than itching and hives, the transfusion may be restarted and we will not receive the bag</w:t>
            </w:r>
          </w:p>
          <w:p w:rsidR="00800B50" w:rsidRDefault="00800B50" w:rsidP="00800B50">
            <w:pPr>
              <w:pStyle w:val="ListParagraph"/>
              <w:numPr>
                <w:ilvl w:val="0"/>
                <w:numId w:val="16"/>
              </w:numPr>
            </w:pPr>
            <w:r>
              <w:t>We are not responsible for determining TRRX, refer questions to the LMR or the nursing policies</w:t>
            </w:r>
          </w:p>
        </w:tc>
      </w:tr>
      <w:tr w:rsidR="00800B50" w:rsidTr="000B6EAB">
        <w:trPr>
          <w:trHeight w:val="1124"/>
        </w:trPr>
        <w:tc>
          <w:tcPr>
            <w:tcW w:w="3542" w:type="dxa"/>
          </w:tcPr>
          <w:p w:rsidR="00800B50" w:rsidRPr="00532ACD" w:rsidRDefault="00800B50" w:rsidP="004B1B57">
            <w:pPr>
              <w:rPr>
                <w:b/>
                <w:sz w:val="28"/>
                <w:szCs w:val="28"/>
              </w:rPr>
            </w:pPr>
            <w:r>
              <w:rPr>
                <w:b/>
                <w:sz w:val="28"/>
                <w:szCs w:val="28"/>
              </w:rPr>
              <w:t>Managing Thawed Plasma Inventory</w:t>
            </w:r>
          </w:p>
        </w:tc>
        <w:tc>
          <w:tcPr>
            <w:tcW w:w="6034" w:type="dxa"/>
          </w:tcPr>
          <w:p w:rsidR="00800B50" w:rsidRDefault="00800B50" w:rsidP="00800B50">
            <w:pPr>
              <w:pStyle w:val="ListParagraph"/>
              <w:numPr>
                <w:ilvl w:val="0"/>
                <w:numId w:val="15"/>
              </w:numPr>
            </w:pPr>
            <w:r>
              <w:t>Working to educate clinicians that they don’t need plasma on the floor.  Most plasma orders are not transfused.</w:t>
            </w:r>
          </w:p>
          <w:p w:rsidR="00800B50" w:rsidRDefault="00800B50" w:rsidP="00800B50">
            <w:pPr>
              <w:pStyle w:val="ListParagraph"/>
              <w:numPr>
                <w:ilvl w:val="1"/>
                <w:numId w:val="15"/>
              </w:numPr>
            </w:pPr>
            <w:r>
              <w:t>Try to convince OR to keep plasma with us or get the refrigerator back after the case is over (or just the plasma)</w:t>
            </w:r>
          </w:p>
        </w:tc>
      </w:tr>
      <w:tr w:rsidR="00800B50" w:rsidTr="000B6EAB">
        <w:trPr>
          <w:trHeight w:val="1124"/>
        </w:trPr>
        <w:tc>
          <w:tcPr>
            <w:tcW w:w="3542" w:type="dxa"/>
          </w:tcPr>
          <w:p w:rsidR="00800B50" w:rsidRPr="00532ACD" w:rsidRDefault="00800B50" w:rsidP="00532ACD">
            <w:pPr>
              <w:rPr>
                <w:b/>
                <w:sz w:val="28"/>
                <w:szCs w:val="28"/>
              </w:rPr>
            </w:pPr>
            <w:r w:rsidRPr="00532ACD">
              <w:rPr>
                <w:b/>
                <w:sz w:val="28"/>
                <w:szCs w:val="28"/>
              </w:rPr>
              <w:t xml:space="preserve">Quality </w:t>
            </w:r>
          </w:p>
        </w:tc>
        <w:tc>
          <w:tcPr>
            <w:tcW w:w="6034" w:type="dxa"/>
          </w:tcPr>
          <w:p w:rsidR="00800B50" w:rsidRDefault="00800B50" w:rsidP="00532ACD">
            <w:r>
              <w:t xml:space="preserve">BDPRs and other event review </w:t>
            </w:r>
          </w:p>
          <w:p w:rsidR="00800B50" w:rsidRDefault="00800B50" w:rsidP="00C722C3">
            <w:pPr>
              <w:pStyle w:val="ListParagraph"/>
              <w:numPr>
                <w:ilvl w:val="0"/>
                <w:numId w:val="11"/>
              </w:numPr>
            </w:pPr>
            <w:r>
              <w:t xml:space="preserve">Issuing in SQ – </w:t>
            </w:r>
            <w:r w:rsidR="00A21DAC">
              <w:t>You are</w:t>
            </w:r>
            <w:r>
              <w:t xml:space="preserve"> accountable</w:t>
            </w:r>
            <w:r w:rsidR="00A21DAC">
              <w:t xml:space="preserve"> for following the procedure</w:t>
            </w:r>
            <w:r w:rsidR="005E7DF0">
              <w:t>. All shifts, regardless of staffing, must issue first and perform the clerical check second.</w:t>
            </w:r>
          </w:p>
          <w:p w:rsidR="00A21DAC" w:rsidRDefault="00A21DAC" w:rsidP="00A21DAC">
            <w:pPr>
              <w:pStyle w:val="ListParagraph"/>
              <w:numPr>
                <w:ilvl w:val="1"/>
                <w:numId w:val="11"/>
              </w:numPr>
            </w:pPr>
            <w:r>
              <w:t>The number of events increased from last month</w:t>
            </w:r>
          </w:p>
          <w:p w:rsidR="00A21DAC" w:rsidRDefault="00A21DAC" w:rsidP="00A21DAC">
            <w:pPr>
              <w:pStyle w:val="ListParagraph"/>
              <w:numPr>
                <w:ilvl w:val="1"/>
                <w:numId w:val="11"/>
              </w:numPr>
            </w:pPr>
            <w:r>
              <w:t xml:space="preserve">Issue in SQ </w:t>
            </w:r>
            <w:r>
              <w:rPr>
                <w:b/>
                <w:u w:val="single"/>
              </w:rPr>
              <w:t>before</w:t>
            </w:r>
            <w:r w:rsidRPr="00A21DAC">
              <w:rPr>
                <w:b/>
              </w:rPr>
              <w:t xml:space="preserve"> </w:t>
            </w:r>
            <w:r>
              <w:t>handing off</w:t>
            </w:r>
            <w:r w:rsidR="005E7DF0">
              <w:t xml:space="preserve"> for clerical check</w:t>
            </w:r>
            <w:r>
              <w:t>, don’t forget to hit cancel.  It will time out and issue will not be complete</w:t>
            </w:r>
          </w:p>
          <w:p w:rsidR="00A21DAC" w:rsidRDefault="00A21DAC" w:rsidP="00A21DAC">
            <w:pPr>
              <w:pStyle w:val="ListParagraph"/>
              <w:numPr>
                <w:ilvl w:val="1"/>
                <w:numId w:val="11"/>
              </w:numPr>
            </w:pPr>
            <w:r>
              <w:t xml:space="preserve">You can allocate and </w:t>
            </w:r>
            <w:r>
              <w:rPr>
                <w:b/>
                <w:u w:val="single"/>
              </w:rPr>
              <w:t>store in monitored storage</w:t>
            </w:r>
            <w:r w:rsidR="005E7DF0">
              <w:t>, i</w:t>
            </w:r>
            <w:r>
              <w:t xml:space="preserve">t is ok for </w:t>
            </w:r>
            <w:r w:rsidRPr="005E7DF0">
              <w:t>someone</w:t>
            </w:r>
            <w:r>
              <w:t xml:space="preserve"> else to issue.</w:t>
            </w:r>
          </w:p>
          <w:p w:rsidR="00A21DAC" w:rsidRDefault="00A21DAC" w:rsidP="00A21DAC">
            <w:pPr>
              <w:pStyle w:val="ListParagraph"/>
              <w:numPr>
                <w:ilvl w:val="2"/>
                <w:numId w:val="11"/>
              </w:numPr>
            </w:pPr>
            <w:r>
              <w:t xml:space="preserve">If you are too busy to issue, hand the transfusion record to someone else for them to </w:t>
            </w:r>
            <w:r w:rsidRPr="005E7DF0">
              <w:t>locate unit</w:t>
            </w:r>
            <w:r>
              <w:t xml:space="preserve"> </w:t>
            </w:r>
            <w:r>
              <w:rPr>
                <w:b/>
                <w:u w:val="single"/>
              </w:rPr>
              <w:t>and issue</w:t>
            </w:r>
            <w:r w:rsidRPr="00A21DAC">
              <w:t>.</w:t>
            </w:r>
          </w:p>
          <w:p w:rsidR="00800B50" w:rsidRDefault="00800B50" w:rsidP="00C722C3">
            <w:pPr>
              <w:pStyle w:val="ListParagraph"/>
              <w:numPr>
                <w:ilvl w:val="0"/>
                <w:numId w:val="11"/>
              </w:numPr>
            </w:pPr>
            <w:r>
              <w:t>Wrong component issued</w:t>
            </w:r>
          </w:p>
          <w:p w:rsidR="00800B50" w:rsidRDefault="00800B50" w:rsidP="00C722C3">
            <w:pPr>
              <w:pStyle w:val="ListParagraph"/>
              <w:numPr>
                <w:ilvl w:val="0"/>
                <w:numId w:val="11"/>
              </w:numPr>
            </w:pPr>
            <w:r>
              <w:t>Review QA failure before saving test results</w:t>
            </w:r>
          </w:p>
          <w:p w:rsidR="00A21DAC" w:rsidRDefault="00A21DAC" w:rsidP="00A21DAC">
            <w:pPr>
              <w:pStyle w:val="ListParagraph"/>
              <w:numPr>
                <w:ilvl w:val="1"/>
                <w:numId w:val="11"/>
              </w:numPr>
            </w:pPr>
            <w:r>
              <w:lastRenderedPageBreak/>
              <w:t>Watch out for testing with NTD</w:t>
            </w:r>
          </w:p>
          <w:p w:rsidR="00A21DAC" w:rsidRDefault="00A21DAC" w:rsidP="00A21DAC">
            <w:pPr>
              <w:pStyle w:val="ListParagraph"/>
              <w:numPr>
                <w:ilvl w:val="2"/>
                <w:numId w:val="11"/>
              </w:numPr>
            </w:pPr>
            <w:r>
              <w:t>Reverse type was reported as ND on an adult</w:t>
            </w:r>
          </w:p>
          <w:p w:rsidR="00A21DAC" w:rsidRDefault="00A21DAC" w:rsidP="00A21DAC">
            <w:pPr>
              <w:pStyle w:val="ListParagraph"/>
              <w:numPr>
                <w:ilvl w:val="2"/>
                <w:numId w:val="11"/>
              </w:numPr>
            </w:pPr>
            <w:r>
              <w:t xml:space="preserve">Rh control is required for an NTD that is testing as </w:t>
            </w:r>
            <w:proofErr w:type="spellStart"/>
            <w:r>
              <w:t>ABPos</w:t>
            </w:r>
            <w:proofErr w:type="spellEnd"/>
            <w:r>
              <w:t xml:space="preserve"> front type</w:t>
            </w:r>
          </w:p>
          <w:p w:rsidR="00800B50" w:rsidRDefault="00800B50" w:rsidP="00C722C3">
            <w:pPr>
              <w:pStyle w:val="ListParagraph"/>
              <w:numPr>
                <w:ilvl w:val="0"/>
                <w:numId w:val="11"/>
              </w:numPr>
            </w:pPr>
            <w:r>
              <w:t xml:space="preserve">In-use vs not in-use </w:t>
            </w:r>
            <w:r w:rsidR="00A21DAC">
              <w:t>reagents</w:t>
            </w:r>
            <w:r w:rsidR="005E7DF0">
              <w:t xml:space="preserve"> </w:t>
            </w:r>
          </w:p>
          <w:p w:rsidR="005E7DF0" w:rsidRDefault="005E7DF0" w:rsidP="005E7DF0">
            <w:pPr>
              <w:pStyle w:val="ListParagraph"/>
              <w:numPr>
                <w:ilvl w:val="1"/>
                <w:numId w:val="11"/>
              </w:numPr>
            </w:pPr>
            <w:r>
              <w:t>In-use reagents are in the refrigerator nearest the manual benches</w:t>
            </w:r>
          </w:p>
          <w:p w:rsidR="005E7DF0" w:rsidRDefault="005E7DF0" w:rsidP="005E7DF0">
            <w:pPr>
              <w:pStyle w:val="ListParagraph"/>
              <w:numPr>
                <w:ilvl w:val="1"/>
                <w:numId w:val="11"/>
              </w:numPr>
            </w:pPr>
            <w:r>
              <w:t>Not in use reagents are in the further away refrigerator</w:t>
            </w:r>
          </w:p>
          <w:p w:rsidR="00800B50" w:rsidRDefault="00800B50" w:rsidP="00C722C3">
            <w:pPr>
              <w:pStyle w:val="ListParagraph"/>
              <w:numPr>
                <w:ilvl w:val="0"/>
                <w:numId w:val="11"/>
              </w:numPr>
            </w:pPr>
            <w:r>
              <w:t>What to do if QC is missed</w:t>
            </w:r>
          </w:p>
          <w:p w:rsidR="00800B50" w:rsidRDefault="00800B50" w:rsidP="00800B50">
            <w:pPr>
              <w:pStyle w:val="ListParagraph"/>
              <w:numPr>
                <w:ilvl w:val="1"/>
                <w:numId w:val="11"/>
              </w:numPr>
            </w:pPr>
            <w:r>
              <w:t>Check reagent and instrument QC/maintenance at beginning of shift to verify everything is current and correct</w:t>
            </w:r>
          </w:p>
          <w:p w:rsidR="00A21DAC" w:rsidRDefault="00A21DAC" w:rsidP="00800B50">
            <w:pPr>
              <w:pStyle w:val="ListParagraph"/>
              <w:numPr>
                <w:ilvl w:val="1"/>
                <w:numId w:val="11"/>
              </w:numPr>
            </w:pPr>
            <w:r>
              <w:t xml:space="preserve">If QC is missed: </w:t>
            </w:r>
          </w:p>
          <w:p w:rsidR="00A21DAC" w:rsidRDefault="00A21DAC" w:rsidP="00A21DAC">
            <w:pPr>
              <w:pStyle w:val="ListParagraph"/>
              <w:numPr>
                <w:ilvl w:val="2"/>
                <w:numId w:val="11"/>
              </w:numPr>
            </w:pPr>
            <w:r>
              <w:t>Review and repeat ALL testing.  They need the original testing and repeat testing results together</w:t>
            </w:r>
          </w:p>
          <w:p w:rsidR="00A21DAC" w:rsidRDefault="00A21DAC" w:rsidP="00A21DAC">
            <w:pPr>
              <w:pStyle w:val="ListParagraph"/>
              <w:numPr>
                <w:ilvl w:val="2"/>
                <w:numId w:val="11"/>
              </w:numPr>
            </w:pPr>
            <w:r>
              <w:t>Call Christine (it is ok if she is at home) for help and guidance</w:t>
            </w:r>
          </w:p>
          <w:p w:rsidR="00800B50" w:rsidRDefault="00800B50" w:rsidP="00C722C3">
            <w:pPr>
              <w:pStyle w:val="ListParagraph"/>
              <w:numPr>
                <w:ilvl w:val="0"/>
                <w:numId w:val="11"/>
              </w:numPr>
            </w:pPr>
            <w:r>
              <w:t xml:space="preserve">New tables categorizing the kinds of BPD events.  </w:t>
            </w:r>
          </w:p>
          <w:p w:rsidR="00800B50" w:rsidRDefault="00800B50" w:rsidP="00800B50">
            <w:pPr>
              <w:pStyle w:val="ListParagraph"/>
              <w:numPr>
                <w:ilvl w:val="1"/>
                <w:numId w:val="11"/>
              </w:numPr>
            </w:pPr>
            <w:r>
              <w:t>Current rate will lead to fewer annual events than last year but still over the desired level of events for our work type and volume</w:t>
            </w:r>
          </w:p>
          <w:p w:rsidR="00800B50" w:rsidRDefault="008711A3" w:rsidP="00800B50">
            <w:pPr>
              <w:pStyle w:val="ListParagraph"/>
              <w:numPr>
                <w:ilvl w:val="1"/>
                <w:numId w:val="11"/>
              </w:numPr>
            </w:pPr>
            <w:r>
              <w:t xml:space="preserve">We transfuse 0.19% of the components issued </w:t>
            </w:r>
            <w:r w:rsidR="00800B50">
              <w:t xml:space="preserve">nationally but we report 3.29% </w:t>
            </w:r>
            <w:r>
              <w:t xml:space="preserve">of the BPDs reported to the FDA </w:t>
            </w:r>
            <w:r w:rsidR="00800B50">
              <w:t xml:space="preserve">nationally </w:t>
            </w:r>
            <w:bookmarkStart w:id="0" w:name="_GoBack"/>
            <w:bookmarkEnd w:id="0"/>
          </w:p>
          <w:p w:rsidR="00A21DAC" w:rsidRPr="006B66B1" w:rsidRDefault="00A21DAC" w:rsidP="00A21DAC">
            <w:pPr>
              <w:pStyle w:val="ListParagraph"/>
              <w:numPr>
                <w:ilvl w:val="0"/>
                <w:numId w:val="11"/>
              </w:numPr>
            </w:pPr>
            <w:r>
              <w:t>Management is meeting with SCCA to streamline processes</w:t>
            </w:r>
          </w:p>
        </w:tc>
      </w:tr>
      <w:tr w:rsidR="00800B50" w:rsidTr="0026131D">
        <w:tc>
          <w:tcPr>
            <w:tcW w:w="3542" w:type="dxa"/>
            <w:vAlign w:val="center"/>
          </w:tcPr>
          <w:p w:rsidR="00800B50" w:rsidRDefault="00800B50" w:rsidP="00437356">
            <w:pPr>
              <w:rPr>
                <w:b/>
                <w:sz w:val="28"/>
                <w:szCs w:val="28"/>
              </w:rPr>
            </w:pPr>
            <w:r>
              <w:rPr>
                <w:b/>
                <w:sz w:val="28"/>
                <w:szCs w:val="28"/>
              </w:rPr>
              <w:lastRenderedPageBreak/>
              <w:t>Safety</w:t>
            </w:r>
          </w:p>
        </w:tc>
        <w:tc>
          <w:tcPr>
            <w:tcW w:w="6034" w:type="dxa"/>
          </w:tcPr>
          <w:p w:rsidR="00800B50" w:rsidRDefault="00800B50" w:rsidP="00A21DAC">
            <w:pPr>
              <w:pStyle w:val="ListParagraph"/>
              <w:numPr>
                <w:ilvl w:val="0"/>
                <w:numId w:val="13"/>
              </w:numPr>
            </w:pPr>
            <w:r>
              <w:t xml:space="preserve">Leak repair and door lock issues have been repaired.  Please report any additional issues to OPS &amp; </w:t>
            </w:r>
            <w:proofErr w:type="spellStart"/>
            <w:r>
              <w:t>Maint</w:t>
            </w:r>
            <w:proofErr w:type="spellEnd"/>
            <w:r>
              <w:t xml:space="preserve"> as well as TSL leadership</w:t>
            </w:r>
          </w:p>
          <w:p w:rsidR="00800B50" w:rsidRPr="00532ACD" w:rsidRDefault="00800B50" w:rsidP="00532ACD">
            <w:pPr>
              <w:rPr>
                <w:color w:val="1F497D"/>
              </w:rPr>
            </w:pPr>
          </w:p>
        </w:tc>
      </w:tr>
      <w:tr w:rsidR="00800B50" w:rsidTr="0026131D">
        <w:tc>
          <w:tcPr>
            <w:tcW w:w="3542" w:type="dxa"/>
            <w:vAlign w:val="center"/>
          </w:tcPr>
          <w:p w:rsidR="00800B50" w:rsidRDefault="00800B50" w:rsidP="00437356">
            <w:pPr>
              <w:rPr>
                <w:b/>
                <w:sz w:val="28"/>
                <w:szCs w:val="28"/>
              </w:rPr>
            </w:pPr>
            <w:r>
              <w:rPr>
                <w:b/>
                <w:sz w:val="28"/>
                <w:szCs w:val="28"/>
              </w:rPr>
              <w:t>Training</w:t>
            </w:r>
          </w:p>
          <w:p w:rsidR="00800B50" w:rsidRDefault="00800B50" w:rsidP="00437356">
            <w:pPr>
              <w:rPr>
                <w:b/>
                <w:sz w:val="28"/>
                <w:szCs w:val="28"/>
              </w:rPr>
            </w:pPr>
          </w:p>
        </w:tc>
        <w:tc>
          <w:tcPr>
            <w:tcW w:w="6034" w:type="dxa"/>
          </w:tcPr>
          <w:p w:rsidR="00800B50" w:rsidRDefault="00800B50" w:rsidP="00ED0283">
            <w:pPr>
              <w:pStyle w:val="ListParagraph"/>
              <w:numPr>
                <w:ilvl w:val="0"/>
                <w:numId w:val="13"/>
              </w:numPr>
            </w:pPr>
            <w:r>
              <w:t xml:space="preserve">SOP revision implementation 5/1  - </w:t>
            </w:r>
            <w:r w:rsidRPr="00462A08">
              <w:t>Specimen Acceptability and  Order Receipt</w:t>
            </w:r>
          </w:p>
          <w:p w:rsidR="00A21DAC" w:rsidRDefault="00A21DAC" w:rsidP="00A21DAC">
            <w:pPr>
              <w:pStyle w:val="ListParagraph"/>
              <w:numPr>
                <w:ilvl w:val="1"/>
                <w:numId w:val="13"/>
              </w:numPr>
            </w:pPr>
            <w:r>
              <w:t>Complete training by 5/12, these revisions need to be implemented</w:t>
            </w:r>
          </w:p>
          <w:p w:rsidR="00A21DAC" w:rsidRDefault="00A21DAC" w:rsidP="00A21DAC">
            <w:pPr>
              <w:pStyle w:val="ListParagraph"/>
              <w:numPr>
                <w:ilvl w:val="1"/>
                <w:numId w:val="13"/>
              </w:numPr>
            </w:pPr>
            <w:r>
              <w:t>There are summaries of the changes which also address common</w:t>
            </w:r>
            <w:r w:rsidR="005E7DF0">
              <w:t xml:space="preserve"> mistakes</w:t>
            </w:r>
            <w:r>
              <w:t xml:space="preserve"> </w:t>
            </w:r>
          </w:p>
          <w:p w:rsidR="005E7DF0" w:rsidRDefault="005E7DF0" w:rsidP="005E7DF0">
            <w:pPr>
              <w:pStyle w:val="ListParagraph"/>
              <w:numPr>
                <w:ilvl w:val="2"/>
                <w:numId w:val="13"/>
              </w:numPr>
            </w:pPr>
            <w:r>
              <w:t xml:space="preserve">CRITICAL STEP: you </w:t>
            </w:r>
            <w:r>
              <w:rPr>
                <w:b/>
                <w:u w:val="single"/>
              </w:rPr>
              <w:t>must</w:t>
            </w:r>
            <w:r w:rsidRPr="005E7DF0">
              <w:t xml:space="preserve"> </w:t>
            </w:r>
            <w:r>
              <w:t>use the original sample collection date and time when converting BBHOLD to TXM.  Units have been issued on an expired crossmatch because the default date and time were used</w:t>
            </w:r>
          </w:p>
          <w:p w:rsidR="00800B50" w:rsidRDefault="00800B50" w:rsidP="00ED0283">
            <w:pPr>
              <w:pStyle w:val="ListParagraph"/>
              <w:numPr>
                <w:ilvl w:val="0"/>
                <w:numId w:val="13"/>
              </w:numPr>
            </w:pPr>
            <w:r>
              <w:t xml:space="preserve">TBD </w:t>
            </w:r>
          </w:p>
        </w:tc>
      </w:tr>
      <w:tr w:rsidR="00800B50" w:rsidTr="0026131D">
        <w:tc>
          <w:tcPr>
            <w:tcW w:w="3542" w:type="dxa"/>
            <w:vAlign w:val="center"/>
          </w:tcPr>
          <w:p w:rsidR="00800B50" w:rsidRDefault="00800B50" w:rsidP="00437356">
            <w:pPr>
              <w:rPr>
                <w:b/>
                <w:sz w:val="28"/>
                <w:szCs w:val="28"/>
              </w:rPr>
            </w:pPr>
            <w:r>
              <w:rPr>
                <w:b/>
                <w:sz w:val="28"/>
                <w:szCs w:val="28"/>
              </w:rPr>
              <w:lastRenderedPageBreak/>
              <w:t>Preventing wastage of washed/RV products</w:t>
            </w:r>
          </w:p>
        </w:tc>
        <w:tc>
          <w:tcPr>
            <w:tcW w:w="6034" w:type="dxa"/>
          </w:tcPr>
          <w:p w:rsidR="00800B50" w:rsidRDefault="00800B50" w:rsidP="00532ACD">
            <w:r w:rsidRPr="00BA0846">
              <w:t>The TSL MDs can be contacted to work with the nurse to ensure administration occurs product outdate and/or outdates can be extended as necessary.</w:t>
            </w:r>
          </w:p>
          <w:p w:rsidR="005E7DF0" w:rsidRDefault="005E7DF0" w:rsidP="005E7DF0">
            <w:pPr>
              <w:pStyle w:val="ListParagraph"/>
              <w:numPr>
                <w:ilvl w:val="0"/>
                <w:numId w:val="17"/>
              </w:numPr>
            </w:pPr>
            <w:r>
              <w:t>Working to revise nursing policy that they have to start the transfusion before the unit expires instead of complete transfusion before it expires</w:t>
            </w:r>
          </w:p>
          <w:p w:rsidR="005E7DF0" w:rsidRDefault="005E7DF0" w:rsidP="005E7DF0">
            <w:pPr>
              <w:pStyle w:val="ListParagraph"/>
              <w:numPr>
                <w:ilvl w:val="0"/>
                <w:numId w:val="17"/>
              </w:numPr>
            </w:pPr>
            <w:r>
              <w:t>Refer nurse to TSL MD if they need counselling</w:t>
            </w:r>
          </w:p>
          <w:p w:rsidR="00800B50" w:rsidRDefault="00800B50" w:rsidP="00532ACD"/>
          <w:p w:rsidR="005E7DF0" w:rsidRPr="00BA0846" w:rsidRDefault="00800B50" w:rsidP="005E7DF0">
            <w:r>
              <w:t xml:space="preserve">To help RN planning: provide the expiration time of RV and washed platelets. When shift hand-offs occur, RNs may not tell the next shift that platelets are being processed.  </w:t>
            </w:r>
          </w:p>
        </w:tc>
      </w:tr>
    </w:tbl>
    <w:p w:rsidR="007A7D44" w:rsidRDefault="007A7D44"/>
    <w:p w:rsidR="007A7D44" w:rsidRDefault="007A7D44"/>
    <w:p w:rsidR="00C618CD" w:rsidRDefault="00C618CD" w:rsidP="007E1F94"/>
    <w:sectPr w:rsidR="00C618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16" w:rsidRDefault="00471716" w:rsidP="00C618CD">
      <w:pPr>
        <w:spacing w:after="0" w:line="240" w:lineRule="auto"/>
      </w:pPr>
      <w:r>
        <w:separator/>
      </w:r>
    </w:p>
  </w:endnote>
  <w:endnote w:type="continuationSeparator" w:id="0">
    <w:p w:rsidR="00471716" w:rsidRDefault="00471716"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8711A3">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8711A3">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16" w:rsidRDefault="00471716" w:rsidP="00C618CD">
      <w:pPr>
        <w:spacing w:after="0" w:line="240" w:lineRule="auto"/>
      </w:pPr>
      <w:r>
        <w:separator/>
      </w:r>
    </w:p>
  </w:footnote>
  <w:footnote w:type="continuationSeparator" w:id="0">
    <w:p w:rsidR="00471716" w:rsidRDefault="00471716"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D6AC6" w:rsidRDefault="00C618CD" w:rsidP="00CD6AC6">
    <w:pPr>
      <w:spacing w:after="80" w:line="240" w:lineRule="auto"/>
      <w:ind w:left="-360"/>
      <w:jc w:val="center"/>
      <w:rPr>
        <w:rFonts w:ascii="Arial" w:eastAsia="Calibri" w:hAnsi="Arial" w:cs="Times New Roman"/>
        <w:b/>
        <w:sz w:val="28"/>
        <w:szCs w:val="28"/>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31140B64" wp14:editId="6905D58A">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sidR="00CD6AC6">
      <w:rPr>
        <w:rFonts w:ascii="Arial" w:eastAsia="Calibri" w:hAnsi="Arial" w:cs="Times New Roman"/>
        <w:b/>
        <w:sz w:val="28"/>
        <w:szCs w:val="28"/>
      </w:rPr>
      <w:t xml:space="preserve">May </w:t>
    </w:r>
    <w:r w:rsidR="005E7DF0">
      <w:rPr>
        <w:rFonts w:ascii="Arial" w:eastAsia="Calibri" w:hAnsi="Arial" w:cs="Times New Roman"/>
        <w:b/>
        <w:sz w:val="28"/>
        <w:szCs w:val="28"/>
      </w:rPr>
      <w:t>5</w:t>
    </w:r>
    <w:r w:rsidR="005E7DF0" w:rsidRPr="005E7DF0">
      <w:rPr>
        <w:rFonts w:ascii="Arial" w:eastAsia="Calibri" w:hAnsi="Arial" w:cs="Times New Roman"/>
        <w:b/>
        <w:sz w:val="28"/>
        <w:szCs w:val="28"/>
        <w:vertAlign w:val="superscript"/>
      </w:rPr>
      <w:t>th</w:t>
    </w:r>
    <w:r w:rsidR="00A827E6">
      <w:rPr>
        <w:rFonts w:ascii="Arial" w:eastAsia="Calibri" w:hAnsi="Arial" w:cs="Times New Roman"/>
        <w:b/>
        <w:sz w:val="28"/>
        <w:szCs w:val="28"/>
      </w:rPr>
      <w:t>, 2017</w:t>
    </w:r>
    <w:r w:rsidR="00E3434D">
      <w:rPr>
        <w:rFonts w:ascii="Arial" w:eastAsia="Calibri" w:hAnsi="Arial" w:cs="Times New Roman"/>
        <w:b/>
        <w:sz w:val="28"/>
        <w:szCs w:val="28"/>
      </w:rPr>
      <w:t xml:space="preserve"> Staff Meeting</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BF3"/>
    <w:multiLevelType w:val="hybridMultilevel"/>
    <w:tmpl w:val="53182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2A3C7FCE"/>
    <w:multiLevelType w:val="hybridMultilevel"/>
    <w:tmpl w:val="E506B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B3167"/>
    <w:multiLevelType w:val="hybridMultilevel"/>
    <w:tmpl w:val="EA28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AD708F"/>
    <w:multiLevelType w:val="hybridMultilevel"/>
    <w:tmpl w:val="30CA3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AE769A8"/>
    <w:multiLevelType w:val="hybridMultilevel"/>
    <w:tmpl w:val="95845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8B149F"/>
    <w:multiLevelType w:val="hybridMultilevel"/>
    <w:tmpl w:val="EF16E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BF30EA"/>
    <w:multiLevelType w:val="hybridMultilevel"/>
    <w:tmpl w:val="80C2F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EE38E8"/>
    <w:multiLevelType w:val="hybridMultilevel"/>
    <w:tmpl w:val="9D9E6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8E00FD"/>
    <w:multiLevelType w:val="hybridMultilevel"/>
    <w:tmpl w:val="1BD88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733F0F"/>
    <w:multiLevelType w:val="hybridMultilevel"/>
    <w:tmpl w:val="30CA3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8C6317"/>
    <w:multiLevelType w:val="hybridMultilevel"/>
    <w:tmpl w:val="64D4A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4A6B23"/>
    <w:multiLevelType w:val="hybridMultilevel"/>
    <w:tmpl w:val="CF462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830AA8"/>
    <w:multiLevelType w:val="hybridMultilevel"/>
    <w:tmpl w:val="1A1A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2"/>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8"/>
  </w:num>
  <w:num w:numId="14">
    <w:abstractNumId w:val="1"/>
  </w:num>
  <w:num w:numId="15">
    <w:abstractNumId w:val="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B6EAB"/>
    <w:rsid w:val="000E2706"/>
    <w:rsid w:val="00107C4B"/>
    <w:rsid w:val="00140BE2"/>
    <w:rsid w:val="00153CDF"/>
    <w:rsid w:val="00166384"/>
    <w:rsid w:val="001C0C34"/>
    <w:rsid w:val="001C6661"/>
    <w:rsid w:val="001D38CE"/>
    <w:rsid w:val="0026131D"/>
    <w:rsid w:val="00296317"/>
    <w:rsid w:val="002C6E96"/>
    <w:rsid w:val="0035673D"/>
    <w:rsid w:val="003D6C3B"/>
    <w:rsid w:val="003D7FF6"/>
    <w:rsid w:val="0040077A"/>
    <w:rsid w:val="00407F3D"/>
    <w:rsid w:val="00410F6D"/>
    <w:rsid w:val="00421DFA"/>
    <w:rsid w:val="00437356"/>
    <w:rsid w:val="0043778E"/>
    <w:rsid w:val="0044004B"/>
    <w:rsid w:val="00462A08"/>
    <w:rsid w:val="00471716"/>
    <w:rsid w:val="00476BDC"/>
    <w:rsid w:val="00487DFA"/>
    <w:rsid w:val="004C0D56"/>
    <w:rsid w:val="004D0980"/>
    <w:rsid w:val="004D3B02"/>
    <w:rsid w:val="00532ACD"/>
    <w:rsid w:val="00545CDF"/>
    <w:rsid w:val="005D25C1"/>
    <w:rsid w:val="005E2C5F"/>
    <w:rsid w:val="005E7DF0"/>
    <w:rsid w:val="00635F49"/>
    <w:rsid w:val="00672899"/>
    <w:rsid w:val="006E389B"/>
    <w:rsid w:val="0077614D"/>
    <w:rsid w:val="0078640F"/>
    <w:rsid w:val="007A0E96"/>
    <w:rsid w:val="007A7D44"/>
    <w:rsid w:val="007B08FB"/>
    <w:rsid w:val="007E1F94"/>
    <w:rsid w:val="00800B50"/>
    <w:rsid w:val="00807AA5"/>
    <w:rsid w:val="00826BB3"/>
    <w:rsid w:val="00826C1E"/>
    <w:rsid w:val="008711A3"/>
    <w:rsid w:val="008C710A"/>
    <w:rsid w:val="008D331A"/>
    <w:rsid w:val="00934441"/>
    <w:rsid w:val="009470CF"/>
    <w:rsid w:val="00996209"/>
    <w:rsid w:val="009973BE"/>
    <w:rsid w:val="009A0969"/>
    <w:rsid w:val="009E0B1A"/>
    <w:rsid w:val="009E631E"/>
    <w:rsid w:val="00A21DAC"/>
    <w:rsid w:val="00A5373B"/>
    <w:rsid w:val="00A769C8"/>
    <w:rsid w:val="00A827E6"/>
    <w:rsid w:val="00B04DCC"/>
    <w:rsid w:val="00B32DCE"/>
    <w:rsid w:val="00B33C93"/>
    <w:rsid w:val="00B67600"/>
    <w:rsid w:val="00BA0846"/>
    <w:rsid w:val="00BA3015"/>
    <w:rsid w:val="00BE1F90"/>
    <w:rsid w:val="00C20E61"/>
    <w:rsid w:val="00C5544F"/>
    <w:rsid w:val="00C618CD"/>
    <w:rsid w:val="00C722C3"/>
    <w:rsid w:val="00C72F95"/>
    <w:rsid w:val="00C934E2"/>
    <w:rsid w:val="00C955F6"/>
    <w:rsid w:val="00CD6AC6"/>
    <w:rsid w:val="00D16F9E"/>
    <w:rsid w:val="00D23C9B"/>
    <w:rsid w:val="00D32C7F"/>
    <w:rsid w:val="00DB3E78"/>
    <w:rsid w:val="00E10711"/>
    <w:rsid w:val="00E214EC"/>
    <w:rsid w:val="00E32AA2"/>
    <w:rsid w:val="00E3434D"/>
    <w:rsid w:val="00EA6179"/>
    <w:rsid w:val="00ED0283"/>
    <w:rsid w:val="00EE21E8"/>
    <w:rsid w:val="00EF5707"/>
    <w:rsid w:val="00F10D58"/>
    <w:rsid w:val="00F8461C"/>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670">
      <w:bodyDiv w:val="1"/>
      <w:marLeft w:val="0"/>
      <w:marRight w:val="0"/>
      <w:marTop w:val="0"/>
      <w:marBottom w:val="0"/>
      <w:divBdr>
        <w:top w:val="none" w:sz="0" w:space="0" w:color="auto"/>
        <w:left w:val="none" w:sz="0" w:space="0" w:color="auto"/>
        <w:bottom w:val="none" w:sz="0" w:space="0" w:color="auto"/>
        <w:right w:val="none" w:sz="0" w:space="0" w:color="auto"/>
      </w:divBdr>
    </w:div>
    <w:div w:id="186724177">
      <w:bodyDiv w:val="1"/>
      <w:marLeft w:val="0"/>
      <w:marRight w:val="0"/>
      <w:marTop w:val="0"/>
      <w:marBottom w:val="0"/>
      <w:divBdr>
        <w:top w:val="none" w:sz="0" w:space="0" w:color="auto"/>
        <w:left w:val="none" w:sz="0" w:space="0" w:color="auto"/>
        <w:bottom w:val="none" w:sz="0" w:space="0" w:color="auto"/>
        <w:right w:val="none" w:sz="0" w:space="0" w:color="auto"/>
      </w:divBdr>
    </w:div>
    <w:div w:id="297607704">
      <w:bodyDiv w:val="1"/>
      <w:marLeft w:val="0"/>
      <w:marRight w:val="0"/>
      <w:marTop w:val="0"/>
      <w:marBottom w:val="0"/>
      <w:divBdr>
        <w:top w:val="none" w:sz="0" w:space="0" w:color="auto"/>
        <w:left w:val="none" w:sz="0" w:space="0" w:color="auto"/>
        <w:bottom w:val="none" w:sz="0" w:space="0" w:color="auto"/>
        <w:right w:val="none" w:sz="0" w:space="0" w:color="auto"/>
      </w:divBdr>
    </w:div>
    <w:div w:id="1273971688">
      <w:bodyDiv w:val="1"/>
      <w:marLeft w:val="0"/>
      <w:marRight w:val="0"/>
      <w:marTop w:val="0"/>
      <w:marBottom w:val="0"/>
      <w:divBdr>
        <w:top w:val="none" w:sz="0" w:space="0" w:color="auto"/>
        <w:left w:val="none" w:sz="0" w:space="0" w:color="auto"/>
        <w:bottom w:val="none" w:sz="0" w:space="0" w:color="auto"/>
        <w:right w:val="none" w:sz="0" w:space="0" w:color="auto"/>
      </w:divBdr>
    </w:div>
    <w:div w:id="1345325883">
      <w:bodyDiv w:val="1"/>
      <w:marLeft w:val="0"/>
      <w:marRight w:val="0"/>
      <w:marTop w:val="0"/>
      <w:marBottom w:val="0"/>
      <w:divBdr>
        <w:top w:val="none" w:sz="0" w:space="0" w:color="auto"/>
        <w:left w:val="none" w:sz="0" w:space="0" w:color="auto"/>
        <w:bottom w:val="none" w:sz="0" w:space="0" w:color="auto"/>
        <w:right w:val="none" w:sz="0" w:space="0" w:color="auto"/>
      </w:divBdr>
    </w:div>
    <w:div w:id="20997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E7E9-359F-4EFE-A571-4F115E6F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Berger, Crystal M</cp:lastModifiedBy>
  <cp:revision>2</cp:revision>
  <cp:lastPrinted>2017-04-05T15:00:00Z</cp:lastPrinted>
  <dcterms:created xsi:type="dcterms:W3CDTF">2017-05-10T15:39:00Z</dcterms:created>
  <dcterms:modified xsi:type="dcterms:W3CDTF">2017-05-10T15:39:00Z</dcterms:modified>
</cp:coreProperties>
</file>