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3A" w:rsidRPr="001E7A02" w:rsidRDefault="00A322A2">
      <w:pPr>
        <w:rPr>
          <w:rFonts w:ascii="Arial" w:hAnsi="Arial" w:cs="Arial"/>
          <w:b/>
        </w:rPr>
      </w:pPr>
      <w:r w:rsidRPr="001E7A02">
        <w:rPr>
          <w:rFonts w:ascii="Arial" w:hAnsi="Arial" w:cs="Arial"/>
          <w:b/>
        </w:rPr>
        <w:t>PURPOSE</w:t>
      </w:r>
      <w:r w:rsidR="00095421">
        <w:rPr>
          <w:rFonts w:ascii="Arial" w:hAnsi="Arial" w:cs="Arial"/>
          <w:b/>
        </w:rPr>
        <w:t>:</w:t>
      </w:r>
    </w:p>
    <w:p w:rsidR="005E348A" w:rsidRPr="00BF436A" w:rsidRDefault="00631B1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verify</w:t>
      </w:r>
      <w:r w:rsidR="00BF436A">
        <w:rPr>
          <w:rFonts w:ascii="Arial" w:hAnsi="Arial" w:cs="Arial"/>
          <w:sz w:val="22"/>
          <w:szCs w:val="22"/>
        </w:rPr>
        <w:t xml:space="preserve"> </w:t>
      </w:r>
      <w:r w:rsidR="00BF436A" w:rsidRPr="00BF436A">
        <w:rPr>
          <w:rFonts w:ascii="Arial" w:hAnsi="Arial" w:cs="Arial"/>
          <w:sz w:val="22"/>
          <w:szCs w:val="22"/>
        </w:rPr>
        <w:t>the same resu</w:t>
      </w:r>
      <w:r w:rsidR="00BF436A">
        <w:rPr>
          <w:rFonts w:ascii="Arial" w:hAnsi="Arial" w:cs="Arial"/>
          <w:sz w:val="22"/>
          <w:szCs w:val="22"/>
        </w:rPr>
        <w:t xml:space="preserve">lts are obtained when performing the same test using differnet </w:t>
      </w:r>
      <w:r w:rsidR="00BF436A" w:rsidRPr="00BF436A">
        <w:rPr>
          <w:rFonts w:ascii="Arial" w:hAnsi="Arial" w:cs="Arial"/>
          <w:sz w:val="22"/>
          <w:szCs w:val="22"/>
        </w:rPr>
        <w:t xml:space="preserve">methods </w:t>
      </w:r>
    </w:p>
    <w:p w:rsidR="005E348A" w:rsidRPr="00424FD5" w:rsidRDefault="005E348A">
      <w:pPr>
        <w:rPr>
          <w:rFonts w:ascii="Arial" w:hAnsi="Arial" w:cs="Arial"/>
          <w:b/>
          <w:sz w:val="22"/>
          <w:szCs w:val="22"/>
        </w:rPr>
      </w:pPr>
    </w:p>
    <w:p w:rsidR="00DF033A" w:rsidRPr="001E7A02" w:rsidRDefault="00A322A2">
      <w:pPr>
        <w:rPr>
          <w:rFonts w:ascii="Arial" w:hAnsi="Arial" w:cs="Arial"/>
          <w:b/>
        </w:rPr>
      </w:pPr>
      <w:r w:rsidRPr="001E7A02">
        <w:rPr>
          <w:rFonts w:ascii="Arial" w:hAnsi="Arial" w:cs="Arial"/>
          <w:b/>
        </w:rPr>
        <w:t>PRINCIPLE</w:t>
      </w:r>
      <w:r w:rsidR="00BF436A">
        <w:rPr>
          <w:rFonts w:ascii="Arial" w:hAnsi="Arial" w:cs="Arial"/>
          <w:b/>
        </w:rPr>
        <w:t xml:space="preserve"> &amp; CLINICAL SIGNIFICANCE</w:t>
      </w:r>
    </w:p>
    <w:p w:rsidR="00DF033A" w:rsidRPr="00424FD5" w:rsidRDefault="00DF033A">
      <w:pPr>
        <w:rPr>
          <w:rFonts w:ascii="Arial" w:hAnsi="Arial" w:cs="Arial"/>
          <w:b/>
          <w:sz w:val="22"/>
          <w:szCs w:val="22"/>
        </w:rPr>
      </w:pPr>
    </w:p>
    <w:p w:rsidR="00A322A2" w:rsidRDefault="00095421" w:rsidP="00A322A2">
      <w:pPr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POLICIES:</w:t>
      </w:r>
    </w:p>
    <w:p w:rsidR="00BF436A" w:rsidRDefault="00BF436A" w:rsidP="00A322A2">
      <w:pPr>
        <w:rPr>
          <w:rFonts w:ascii="Arial" w:eastAsiaTheme="minorHAnsi" w:hAnsi="Arial" w:cs="Arial"/>
        </w:rPr>
      </w:pPr>
      <w:r w:rsidRPr="00BF436A">
        <w:rPr>
          <w:rFonts w:ascii="Arial" w:eastAsiaTheme="minorHAnsi" w:hAnsi="Arial" w:cs="Arial"/>
        </w:rPr>
        <w:t>Method</w:t>
      </w:r>
      <w:r>
        <w:rPr>
          <w:rFonts w:ascii="Arial" w:eastAsiaTheme="minorHAnsi" w:hAnsi="Arial" w:cs="Arial"/>
        </w:rPr>
        <w:t xml:space="preserve"> comparisons </w:t>
      </w:r>
      <w:r w:rsidRPr="00BF436A">
        <w:rPr>
          <w:rFonts w:ascii="Arial" w:eastAsiaTheme="minorHAnsi" w:hAnsi="Arial" w:cs="Arial"/>
        </w:rPr>
        <w:t xml:space="preserve">are </w:t>
      </w:r>
      <w:r>
        <w:rPr>
          <w:rFonts w:ascii="Arial" w:eastAsiaTheme="minorHAnsi" w:hAnsi="Arial" w:cs="Arial"/>
        </w:rPr>
        <w:t>performed</w:t>
      </w:r>
      <w:r w:rsidRPr="00BF436A">
        <w:rPr>
          <w:rFonts w:ascii="Arial" w:eastAsiaTheme="minorHAnsi" w:hAnsi="Arial" w:cs="Arial"/>
        </w:rPr>
        <w:t xml:space="preserve"> twice a year</w:t>
      </w:r>
      <w:r>
        <w:rPr>
          <w:rFonts w:ascii="Arial" w:eastAsiaTheme="minorHAnsi" w:hAnsi="Arial" w:cs="Arial"/>
        </w:rPr>
        <w:t xml:space="preserve"> for the following:</w:t>
      </w:r>
    </w:p>
    <w:p w:rsidR="00BF436A" w:rsidRDefault="00BF436A" w:rsidP="00BF436A">
      <w:pPr>
        <w:pStyle w:val="ListParagraph"/>
        <w:numPr>
          <w:ilvl w:val="0"/>
          <w:numId w:val="19"/>
        </w:num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ABORh</w:t>
      </w:r>
    </w:p>
    <w:p w:rsidR="00BF436A" w:rsidRDefault="00BF436A" w:rsidP="00BF436A">
      <w:pPr>
        <w:pStyle w:val="ListParagraph"/>
        <w:numPr>
          <w:ilvl w:val="1"/>
          <w:numId w:val="19"/>
        </w:num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Automated Method</w:t>
      </w:r>
    </w:p>
    <w:p w:rsidR="00BF436A" w:rsidRDefault="00BF436A" w:rsidP="00BF436A">
      <w:pPr>
        <w:pStyle w:val="ListParagraph"/>
        <w:numPr>
          <w:ilvl w:val="1"/>
          <w:numId w:val="19"/>
        </w:num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Manual tube Method</w:t>
      </w:r>
      <w:bookmarkStart w:id="0" w:name="_GoBack"/>
      <w:bookmarkEnd w:id="0"/>
    </w:p>
    <w:p w:rsidR="00BF436A" w:rsidRDefault="00BF436A" w:rsidP="00BF436A">
      <w:pPr>
        <w:pStyle w:val="ListParagraph"/>
        <w:numPr>
          <w:ilvl w:val="0"/>
          <w:numId w:val="19"/>
        </w:num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Antibody screens</w:t>
      </w:r>
    </w:p>
    <w:p w:rsidR="00BF436A" w:rsidRDefault="00BF436A" w:rsidP="00BF436A">
      <w:pPr>
        <w:pStyle w:val="ListParagraph"/>
        <w:numPr>
          <w:ilvl w:val="1"/>
          <w:numId w:val="19"/>
        </w:num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PEG Tube Indirect Antibody Screen</w:t>
      </w:r>
    </w:p>
    <w:p w:rsidR="00BF436A" w:rsidRDefault="00BF436A" w:rsidP="00BF436A">
      <w:pPr>
        <w:pStyle w:val="ListParagraph"/>
        <w:numPr>
          <w:ilvl w:val="1"/>
          <w:numId w:val="19"/>
        </w:num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LISS Tube Indirect Antibody Screen</w:t>
      </w:r>
    </w:p>
    <w:p w:rsidR="00BF436A" w:rsidRPr="00BF436A" w:rsidRDefault="00BF436A" w:rsidP="00BF436A">
      <w:pPr>
        <w:pStyle w:val="ListParagraph"/>
        <w:numPr>
          <w:ilvl w:val="1"/>
          <w:numId w:val="19"/>
        </w:num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Automated Method</w:t>
      </w:r>
    </w:p>
    <w:p w:rsidR="00A322A2" w:rsidRPr="00424FD5" w:rsidRDefault="00A322A2" w:rsidP="00A322A2">
      <w:pPr>
        <w:rPr>
          <w:rFonts w:ascii="Arial" w:hAnsi="Arial" w:cs="Arial"/>
          <w:b/>
          <w:sz w:val="22"/>
          <w:szCs w:val="22"/>
        </w:rPr>
      </w:pPr>
    </w:p>
    <w:p w:rsidR="00EF42BB" w:rsidRDefault="00EF42BB">
      <w:pPr>
        <w:rPr>
          <w:rFonts w:ascii="Arial" w:hAnsi="Arial" w:cs="Arial"/>
          <w:b/>
        </w:rPr>
      </w:pPr>
      <w:r w:rsidRPr="001E7A02">
        <w:rPr>
          <w:rFonts w:ascii="Arial" w:hAnsi="Arial" w:cs="Arial"/>
          <w:b/>
        </w:rPr>
        <w:t>SPECIMEN</w:t>
      </w:r>
      <w:r w:rsidR="00095421">
        <w:rPr>
          <w:rFonts w:ascii="Arial" w:hAnsi="Arial" w:cs="Arial"/>
          <w:b/>
        </w:rPr>
        <w:t xml:space="preserve"> REQUIREMENTS:</w:t>
      </w:r>
    </w:p>
    <w:p w:rsidR="005E348A" w:rsidRDefault="005E348A" w:rsidP="005E34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EDTA is preferred and if not tested soon after collection, should be stored at </w:t>
      </w:r>
      <w:r>
        <w:rPr>
          <w:rFonts w:ascii="Arial" w:hAnsi="Arial" w:cs="Arial"/>
        </w:rPr>
        <w:t>1-6°C</w:t>
      </w:r>
      <w:r>
        <w:rPr>
          <w:rFonts w:ascii="Arial" w:hAnsi="Arial" w:cs="Arial"/>
          <w:sz w:val="22"/>
          <w:szCs w:val="22"/>
        </w:rPr>
        <w:t xml:space="preserve">. </w:t>
      </w:r>
    </w:p>
    <w:p w:rsidR="005E348A" w:rsidRDefault="005E348A" w:rsidP="005E348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Red top tubes are acceptable</w:t>
      </w:r>
      <w:r>
        <w:rPr>
          <w:rFonts w:ascii="Arial" w:hAnsi="Arial" w:cs="Arial"/>
          <w:b/>
          <w:sz w:val="22"/>
          <w:szCs w:val="22"/>
        </w:rPr>
        <w:t>.</w:t>
      </w:r>
    </w:p>
    <w:p w:rsidR="005E348A" w:rsidRPr="006B09BC" w:rsidRDefault="005E348A" w:rsidP="005E348A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See SOP </w:t>
      </w:r>
      <w:r>
        <w:rPr>
          <w:rFonts w:ascii="Arial" w:hAnsi="Arial" w:cs="Arial"/>
          <w:i/>
          <w:sz w:val="22"/>
          <w:szCs w:val="22"/>
        </w:rPr>
        <w:t>Specimen Acceptability</w:t>
      </w:r>
    </w:p>
    <w:p w:rsidR="002C494E" w:rsidRPr="00424FD5" w:rsidRDefault="002C494E">
      <w:pPr>
        <w:rPr>
          <w:rFonts w:ascii="Arial" w:hAnsi="Arial" w:cs="Arial"/>
          <w:b/>
          <w:sz w:val="22"/>
          <w:szCs w:val="22"/>
        </w:rPr>
      </w:pPr>
      <w:r w:rsidRPr="00424FD5">
        <w:rPr>
          <w:rFonts w:ascii="Arial" w:hAnsi="Arial" w:cs="Arial"/>
          <w:b/>
          <w:sz w:val="22"/>
          <w:szCs w:val="22"/>
        </w:rPr>
        <w:tab/>
      </w:r>
    </w:p>
    <w:p w:rsidR="00A659BB" w:rsidRPr="002245DE" w:rsidRDefault="00EF42BB" w:rsidP="002245DE">
      <w:pPr>
        <w:rPr>
          <w:rFonts w:ascii="Arial" w:hAnsi="Arial" w:cs="Arial"/>
          <w:b/>
        </w:rPr>
      </w:pPr>
      <w:r w:rsidRPr="001E7A02">
        <w:rPr>
          <w:rFonts w:ascii="Arial" w:eastAsiaTheme="minorHAnsi" w:hAnsi="Arial" w:cs="Arial"/>
          <w:b/>
          <w:bCs/>
        </w:rPr>
        <w:t>REAGENTS/SUPPLIES/EQUIPMENT</w:t>
      </w:r>
      <w:r w:rsidR="00095421">
        <w:rPr>
          <w:rFonts w:ascii="Arial" w:eastAsiaTheme="minorHAnsi" w:hAnsi="Arial" w:cs="Arial"/>
          <w:b/>
          <w:bCs/>
        </w:rPr>
        <w:t>: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3120"/>
        <w:gridCol w:w="3121"/>
        <w:gridCol w:w="3119"/>
      </w:tblGrid>
      <w:tr w:rsidR="00BB168D" w:rsidTr="00530F57">
        <w:trPr>
          <w:jc w:val="center"/>
        </w:trPr>
        <w:tc>
          <w:tcPr>
            <w:tcW w:w="1667" w:type="pct"/>
            <w:shd w:val="pct12" w:color="auto" w:fill="auto"/>
            <w:vAlign w:val="center"/>
          </w:tcPr>
          <w:p w:rsidR="00BB168D" w:rsidRDefault="00BB168D" w:rsidP="00983F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Reagents:</w:t>
            </w:r>
          </w:p>
        </w:tc>
        <w:tc>
          <w:tcPr>
            <w:tcW w:w="1667" w:type="pct"/>
            <w:shd w:val="pct12" w:color="auto" w:fill="auto"/>
            <w:vAlign w:val="center"/>
          </w:tcPr>
          <w:p w:rsidR="00BB168D" w:rsidRDefault="00BB168D" w:rsidP="00983F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Supplies:</w:t>
            </w:r>
          </w:p>
        </w:tc>
        <w:tc>
          <w:tcPr>
            <w:tcW w:w="1667" w:type="pct"/>
            <w:shd w:val="pct12" w:color="auto" w:fill="auto"/>
            <w:vAlign w:val="center"/>
          </w:tcPr>
          <w:p w:rsidR="00BB168D" w:rsidRDefault="00BB168D" w:rsidP="00983F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Equipment:</w:t>
            </w:r>
          </w:p>
        </w:tc>
      </w:tr>
      <w:tr w:rsidR="00BB168D" w:rsidTr="00530F57">
        <w:trPr>
          <w:jc w:val="center"/>
        </w:trPr>
        <w:tc>
          <w:tcPr>
            <w:tcW w:w="1667" w:type="pct"/>
            <w:vAlign w:val="center"/>
          </w:tcPr>
          <w:p w:rsidR="00BB168D" w:rsidRPr="005E348A" w:rsidRDefault="005E348A" w:rsidP="005E348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5E348A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See specific SOP </w:t>
            </w:r>
          </w:p>
        </w:tc>
        <w:tc>
          <w:tcPr>
            <w:tcW w:w="1667" w:type="pct"/>
            <w:vAlign w:val="center"/>
          </w:tcPr>
          <w:p w:rsidR="00BB168D" w:rsidRPr="00BB168D" w:rsidRDefault="005E348A" w:rsidP="005E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5E348A">
              <w:rPr>
                <w:rFonts w:ascii="Arial" w:eastAsiaTheme="minorHAnsi" w:hAnsi="Arial" w:cs="Arial"/>
                <w:bCs/>
                <w:sz w:val="22"/>
                <w:szCs w:val="22"/>
              </w:rPr>
              <w:t>See specific SOP</w:t>
            </w:r>
          </w:p>
        </w:tc>
        <w:tc>
          <w:tcPr>
            <w:tcW w:w="1667" w:type="pct"/>
            <w:vAlign w:val="center"/>
          </w:tcPr>
          <w:p w:rsidR="00BB168D" w:rsidRPr="00BB168D" w:rsidRDefault="005E348A" w:rsidP="005E34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5E348A">
              <w:rPr>
                <w:rFonts w:ascii="Arial" w:eastAsiaTheme="minorHAnsi" w:hAnsi="Arial" w:cs="Arial"/>
                <w:bCs/>
                <w:sz w:val="22"/>
                <w:szCs w:val="22"/>
              </w:rPr>
              <w:t>See specific SOP</w:t>
            </w:r>
          </w:p>
        </w:tc>
      </w:tr>
    </w:tbl>
    <w:p w:rsidR="00EF42BB" w:rsidRPr="00424FD5" w:rsidRDefault="00EF42BB">
      <w:pPr>
        <w:rPr>
          <w:rFonts w:ascii="Arial" w:hAnsi="Arial" w:cs="Arial"/>
          <w:b/>
          <w:sz w:val="22"/>
          <w:szCs w:val="22"/>
        </w:rPr>
      </w:pPr>
    </w:p>
    <w:p w:rsidR="00DC41F2" w:rsidRPr="001E7A02" w:rsidRDefault="002C494E">
      <w:pPr>
        <w:rPr>
          <w:rFonts w:ascii="Arial" w:hAnsi="Arial" w:cs="Arial"/>
          <w:b/>
        </w:rPr>
      </w:pPr>
      <w:r w:rsidRPr="001E7A02">
        <w:rPr>
          <w:rFonts w:ascii="Arial" w:hAnsi="Arial" w:cs="Arial"/>
          <w:b/>
        </w:rPr>
        <w:t>QUALITY CONTROL</w:t>
      </w:r>
      <w:r w:rsidR="00095421">
        <w:rPr>
          <w:rFonts w:ascii="Arial" w:hAnsi="Arial" w:cs="Arial"/>
          <w:b/>
        </w:rPr>
        <w:t>:</w:t>
      </w:r>
    </w:p>
    <w:p w:rsidR="002C494E" w:rsidRDefault="005E348A">
      <w:p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All reagents are quality controlled daily</w:t>
      </w:r>
    </w:p>
    <w:p w:rsidR="005E348A" w:rsidRPr="00424FD5" w:rsidRDefault="005E348A">
      <w:pPr>
        <w:rPr>
          <w:rFonts w:ascii="Arial" w:eastAsiaTheme="minorHAnsi" w:hAnsi="Arial" w:cs="Arial"/>
          <w:sz w:val="22"/>
          <w:szCs w:val="22"/>
        </w:rPr>
      </w:pPr>
    </w:p>
    <w:p w:rsidR="00DC41F2" w:rsidRDefault="00095421">
      <w:pPr>
        <w:rPr>
          <w:rFonts w:ascii="Arial" w:eastAsiaTheme="minorHAnsi" w:hAnsi="Arial" w:cs="Arial"/>
          <w:b/>
        </w:rPr>
      </w:pPr>
      <w:r w:rsidRPr="00095421">
        <w:rPr>
          <w:rFonts w:ascii="Arial" w:eastAsiaTheme="minorHAnsi" w:hAnsi="Arial" w:cs="Arial"/>
          <w:b/>
        </w:rPr>
        <w:t>INSTRUCTIONS</w:t>
      </w:r>
      <w:r>
        <w:rPr>
          <w:rFonts w:ascii="Arial" w:eastAsiaTheme="minorHAnsi" w:hAnsi="Arial" w:cs="Arial"/>
          <w:b/>
        </w:rPr>
        <w:t>:</w:t>
      </w:r>
    </w:p>
    <w:p w:rsidR="00BF436A" w:rsidRDefault="00BF436A">
      <w:pPr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ab/>
        <w:t>TABLE OF CONTENTS:</w:t>
      </w:r>
    </w:p>
    <w:p w:rsidR="00BF436A" w:rsidRPr="00BF436A" w:rsidRDefault="00BF436A" w:rsidP="00BF436A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</w:rPr>
        <w:tab/>
      </w:r>
      <w:r w:rsidRPr="00BF436A">
        <w:rPr>
          <w:rFonts w:ascii="Arial" w:eastAsiaTheme="minorHAnsi" w:hAnsi="Arial" w:cs="Arial"/>
          <w:b/>
          <w:sz w:val="22"/>
          <w:szCs w:val="22"/>
        </w:rPr>
        <w:t>Comparison of Antibody Screen Methods</w:t>
      </w:r>
    </w:p>
    <w:p w:rsidR="00BF436A" w:rsidRPr="00BF436A" w:rsidRDefault="00BF436A" w:rsidP="00BF436A">
      <w:pPr>
        <w:ind w:left="720" w:firstLine="720"/>
        <w:rPr>
          <w:rFonts w:ascii="Arial" w:hAnsi="Arial" w:cs="Arial"/>
          <w:b/>
          <w:sz w:val="22"/>
          <w:szCs w:val="22"/>
        </w:rPr>
      </w:pPr>
      <w:r w:rsidRPr="00BF436A">
        <w:rPr>
          <w:rFonts w:ascii="Arial" w:eastAsiaTheme="minorHAnsi" w:hAnsi="Arial" w:cs="Arial"/>
          <w:b/>
          <w:bCs/>
          <w:sz w:val="22"/>
          <w:szCs w:val="22"/>
        </w:rPr>
        <w:t>Comparison of ABORh Testing Methods</w:t>
      </w:r>
    </w:p>
    <w:p w:rsidR="005E348A" w:rsidRDefault="005E348A">
      <w:pPr>
        <w:rPr>
          <w:rFonts w:ascii="Arial" w:eastAsiaTheme="minorHAnsi" w:hAnsi="Arial" w:cs="Arial"/>
          <w:b/>
        </w:rPr>
      </w:pPr>
    </w:p>
    <w:p w:rsidR="00BB168D" w:rsidRPr="005E348A" w:rsidRDefault="005E348A">
      <w:pPr>
        <w:rPr>
          <w:rFonts w:ascii="Arial" w:hAnsi="Arial" w:cs="Arial"/>
          <w:b/>
        </w:rPr>
      </w:pPr>
      <w:r>
        <w:rPr>
          <w:rFonts w:ascii="Arial" w:eastAsiaTheme="minorHAnsi" w:hAnsi="Arial" w:cs="Arial"/>
          <w:b/>
        </w:rPr>
        <w:t>Comparison of Antibody Screen Methods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8626"/>
      </w:tblGrid>
      <w:tr w:rsidR="00DC41F2" w:rsidTr="005E348A">
        <w:trPr>
          <w:trHeight w:val="432"/>
        </w:trPr>
        <w:tc>
          <w:tcPr>
            <w:tcW w:w="950" w:type="dxa"/>
            <w:shd w:val="pct12" w:color="auto" w:fill="auto"/>
            <w:vAlign w:val="center"/>
          </w:tcPr>
          <w:p w:rsidR="00DC41F2" w:rsidRPr="00456E26" w:rsidRDefault="00DC41F2" w:rsidP="00AF3B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6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DC41F2" w:rsidRPr="00456E26" w:rsidRDefault="00DC41F2" w:rsidP="00AF3B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BB168D" w:rsidTr="005E348A">
        <w:trPr>
          <w:trHeight w:val="404"/>
        </w:trPr>
        <w:tc>
          <w:tcPr>
            <w:tcW w:w="950" w:type="dxa"/>
            <w:vAlign w:val="center"/>
          </w:tcPr>
          <w:p w:rsidR="00BB168D" w:rsidRPr="00530F57" w:rsidRDefault="00BB168D" w:rsidP="00983F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F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626" w:type="dxa"/>
            <w:vAlign w:val="center"/>
          </w:tcPr>
          <w:p w:rsidR="00BB168D" w:rsidRPr="00530F57" w:rsidRDefault="005E348A" w:rsidP="005E348A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Select 10 patient samples with a minimum of 2 positive antibody screens</w:t>
            </w:r>
          </w:p>
        </w:tc>
      </w:tr>
      <w:tr w:rsidR="00095421" w:rsidTr="005E348A">
        <w:trPr>
          <w:trHeight w:val="1376"/>
        </w:trPr>
        <w:tc>
          <w:tcPr>
            <w:tcW w:w="950" w:type="dxa"/>
            <w:vAlign w:val="center"/>
          </w:tcPr>
          <w:p w:rsidR="00095421" w:rsidRPr="00530F57" w:rsidRDefault="00095421" w:rsidP="00983F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F57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8626" w:type="dxa"/>
            <w:vAlign w:val="center"/>
          </w:tcPr>
          <w:p w:rsidR="00095421" w:rsidRDefault="005E348A" w:rsidP="00983F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Perform an antibody screen on each specimen using the following methods </w:t>
            </w:r>
          </w:p>
          <w:p w:rsidR="005E348A" w:rsidRDefault="005E348A" w:rsidP="005E348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LISS Tube Indirect Antibody Screen (SOP </w:t>
            </w:r>
            <w:r w:rsidRPr="005E348A">
              <w:rPr>
                <w:rFonts w:ascii="Arial" w:eastAsiaTheme="minorHAnsi" w:hAnsi="Arial" w:cs="Arial"/>
                <w:i/>
                <w:sz w:val="22"/>
                <w:szCs w:val="22"/>
              </w:rPr>
              <w:t>LISS Indirect Antiglobulin Technique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)</w:t>
            </w:r>
          </w:p>
          <w:p w:rsidR="005E348A" w:rsidRDefault="005E348A" w:rsidP="005E348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PEG Tube Indirect Antibody Screen (SOP </w:t>
            </w:r>
            <w:r>
              <w:rPr>
                <w:rFonts w:ascii="Arial" w:eastAsiaTheme="minorHAnsi" w:hAnsi="Arial" w:cs="Arial"/>
                <w:i/>
                <w:sz w:val="22"/>
                <w:szCs w:val="22"/>
              </w:rPr>
              <w:t>PEG</w:t>
            </w:r>
            <w:r w:rsidRPr="005E348A">
              <w:rPr>
                <w:rFonts w:ascii="Arial" w:eastAsiaTheme="minorHAnsi" w:hAnsi="Arial" w:cs="Arial"/>
                <w:i/>
                <w:sz w:val="22"/>
                <w:szCs w:val="22"/>
              </w:rPr>
              <w:t xml:space="preserve"> Indirect Antiglobulin Technique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)</w:t>
            </w:r>
          </w:p>
          <w:p w:rsidR="005E348A" w:rsidRPr="005E348A" w:rsidRDefault="005E348A" w:rsidP="005E348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Tango Automated Antibody Screen (SOP </w:t>
            </w:r>
            <w:r w:rsidRPr="005E348A">
              <w:rPr>
                <w:rFonts w:ascii="Arial" w:eastAsiaTheme="minorHAnsi" w:hAnsi="Arial" w:cs="Arial"/>
                <w:i/>
                <w:sz w:val="22"/>
                <w:szCs w:val="22"/>
              </w:rPr>
              <w:t>Tango- Sample Testing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)</w:t>
            </w:r>
          </w:p>
        </w:tc>
      </w:tr>
      <w:tr w:rsidR="00FA4010" w:rsidTr="00FA4010">
        <w:trPr>
          <w:trHeight w:val="521"/>
        </w:trPr>
        <w:tc>
          <w:tcPr>
            <w:tcW w:w="950" w:type="dxa"/>
            <w:vAlign w:val="center"/>
          </w:tcPr>
          <w:p w:rsidR="00FA4010" w:rsidRPr="00530F57" w:rsidRDefault="00FA4010" w:rsidP="00983F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626" w:type="dxa"/>
            <w:vAlign w:val="center"/>
          </w:tcPr>
          <w:p w:rsidR="00FA4010" w:rsidRPr="00FA4010" w:rsidRDefault="00FA4010" w:rsidP="00051BB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Record the reactions and results of the tube testing on a </w:t>
            </w:r>
            <w:r w:rsidR="00AB3C16">
              <w:rPr>
                <w:rFonts w:ascii="Arial" w:eastAsiaTheme="minorHAnsi" w:hAnsi="Arial" w:cs="Arial"/>
                <w:sz w:val="22"/>
                <w:szCs w:val="22"/>
              </w:rPr>
              <w:t xml:space="preserve">ABSC </w:t>
            </w:r>
            <w:r w:rsidR="00AB3C16" w:rsidRPr="00FA4010">
              <w:rPr>
                <w:rFonts w:ascii="Arial" w:eastAsiaTheme="minorHAnsi" w:hAnsi="Arial" w:cs="Arial"/>
                <w:i/>
                <w:sz w:val="22"/>
                <w:szCs w:val="22"/>
              </w:rPr>
              <w:t xml:space="preserve">Method Comparison </w:t>
            </w:r>
            <w:r w:rsidR="00051BB6" w:rsidRPr="005E348A">
              <w:rPr>
                <w:rFonts w:ascii="Arial" w:eastAsiaTheme="minorHAnsi" w:hAnsi="Arial" w:cs="Arial"/>
                <w:i/>
                <w:sz w:val="22"/>
                <w:szCs w:val="22"/>
              </w:rPr>
              <w:t>Worksheet</w:t>
            </w:r>
            <w:r w:rsidR="00051BB6" w:rsidRPr="00FA4010">
              <w:rPr>
                <w:rFonts w:ascii="Arial" w:eastAsiaTheme="minorHAnsi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and print </w:t>
            </w:r>
            <w:r w:rsidR="00051BB6">
              <w:rPr>
                <w:rFonts w:ascii="Arial" w:eastAsiaTheme="minorHAnsi" w:hAnsi="Arial" w:cs="Arial"/>
                <w:sz w:val="22"/>
                <w:szCs w:val="22"/>
              </w:rPr>
              <w:t>the Tango test results</w:t>
            </w:r>
          </w:p>
        </w:tc>
      </w:tr>
      <w:tr w:rsidR="00FA4010" w:rsidTr="00FA4010">
        <w:trPr>
          <w:trHeight w:val="521"/>
        </w:trPr>
        <w:tc>
          <w:tcPr>
            <w:tcW w:w="950" w:type="dxa"/>
            <w:vAlign w:val="center"/>
          </w:tcPr>
          <w:p w:rsidR="00FA4010" w:rsidRDefault="00FA4010" w:rsidP="00983F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</w:p>
        </w:tc>
        <w:tc>
          <w:tcPr>
            <w:tcW w:w="8626" w:type="dxa"/>
            <w:vAlign w:val="center"/>
          </w:tcPr>
          <w:p w:rsidR="00FA4010" w:rsidRDefault="00FA4010" w:rsidP="00FA40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Record the interpretations </w:t>
            </w:r>
            <w:r w:rsidR="00051BB6">
              <w:rPr>
                <w:rFonts w:ascii="Arial" w:eastAsiaTheme="minorHAnsi" w:hAnsi="Arial" w:cs="Arial"/>
                <w:sz w:val="22"/>
                <w:szCs w:val="22"/>
              </w:rPr>
              <w:t xml:space="preserve">of the Tango results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on the </w:t>
            </w:r>
            <w:r w:rsidR="00AB3C16">
              <w:rPr>
                <w:rFonts w:ascii="Arial" w:eastAsiaTheme="minorHAnsi" w:hAnsi="Arial" w:cs="Arial"/>
                <w:sz w:val="22"/>
                <w:szCs w:val="22"/>
              </w:rPr>
              <w:t xml:space="preserve">ABSC </w:t>
            </w:r>
            <w:r w:rsidRPr="00FA4010">
              <w:rPr>
                <w:rFonts w:ascii="Arial" w:eastAsiaTheme="minorHAnsi" w:hAnsi="Arial" w:cs="Arial"/>
                <w:i/>
                <w:sz w:val="22"/>
                <w:szCs w:val="22"/>
              </w:rPr>
              <w:t>Method Comparison Form</w:t>
            </w:r>
          </w:p>
        </w:tc>
      </w:tr>
    </w:tbl>
    <w:p w:rsidR="00424FD5" w:rsidRDefault="00424FD5" w:rsidP="00CB5D5D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FA4010" w:rsidRDefault="00FA4010" w:rsidP="00CB5D5D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CB5D5D" w:rsidRPr="00BF436A" w:rsidRDefault="005E348A" w:rsidP="00CB5D5D">
      <w:pPr>
        <w:rPr>
          <w:rFonts w:ascii="Arial" w:hAnsi="Arial" w:cs="Arial"/>
          <w:b/>
        </w:rPr>
      </w:pPr>
      <w:r w:rsidRPr="00BF436A">
        <w:rPr>
          <w:rFonts w:ascii="Arial" w:eastAsiaTheme="minorHAnsi" w:hAnsi="Arial" w:cs="Arial"/>
          <w:b/>
          <w:bCs/>
        </w:rPr>
        <w:t>Comparison of ABORh Testing Methods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8733"/>
      </w:tblGrid>
      <w:tr w:rsidR="00A659BB" w:rsidTr="00424FD5">
        <w:trPr>
          <w:trHeight w:val="547"/>
        </w:trPr>
        <w:tc>
          <w:tcPr>
            <w:tcW w:w="843" w:type="dxa"/>
            <w:shd w:val="pct12" w:color="auto" w:fill="auto"/>
            <w:vAlign w:val="center"/>
          </w:tcPr>
          <w:p w:rsidR="00A659BB" w:rsidRPr="00456E26" w:rsidRDefault="00A659BB" w:rsidP="00BF2E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733" w:type="dxa"/>
            <w:shd w:val="pct12" w:color="auto" w:fill="auto"/>
            <w:vAlign w:val="center"/>
          </w:tcPr>
          <w:p w:rsidR="00A659BB" w:rsidRPr="00456E26" w:rsidRDefault="00A659BB" w:rsidP="00BF2E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A659BB" w:rsidTr="00983FFD">
        <w:trPr>
          <w:trHeight w:val="547"/>
        </w:trPr>
        <w:tc>
          <w:tcPr>
            <w:tcW w:w="843" w:type="dxa"/>
            <w:vAlign w:val="center"/>
          </w:tcPr>
          <w:p w:rsidR="00A659BB" w:rsidRPr="00530F57" w:rsidRDefault="00BB168D" w:rsidP="00983F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F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33" w:type="dxa"/>
            <w:vAlign w:val="center"/>
          </w:tcPr>
          <w:p w:rsidR="00A659BB" w:rsidRPr="00530F57" w:rsidRDefault="005E348A" w:rsidP="005E34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8 specimens ensuring there is a sample for each ABO group (A,B,AB and O) and each Rh type (Rh </w:t>
            </w:r>
            <w:r w:rsidR="00AB3C16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eg and Rh Pos)  </w:t>
            </w:r>
          </w:p>
        </w:tc>
      </w:tr>
      <w:tr w:rsidR="00A659BB" w:rsidTr="00983FFD">
        <w:trPr>
          <w:trHeight w:val="547"/>
        </w:trPr>
        <w:tc>
          <w:tcPr>
            <w:tcW w:w="843" w:type="dxa"/>
            <w:vAlign w:val="center"/>
          </w:tcPr>
          <w:p w:rsidR="00A659BB" w:rsidRPr="00530F57" w:rsidRDefault="00BB168D" w:rsidP="00983F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F5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33" w:type="dxa"/>
            <w:vAlign w:val="center"/>
          </w:tcPr>
          <w:p w:rsidR="00FA4010" w:rsidRDefault="00FA4010" w:rsidP="00FA40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Perform ABORh testing  on each specimen using the following methods ABORh Tube Method (SOP </w:t>
            </w:r>
            <w:r>
              <w:rPr>
                <w:rFonts w:ascii="Arial" w:eastAsiaTheme="minorHAnsi" w:hAnsi="Arial" w:cs="Arial"/>
                <w:i/>
                <w:sz w:val="22"/>
                <w:szCs w:val="22"/>
              </w:rPr>
              <w:t>ABORh Manual Tube Method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)</w:t>
            </w:r>
          </w:p>
          <w:p w:rsidR="00A659BB" w:rsidRPr="00FA4010" w:rsidRDefault="00FA4010" w:rsidP="00FA401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Tango Automated ABORh (SOP </w:t>
            </w:r>
            <w:r w:rsidRPr="005E348A">
              <w:rPr>
                <w:rFonts w:ascii="Arial" w:eastAsiaTheme="minorHAnsi" w:hAnsi="Arial" w:cs="Arial"/>
                <w:i/>
                <w:sz w:val="22"/>
                <w:szCs w:val="22"/>
              </w:rPr>
              <w:t>Tango- Sample Testing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)</w:t>
            </w:r>
          </w:p>
        </w:tc>
      </w:tr>
      <w:tr w:rsidR="00A659BB" w:rsidTr="00983FFD">
        <w:trPr>
          <w:trHeight w:val="547"/>
        </w:trPr>
        <w:tc>
          <w:tcPr>
            <w:tcW w:w="843" w:type="dxa"/>
            <w:vAlign w:val="center"/>
          </w:tcPr>
          <w:p w:rsidR="00A659BB" w:rsidRPr="00530F57" w:rsidRDefault="00BB168D" w:rsidP="00983F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F5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733" w:type="dxa"/>
            <w:vAlign w:val="center"/>
          </w:tcPr>
          <w:p w:rsidR="00A659BB" w:rsidRPr="00530F57" w:rsidRDefault="00FA4010" w:rsidP="00983F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Record the reactions and results of the tube testing on a  </w:t>
            </w:r>
            <w:r w:rsidRPr="005E348A">
              <w:rPr>
                <w:rFonts w:ascii="Arial" w:eastAsiaTheme="minorHAnsi" w:hAnsi="Arial" w:cs="Arial"/>
                <w:i/>
                <w:sz w:val="22"/>
                <w:szCs w:val="22"/>
              </w:rPr>
              <w:t>Type and Screen Downtime Worksheet</w:t>
            </w:r>
            <w:r>
              <w:rPr>
                <w:rFonts w:ascii="Arial" w:eastAsiaTheme="minorHAnsi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and print the reactions and the results of the Tango</w:t>
            </w:r>
          </w:p>
        </w:tc>
      </w:tr>
      <w:tr w:rsidR="00FA4010" w:rsidTr="00983FFD">
        <w:trPr>
          <w:trHeight w:val="547"/>
        </w:trPr>
        <w:tc>
          <w:tcPr>
            <w:tcW w:w="843" w:type="dxa"/>
            <w:vAlign w:val="center"/>
          </w:tcPr>
          <w:p w:rsidR="00FA4010" w:rsidRPr="00530F57" w:rsidRDefault="00FA4010" w:rsidP="00983F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733" w:type="dxa"/>
            <w:vAlign w:val="center"/>
          </w:tcPr>
          <w:p w:rsidR="00FA4010" w:rsidRDefault="00FA4010" w:rsidP="00630A56">
            <w:p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Record the interpretations on the </w:t>
            </w:r>
            <w:r w:rsidR="00AB3C16" w:rsidRPr="00AB3C16">
              <w:rPr>
                <w:rFonts w:ascii="Arial" w:eastAsiaTheme="minorHAnsi" w:hAnsi="Arial" w:cs="Arial"/>
                <w:i/>
                <w:sz w:val="22"/>
                <w:szCs w:val="22"/>
              </w:rPr>
              <w:t>ABORh</w:t>
            </w:r>
            <w:r w:rsidR="00AB3C16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Pr="00FA4010">
              <w:rPr>
                <w:rFonts w:ascii="Arial" w:eastAsiaTheme="minorHAnsi" w:hAnsi="Arial" w:cs="Arial"/>
                <w:i/>
                <w:sz w:val="22"/>
                <w:szCs w:val="22"/>
              </w:rPr>
              <w:t xml:space="preserve">Method Comparison </w:t>
            </w:r>
            <w:r w:rsidR="00630A56">
              <w:rPr>
                <w:rFonts w:ascii="Arial" w:eastAsiaTheme="minorHAnsi" w:hAnsi="Arial" w:cs="Arial"/>
                <w:i/>
                <w:sz w:val="22"/>
                <w:szCs w:val="22"/>
              </w:rPr>
              <w:t>Worksheet</w:t>
            </w:r>
          </w:p>
        </w:tc>
      </w:tr>
    </w:tbl>
    <w:p w:rsidR="003D3D79" w:rsidRDefault="003D3D79" w:rsidP="00EF42B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</w:p>
    <w:p w:rsidR="00EF42BB" w:rsidRPr="001E7A02" w:rsidRDefault="00EF42BB" w:rsidP="00EF42B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</w:rPr>
      </w:pPr>
      <w:r w:rsidRPr="001E7A02">
        <w:rPr>
          <w:rFonts w:ascii="Arial" w:eastAsiaTheme="minorHAnsi" w:hAnsi="Arial" w:cs="Arial"/>
          <w:b/>
          <w:bCs/>
        </w:rPr>
        <w:t>CALCULATIONS/INTERPRETATIONS/RESULTS REPORTING/NORMAL</w:t>
      </w:r>
    </w:p>
    <w:p w:rsidR="003D3D79" w:rsidRPr="001E7A02" w:rsidRDefault="00EF42BB" w:rsidP="00EF42BB">
      <w:pPr>
        <w:rPr>
          <w:rFonts w:ascii="Arial" w:eastAsiaTheme="minorHAnsi" w:hAnsi="Arial" w:cs="Arial"/>
          <w:b/>
          <w:bCs/>
        </w:rPr>
      </w:pPr>
      <w:r w:rsidRPr="001E7A02">
        <w:rPr>
          <w:rFonts w:ascii="Arial" w:eastAsiaTheme="minorHAnsi" w:hAnsi="Arial" w:cs="Arial"/>
          <w:b/>
          <w:bCs/>
        </w:rPr>
        <w:t>VALUES/CRITICAL VALUES</w:t>
      </w:r>
    </w:p>
    <w:p w:rsidR="00C61609" w:rsidRDefault="00C61609" w:rsidP="00EF42BB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C911E4" w:rsidRDefault="00C61609" w:rsidP="00EF42BB">
      <w:pPr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In</w:t>
      </w:r>
      <w:r w:rsidR="00FF3775">
        <w:rPr>
          <w:rFonts w:ascii="Arial" w:eastAsiaTheme="minorHAnsi" w:hAnsi="Arial" w:cs="Arial"/>
          <w:b/>
          <w:bCs/>
          <w:sz w:val="22"/>
          <w:szCs w:val="22"/>
        </w:rPr>
        <w:t>terpretation</w:t>
      </w:r>
      <w:r w:rsidR="00630A56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3D3D79" w:rsidRPr="00520716" w:rsidTr="00630A56">
        <w:trPr>
          <w:trHeight w:val="547"/>
        </w:trPr>
        <w:tc>
          <w:tcPr>
            <w:tcW w:w="2718" w:type="dxa"/>
            <w:shd w:val="pct12" w:color="auto" w:fill="auto"/>
            <w:vAlign w:val="center"/>
          </w:tcPr>
          <w:p w:rsidR="003D3D79" w:rsidRPr="001D54C0" w:rsidRDefault="00630A56" w:rsidP="00BF43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BF436A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6858" w:type="dxa"/>
            <w:shd w:val="pct12" w:color="auto" w:fill="auto"/>
            <w:vAlign w:val="center"/>
          </w:tcPr>
          <w:p w:rsidR="003D3D79" w:rsidRPr="001D54C0" w:rsidRDefault="00630A56" w:rsidP="00BF43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BF436A">
              <w:rPr>
                <w:rFonts w:ascii="Arial" w:hAnsi="Arial" w:cs="Arial"/>
                <w:b/>
                <w:sz w:val="22"/>
                <w:szCs w:val="22"/>
              </w:rPr>
              <w:t xml:space="preserve">hen Method Comparison is </w:t>
            </w:r>
          </w:p>
        </w:tc>
      </w:tr>
      <w:tr w:rsidR="00BB168D" w:rsidTr="00630A56">
        <w:trPr>
          <w:trHeight w:val="467"/>
        </w:trPr>
        <w:tc>
          <w:tcPr>
            <w:tcW w:w="2718" w:type="dxa"/>
            <w:vAlign w:val="center"/>
          </w:tcPr>
          <w:p w:rsidR="00BB168D" w:rsidRPr="001D54C0" w:rsidRDefault="00630A56" w:rsidP="00630A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Interpretations match between methods</w:t>
            </w:r>
          </w:p>
        </w:tc>
        <w:tc>
          <w:tcPr>
            <w:tcW w:w="6858" w:type="dxa"/>
            <w:vAlign w:val="center"/>
          </w:tcPr>
          <w:p w:rsidR="00BB168D" w:rsidRPr="00BB168D" w:rsidRDefault="00BF436A" w:rsidP="00983F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Acceptable</w:t>
            </w:r>
            <w:r w:rsidR="00630A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B168D" w:rsidTr="00630A56">
        <w:trPr>
          <w:trHeight w:val="449"/>
        </w:trPr>
        <w:tc>
          <w:tcPr>
            <w:tcW w:w="2718" w:type="dxa"/>
            <w:vAlign w:val="center"/>
          </w:tcPr>
          <w:p w:rsidR="00BB168D" w:rsidRPr="001D54C0" w:rsidRDefault="00BF436A" w:rsidP="00630A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Interpretations do not match between methods</w:t>
            </w:r>
          </w:p>
        </w:tc>
        <w:tc>
          <w:tcPr>
            <w:tcW w:w="6858" w:type="dxa"/>
            <w:vAlign w:val="center"/>
          </w:tcPr>
          <w:p w:rsidR="00BB168D" w:rsidRPr="001D54C0" w:rsidRDefault="00BF436A" w:rsidP="00AA189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Acceptable</w:t>
            </w:r>
          </w:p>
        </w:tc>
      </w:tr>
    </w:tbl>
    <w:p w:rsidR="003D3D79" w:rsidRPr="008D7A3C" w:rsidRDefault="003D3D79" w:rsidP="002A020C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DC41F2" w:rsidRDefault="00C911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 w:rsidR="00BF436A" w:rsidRPr="008D7A3C" w:rsidRDefault="00BF43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CAP All Common Checklist – Current Version</w:t>
      </w:r>
    </w:p>
    <w:p w:rsidR="003E7700" w:rsidRPr="008D7A3C" w:rsidRDefault="003E7700" w:rsidP="00763AA1">
      <w:pPr>
        <w:ind w:firstLine="720"/>
        <w:rPr>
          <w:rFonts w:ascii="Arial" w:hAnsi="Arial" w:cs="Arial"/>
          <w:b/>
        </w:rPr>
      </w:pPr>
    </w:p>
    <w:p w:rsidR="003E7700" w:rsidRDefault="00C911E4" w:rsidP="003E77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RELATED DOCUMENTS</w:t>
      </w:r>
    </w:p>
    <w:p w:rsidR="00630A56" w:rsidRDefault="00630A56" w:rsidP="003E7700">
      <w:pPr>
        <w:rPr>
          <w:rFonts w:ascii="Arial" w:eastAsiaTheme="minorHAnsi" w:hAnsi="Arial" w:cs="Arial"/>
          <w:i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FORM </w:t>
      </w:r>
      <w:r w:rsidRPr="00AB3C16">
        <w:rPr>
          <w:rFonts w:ascii="Arial" w:eastAsiaTheme="minorHAnsi" w:hAnsi="Arial" w:cs="Arial"/>
          <w:i/>
          <w:sz w:val="22"/>
          <w:szCs w:val="22"/>
        </w:rPr>
        <w:t>ABORh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FA4010">
        <w:rPr>
          <w:rFonts w:ascii="Arial" w:eastAsiaTheme="minorHAnsi" w:hAnsi="Arial" w:cs="Arial"/>
          <w:i/>
          <w:sz w:val="22"/>
          <w:szCs w:val="22"/>
        </w:rPr>
        <w:t>Method Comparison</w:t>
      </w:r>
      <w:r>
        <w:rPr>
          <w:rFonts w:ascii="Arial" w:eastAsiaTheme="minorHAnsi" w:hAnsi="Arial" w:cs="Arial"/>
          <w:i/>
          <w:sz w:val="22"/>
          <w:szCs w:val="22"/>
        </w:rPr>
        <w:t xml:space="preserve"> Worksheet</w:t>
      </w:r>
    </w:p>
    <w:p w:rsidR="00630A56" w:rsidRPr="00630A56" w:rsidRDefault="00630A56" w:rsidP="003E7700">
      <w:pPr>
        <w:rPr>
          <w:rFonts w:ascii="Arial" w:eastAsiaTheme="minorHAnsi" w:hAnsi="Arial" w:cs="Arial"/>
          <w:sz w:val="22"/>
          <w:szCs w:val="22"/>
        </w:rPr>
      </w:pPr>
      <w:r w:rsidRPr="00630A56">
        <w:rPr>
          <w:rFonts w:ascii="Arial" w:eastAsiaTheme="minorHAnsi" w:hAnsi="Arial" w:cs="Arial"/>
          <w:sz w:val="22"/>
          <w:szCs w:val="22"/>
        </w:rPr>
        <w:t xml:space="preserve">FORM </w:t>
      </w:r>
      <w:r>
        <w:rPr>
          <w:rFonts w:ascii="Arial" w:eastAsiaTheme="minorHAnsi" w:hAnsi="Arial" w:cs="Arial"/>
          <w:sz w:val="22"/>
          <w:szCs w:val="22"/>
        </w:rPr>
        <w:t xml:space="preserve">ABSC </w:t>
      </w:r>
      <w:r w:rsidRPr="00FA4010">
        <w:rPr>
          <w:rFonts w:ascii="Arial" w:eastAsiaTheme="minorHAnsi" w:hAnsi="Arial" w:cs="Arial"/>
          <w:i/>
          <w:sz w:val="22"/>
          <w:szCs w:val="22"/>
        </w:rPr>
        <w:t>Method Comparison</w:t>
      </w:r>
      <w:r>
        <w:rPr>
          <w:rFonts w:ascii="Arial" w:eastAsiaTheme="minorHAnsi" w:hAnsi="Arial" w:cs="Arial"/>
          <w:i/>
          <w:sz w:val="22"/>
          <w:szCs w:val="22"/>
        </w:rPr>
        <w:t xml:space="preserve">Worksheet </w:t>
      </w:r>
    </w:p>
    <w:p w:rsidR="00C911E4" w:rsidRDefault="00C911E4" w:rsidP="003E7700">
      <w:p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SOP </w:t>
      </w:r>
      <w:r>
        <w:rPr>
          <w:rFonts w:ascii="Arial" w:eastAsiaTheme="minorHAnsi" w:hAnsi="Arial" w:cs="Arial"/>
          <w:i/>
          <w:sz w:val="22"/>
          <w:szCs w:val="22"/>
        </w:rPr>
        <w:t>ABORh Manual Tube Method</w:t>
      </w:r>
    </w:p>
    <w:p w:rsidR="00C911E4" w:rsidRDefault="00C911E4" w:rsidP="003E7700">
      <w:pPr>
        <w:rPr>
          <w:rFonts w:ascii="Arial" w:eastAsiaTheme="minorHAnsi" w:hAnsi="Arial" w:cs="Arial"/>
          <w:i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SOP </w:t>
      </w:r>
      <w:r w:rsidRPr="005E348A">
        <w:rPr>
          <w:rFonts w:ascii="Arial" w:eastAsiaTheme="minorHAnsi" w:hAnsi="Arial" w:cs="Arial"/>
          <w:i/>
          <w:sz w:val="22"/>
          <w:szCs w:val="22"/>
        </w:rPr>
        <w:t>LISS Indirect Antiglobulin Technique</w:t>
      </w:r>
    </w:p>
    <w:p w:rsidR="00C911E4" w:rsidRPr="008D7A3C" w:rsidRDefault="00C911E4" w:rsidP="003E7700">
      <w:pPr>
        <w:rPr>
          <w:rFonts w:ascii="Arial" w:hAnsi="Arial" w:cs="Arial"/>
          <w:b/>
        </w:rPr>
      </w:pPr>
      <w:r>
        <w:rPr>
          <w:rFonts w:ascii="Arial" w:eastAsiaTheme="minorHAnsi" w:hAnsi="Arial" w:cs="Arial"/>
          <w:sz w:val="22"/>
          <w:szCs w:val="22"/>
        </w:rPr>
        <w:t xml:space="preserve">SOP </w:t>
      </w:r>
      <w:r>
        <w:rPr>
          <w:rFonts w:ascii="Arial" w:eastAsiaTheme="minorHAnsi" w:hAnsi="Arial" w:cs="Arial"/>
          <w:i/>
          <w:sz w:val="22"/>
          <w:szCs w:val="22"/>
        </w:rPr>
        <w:t>PEG</w:t>
      </w:r>
      <w:r w:rsidRPr="005E348A">
        <w:rPr>
          <w:rFonts w:ascii="Arial" w:eastAsiaTheme="minorHAnsi" w:hAnsi="Arial" w:cs="Arial"/>
          <w:i/>
          <w:sz w:val="22"/>
          <w:szCs w:val="22"/>
        </w:rPr>
        <w:t xml:space="preserve"> Indirect Antiglobulin Technique</w:t>
      </w:r>
    </w:p>
    <w:p w:rsidR="008E50E4" w:rsidRDefault="00C911E4">
      <w:pPr>
        <w:rPr>
          <w:rFonts w:ascii="Arial" w:eastAsiaTheme="minorHAnsi" w:hAnsi="Arial" w:cs="Arial"/>
          <w:i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SOP </w:t>
      </w:r>
      <w:r w:rsidRPr="005E348A">
        <w:rPr>
          <w:rFonts w:ascii="Arial" w:eastAsiaTheme="minorHAnsi" w:hAnsi="Arial" w:cs="Arial"/>
          <w:i/>
          <w:sz w:val="22"/>
          <w:szCs w:val="22"/>
        </w:rPr>
        <w:t>Tango- Sample Testing</w:t>
      </w:r>
    </w:p>
    <w:p w:rsidR="002245DE" w:rsidRPr="002245DE" w:rsidRDefault="002245DE">
      <w:pPr>
        <w:rPr>
          <w:rFonts w:ascii="Arial" w:eastAsiaTheme="minorHAnsi" w:hAnsi="Arial" w:cs="Arial"/>
          <w:i/>
          <w:sz w:val="22"/>
          <w:szCs w:val="22"/>
        </w:rPr>
      </w:pPr>
    </w:p>
    <w:p w:rsidR="00F86E4C" w:rsidRDefault="00F86E4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4300"/>
        <w:gridCol w:w="723"/>
        <w:gridCol w:w="2375"/>
      </w:tblGrid>
      <w:tr w:rsidR="002D7EED" w:rsidRPr="0069760C" w:rsidTr="006E2CDF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D7EED" w:rsidRPr="0069760C" w:rsidRDefault="002D7EED" w:rsidP="006E2CDF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lastRenderedPageBreak/>
              <w:t>UWMC SOP Approval:</w:t>
            </w:r>
          </w:p>
        </w:tc>
      </w:tr>
      <w:tr w:rsidR="002D7EED" w:rsidRPr="0069760C" w:rsidTr="006E2CDF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6E2CD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</w:tr>
      <w:tr w:rsidR="002D7EED" w:rsidRPr="0069760C" w:rsidTr="006E2CDF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>UWMC CLIA Medical Director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6E2CD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</w:tr>
      <w:tr w:rsidR="002D7EED" w:rsidRPr="0069760C" w:rsidTr="006E2CDF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Mark H. Wener, MD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6E2CDF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</w:tr>
      <w:tr w:rsidR="002D7EED" w:rsidRPr="0069760C" w:rsidTr="006E2CDF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6E2CD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</w:tr>
      <w:tr w:rsidR="002D7EED" w:rsidRPr="0069760C" w:rsidTr="006E2CDF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>Transfusion Service Manager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6E2CDF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</w:tr>
      <w:tr w:rsidR="002D7EED" w:rsidRPr="0069760C" w:rsidTr="006E2CDF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Deanne Stephens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6E2CD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</w:tr>
      <w:tr w:rsidR="002D7EED" w:rsidRPr="0069760C" w:rsidTr="006E2CDF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6E2CD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</w:tr>
      <w:tr w:rsidR="002D7EED" w:rsidRPr="0069760C" w:rsidTr="006E2CDF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>Compliance Analyst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6E2CDF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</w:tr>
      <w:tr w:rsidR="002D7EED" w:rsidRPr="0069760C" w:rsidTr="006E2CDF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Christine Clark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6E2CD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</w:tr>
      <w:tr w:rsidR="002D7EED" w:rsidRPr="0069760C" w:rsidTr="006E2CDF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 xml:space="preserve">Transfusion Service </w:t>
            </w:r>
          </w:p>
          <w:p w:rsidR="002D7EED" w:rsidRPr="0069760C" w:rsidRDefault="002D7EED" w:rsidP="006E2CDF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  <w:b/>
              </w:rPr>
              <w:t>Medical Director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6E2CDF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</w:tr>
      <w:tr w:rsidR="002D7EED" w:rsidRPr="0069760C" w:rsidTr="006E2CDF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John R. Hess, MD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</w:tr>
      <w:tr w:rsidR="002D7EED" w:rsidRPr="0069760C" w:rsidTr="006E2CDF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</w:tr>
      <w:tr w:rsidR="002D7EED" w:rsidRPr="0069760C" w:rsidTr="006E2CDF">
        <w:tc>
          <w:tcPr>
            <w:tcW w:w="64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  <w:b/>
              </w:rPr>
              <w:t>UWMC Biennial Review: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</w:tr>
      <w:tr w:rsidR="002D7EED" w:rsidRPr="0069760C" w:rsidTr="006E2CDF">
        <w:trPr>
          <w:trHeight w:val="422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</w:tr>
      <w:tr w:rsidR="002D7EED" w:rsidRPr="0069760C" w:rsidTr="006E2CDF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</w:tr>
      <w:tr w:rsidR="002D7EED" w:rsidRPr="0069760C" w:rsidTr="006E2CDF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</w:tr>
      <w:tr w:rsidR="002D7EED" w:rsidRPr="0069760C" w:rsidTr="006E2CDF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</w:tr>
      <w:tr w:rsidR="002D7EED" w:rsidRPr="0069760C" w:rsidTr="006E2CDF"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</w:tr>
    </w:tbl>
    <w:p w:rsidR="00FB48FD" w:rsidRDefault="00FB48FD" w:rsidP="00FB48FD">
      <w:pPr>
        <w:rPr>
          <w:rFonts w:ascii="Arial" w:hAnsi="Arial" w:cs="Arial"/>
        </w:rPr>
      </w:pPr>
    </w:p>
    <w:p w:rsidR="00F86E4C" w:rsidRDefault="00F86E4C" w:rsidP="00FB48FD">
      <w:pPr>
        <w:rPr>
          <w:rFonts w:ascii="Arial" w:hAnsi="Arial" w:cs="Arial"/>
        </w:rPr>
      </w:pPr>
    </w:p>
    <w:p w:rsidR="00F86E4C" w:rsidRDefault="00F86E4C">
      <w:pPr>
        <w:rPr>
          <w:rFonts w:ascii="Arial" w:hAnsi="Arial" w:cs="Arial"/>
        </w:rPr>
      </w:pPr>
    </w:p>
    <w:sectPr w:rsidR="00F86E4C" w:rsidSect="008E50E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ED6" w:rsidRDefault="00A95ED6" w:rsidP="00DC41F2">
      <w:r>
        <w:separator/>
      </w:r>
    </w:p>
  </w:endnote>
  <w:endnote w:type="continuationSeparator" w:id="0">
    <w:p w:rsidR="00A95ED6" w:rsidRDefault="00A95ED6" w:rsidP="00DC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84628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E50E4" w:rsidRDefault="008E50E4">
            <w:pPr>
              <w:pStyle w:val="Footer"/>
              <w:jc w:val="right"/>
              <w:rPr>
                <w:b/>
                <w:bCs/>
              </w:rPr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E1D83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E1D83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  <w:p w:rsidR="008E50E4" w:rsidRPr="009930E9" w:rsidRDefault="008E50E4" w:rsidP="008E50E4">
            <w:pPr>
              <w:tabs>
                <w:tab w:val="center" w:pos="4320"/>
                <w:tab w:val="right" w:pos="8640"/>
              </w:tabs>
              <w:ind w:left="-720"/>
              <w:rPr>
                <w:rFonts w:ascii="Arial" w:hAnsi="Arial" w:cs="Arial"/>
                <w:sz w:val="20"/>
              </w:rPr>
            </w:pPr>
            <w:r w:rsidRPr="009930E9">
              <w:rPr>
                <w:rFonts w:ascii="Arial" w:hAnsi="Arial" w:cs="Arial"/>
                <w:sz w:val="20"/>
              </w:rPr>
              <w:t xml:space="preserve">Transfusion Service Laboratory                                                                                                                    </w:t>
            </w:r>
          </w:p>
          <w:p w:rsidR="008E50E4" w:rsidRDefault="008E50E4" w:rsidP="00530F57">
            <w:pPr>
              <w:tabs>
                <w:tab w:val="center" w:pos="4320"/>
                <w:tab w:val="right" w:pos="8640"/>
              </w:tabs>
              <w:ind w:left="-720"/>
            </w:pPr>
            <w:r>
              <w:rPr>
                <w:rFonts w:ascii="Arial" w:hAnsi="Arial" w:cs="Arial"/>
                <w:sz w:val="20"/>
              </w:rPr>
              <w:t xml:space="preserve">University of Washington </w:t>
            </w:r>
            <w:r w:rsidRPr="009930E9">
              <w:rPr>
                <w:rFonts w:ascii="Arial" w:hAnsi="Arial" w:cs="Arial"/>
                <w:sz w:val="20"/>
              </w:rPr>
              <w:t xml:space="preserve">Medical Center, </w:t>
            </w:r>
            <w:r>
              <w:rPr>
                <w:rFonts w:ascii="Arial" w:hAnsi="Arial" w:cs="Arial"/>
                <w:sz w:val="20"/>
              </w:rPr>
              <w:t>1959 NE Pacific Street, Seattle, WA 98195</w:t>
            </w:r>
          </w:p>
        </w:sdtContent>
      </w:sdt>
    </w:sdtContent>
  </w:sdt>
  <w:p w:rsidR="008E50E4" w:rsidRDefault="008E50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176736"/>
      <w:docPartObj>
        <w:docPartGallery w:val="Page Numbers (Bottom of Page)"/>
        <w:docPartUnique/>
      </w:docPartObj>
    </w:sdtPr>
    <w:sdtEndPr/>
    <w:sdtContent>
      <w:sdt>
        <w:sdtPr>
          <w:id w:val="1685165654"/>
          <w:docPartObj>
            <w:docPartGallery w:val="Page Numbers (Top of Page)"/>
            <w:docPartUnique/>
          </w:docPartObj>
        </w:sdtPr>
        <w:sdtEndPr/>
        <w:sdtContent>
          <w:p w:rsidR="00F86E4C" w:rsidRPr="00F86E4C" w:rsidRDefault="00F86E4C" w:rsidP="00F86E4C">
            <w:pPr>
              <w:pStyle w:val="Footer"/>
              <w:jc w:val="right"/>
              <w:rPr>
                <w:b/>
                <w:bCs/>
              </w:rPr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E1D8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E1D83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86E4C" w:rsidRPr="009930E9" w:rsidRDefault="00F86E4C" w:rsidP="00F86E4C">
    <w:pPr>
      <w:tabs>
        <w:tab w:val="center" w:pos="4320"/>
        <w:tab w:val="right" w:pos="8640"/>
      </w:tabs>
      <w:ind w:left="-720"/>
      <w:rPr>
        <w:rFonts w:ascii="Arial" w:hAnsi="Arial" w:cs="Arial"/>
        <w:sz w:val="20"/>
      </w:rPr>
    </w:pPr>
    <w:r w:rsidRPr="009930E9"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                    </w:t>
    </w:r>
  </w:p>
  <w:p w:rsidR="00F86E4C" w:rsidRDefault="00F86E4C" w:rsidP="008E50E4">
    <w:pPr>
      <w:tabs>
        <w:tab w:val="center" w:pos="4320"/>
        <w:tab w:val="right" w:pos="8640"/>
      </w:tabs>
      <w:ind w:left="-720"/>
    </w:pPr>
    <w:r>
      <w:rPr>
        <w:rFonts w:ascii="Arial" w:hAnsi="Arial" w:cs="Arial"/>
        <w:sz w:val="20"/>
      </w:rPr>
      <w:t xml:space="preserve">University of Washington </w:t>
    </w:r>
    <w:r w:rsidRPr="009930E9">
      <w:rPr>
        <w:rFonts w:ascii="Arial" w:hAnsi="Arial" w:cs="Arial"/>
        <w:sz w:val="20"/>
      </w:rPr>
      <w:t xml:space="preserve">Medical Center, </w:t>
    </w:r>
    <w:r>
      <w:rPr>
        <w:rFonts w:ascii="Arial" w:hAnsi="Arial" w:cs="Arial"/>
        <w:sz w:val="20"/>
      </w:rPr>
      <w:t>1959 NE Pacific Street, Seattle, WA 98195</w:t>
    </w:r>
  </w:p>
  <w:p w:rsidR="009930E9" w:rsidRDefault="009930E9" w:rsidP="009930E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ED6" w:rsidRDefault="00A95ED6" w:rsidP="00DC41F2">
      <w:r>
        <w:separator/>
      </w:r>
    </w:p>
  </w:footnote>
  <w:footnote w:type="continuationSeparator" w:id="0">
    <w:p w:rsidR="00A95ED6" w:rsidRDefault="00A95ED6" w:rsidP="00DC4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8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7236"/>
      <w:gridCol w:w="2412"/>
    </w:tblGrid>
    <w:tr w:rsidR="003D058B" w:rsidRPr="00A66A43" w:rsidTr="003D058B">
      <w:trPr>
        <w:cantSplit/>
        <w:trHeight w:val="512"/>
        <w:jc w:val="center"/>
      </w:trPr>
      <w:tc>
        <w:tcPr>
          <w:tcW w:w="7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D058B" w:rsidRPr="00EF5520" w:rsidRDefault="00FA747D" w:rsidP="003D058B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 xml:space="preserve">TITLE: </w:t>
          </w:r>
          <w:r w:rsidR="00FA4010">
            <w:rPr>
              <w:rFonts w:ascii="Arial" w:hAnsi="Arial" w:cs="Arial"/>
              <w:b/>
              <w:sz w:val="28"/>
              <w:szCs w:val="28"/>
            </w:rPr>
            <w:t>Method Comparison</w:t>
          </w:r>
        </w:p>
      </w:tc>
      <w:tc>
        <w:tcPr>
          <w:tcW w:w="24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D058B" w:rsidRPr="0019718E" w:rsidRDefault="003D058B" w:rsidP="003D058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7E30BF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3D058B" w:rsidRPr="00EF5520" w:rsidRDefault="00630A56" w:rsidP="003D058B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>PC-0065.01</w:t>
          </w:r>
        </w:p>
      </w:tc>
    </w:tr>
  </w:tbl>
  <w:p w:rsidR="00DC41F2" w:rsidRDefault="00DC41F2" w:rsidP="003D05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0E9" w:rsidRDefault="009930E9">
    <w:pPr>
      <w:pStyle w:val="Head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2712ACFF" wp14:editId="12838283">
          <wp:extent cx="5943600" cy="619125"/>
          <wp:effectExtent l="0" t="0" r="0" b="9525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344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753"/>
      <w:gridCol w:w="2807"/>
      <w:gridCol w:w="1784"/>
    </w:tblGrid>
    <w:tr w:rsidR="009930E9" w:rsidRPr="009930E9" w:rsidTr="003D5B24">
      <w:trPr>
        <w:cantSplit/>
        <w:trHeight w:val="484"/>
      </w:trPr>
      <w:tc>
        <w:tcPr>
          <w:tcW w:w="4753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930E9" w:rsidRPr="009930E9" w:rsidRDefault="009930E9" w:rsidP="009930E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University of Washington </w:t>
          </w:r>
          <w:r w:rsidRPr="009930E9">
            <w:rPr>
              <w:rFonts w:ascii="Arial" w:hAnsi="Arial" w:cs="Arial"/>
              <w:b/>
              <w:sz w:val="22"/>
              <w:szCs w:val="22"/>
            </w:rPr>
            <w:t>Medical Center</w:t>
          </w:r>
        </w:p>
        <w:p w:rsidR="009930E9" w:rsidRPr="009930E9" w:rsidRDefault="009930E9" w:rsidP="009930E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1959 NE Pacific Street</w:t>
          </w:r>
          <w:r w:rsidRPr="009930E9">
            <w:rPr>
              <w:rFonts w:ascii="Arial" w:hAnsi="Arial" w:cs="Arial"/>
              <w:b/>
              <w:sz w:val="22"/>
              <w:szCs w:val="22"/>
            </w:rPr>
            <w:t>. Seattle, WA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 98195</w:t>
          </w:r>
        </w:p>
        <w:p w:rsidR="009930E9" w:rsidRPr="009930E9" w:rsidRDefault="009930E9" w:rsidP="009930E9">
          <w:pPr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9930E9" w:rsidRPr="009930E9" w:rsidRDefault="009930E9" w:rsidP="009930E9">
          <w:pPr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80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9930E9" w:rsidRDefault="009930E9" w:rsidP="00187409">
          <w:pPr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631B1C" w:rsidRPr="00187409" w:rsidRDefault="00631B1C" w:rsidP="0018740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08/09/17</w:t>
          </w:r>
        </w:p>
      </w:tc>
      <w:tc>
        <w:tcPr>
          <w:tcW w:w="1784" w:type="dxa"/>
          <w:vMerge w:val="restart"/>
          <w:tcBorders>
            <w:top w:val="double" w:sz="4" w:space="0" w:color="auto"/>
            <w:left w:val="nil"/>
          </w:tcBorders>
        </w:tcPr>
        <w:p w:rsidR="009930E9" w:rsidRPr="009930E9" w:rsidRDefault="009930E9" w:rsidP="009930E9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9930E9" w:rsidRPr="009930E9" w:rsidRDefault="00AB3C16" w:rsidP="009930E9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PC-0065.01</w:t>
          </w:r>
        </w:p>
      </w:tc>
    </w:tr>
    <w:tr w:rsidR="009930E9" w:rsidRPr="009930E9" w:rsidTr="003D5B24">
      <w:trPr>
        <w:cantSplit/>
        <w:trHeight w:val="133"/>
      </w:trPr>
      <w:tc>
        <w:tcPr>
          <w:tcW w:w="4753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9930E9" w:rsidRPr="009930E9" w:rsidRDefault="009930E9" w:rsidP="009930E9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80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9930E9" w:rsidRPr="009930E9" w:rsidRDefault="00187409" w:rsidP="0018740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Revision </w:t>
          </w:r>
          <w:r w:rsidR="009930E9" w:rsidRPr="009930E9">
            <w:rPr>
              <w:rFonts w:ascii="Arial" w:hAnsi="Arial" w:cs="Arial"/>
              <w:b/>
              <w:sz w:val="22"/>
              <w:szCs w:val="22"/>
            </w:rPr>
            <w:t>Effective Date:</w:t>
          </w:r>
        </w:p>
      </w:tc>
      <w:tc>
        <w:tcPr>
          <w:tcW w:w="1784" w:type="dxa"/>
          <w:vMerge/>
          <w:tcBorders>
            <w:left w:val="nil"/>
            <w:bottom w:val="single" w:sz="4" w:space="0" w:color="auto"/>
          </w:tcBorders>
        </w:tcPr>
        <w:p w:rsidR="009930E9" w:rsidRPr="009930E9" w:rsidRDefault="009930E9" w:rsidP="009930E9">
          <w:pPr>
            <w:jc w:val="both"/>
            <w:rPr>
              <w:rFonts w:ascii="Arial" w:hAnsi="Arial" w:cs="Arial"/>
              <w:sz w:val="22"/>
              <w:szCs w:val="22"/>
            </w:rPr>
          </w:pPr>
        </w:p>
      </w:tc>
    </w:tr>
    <w:tr w:rsidR="009930E9" w:rsidRPr="009930E9" w:rsidTr="00187409">
      <w:trPr>
        <w:cantSplit/>
        <w:trHeight w:val="595"/>
      </w:trPr>
      <w:tc>
        <w:tcPr>
          <w:tcW w:w="9344" w:type="dxa"/>
          <w:gridSpan w:val="3"/>
          <w:tcBorders>
            <w:top w:val="nil"/>
          </w:tcBorders>
          <w:vAlign w:val="center"/>
        </w:tcPr>
        <w:p w:rsidR="009930E9" w:rsidRPr="009930E9" w:rsidRDefault="003D5B24" w:rsidP="003D5B24">
          <w:pPr>
            <w:rPr>
              <w:rFonts w:ascii="Arial" w:hAnsi="Arial" w:cs="Arial"/>
              <w:b/>
              <w:bCs/>
              <w:kern w:val="24"/>
              <w:sz w:val="28"/>
              <w:szCs w:val="28"/>
            </w:rPr>
          </w:pPr>
          <w:r w:rsidRPr="003D5B24">
            <w:rPr>
              <w:rFonts w:ascii="Arial" w:hAnsi="Arial" w:cs="Arial"/>
              <w:sz w:val="28"/>
              <w:szCs w:val="28"/>
            </w:rPr>
            <w:t>TITLE: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5E348A">
            <w:rPr>
              <w:rFonts w:ascii="Arial" w:hAnsi="Arial" w:cs="Arial"/>
              <w:b/>
              <w:sz w:val="28"/>
              <w:szCs w:val="28"/>
            </w:rPr>
            <w:t>Method Comparison</w:t>
          </w:r>
        </w:p>
      </w:tc>
    </w:tr>
  </w:tbl>
  <w:p w:rsidR="009930E9" w:rsidRDefault="009930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0C25"/>
    <w:multiLevelType w:val="hybridMultilevel"/>
    <w:tmpl w:val="35DA4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2D6757"/>
    <w:multiLevelType w:val="hybridMultilevel"/>
    <w:tmpl w:val="A3C65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F24DC5"/>
    <w:multiLevelType w:val="hybridMultilevel"/>
    <w:tmpl w:val="9438A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C341F8"/>
    <w:multiLevelType w:val="hybridMultilevel"/>
    <w:tmpl w:val="5CEAF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D256A7"/>
    <w:multiLevelType w:val="hybridMultilevel"/>
    <w:tmpl w:val="3020A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140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B3323E7"/>
    <w:multiLevelType w:val="hybridMultilevel"/>
    <w:tmpl w:val="0A18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E4394"/>
    <w:multiLevelType w:val="hybridMultilevel"/>
    <w:tmpl w:val="ABB8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E5CE0"/>
    <w:multiLevelType w:val="hybridMultilevel"/>
    <w:tmpl w:val="AFCCD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633E26"/>
    <w:multiLevelType w:val="hybridMultilevel"/>
    <w:tmpl w:val="2F706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96DDA"/>
    <w:multiLevelType w:val="hybridMultilevel"/>
    <w:tmpl w:val="3BC8F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2A16A2F"/>
    <w:multiLevelType w:val="hybridMultilevel"/>
    <w:tmpl w:val="D1960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7902DAB"/>
    <w:multiLevelType w:val="hybridMultilevel"/>
    <w:tmpl w:val="44FCF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5102CB"/>
    <w:multiLevelType w:val="hybridMultilevel"/>
    <w:tmpl w:val="8D86F5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0A21820"/>
    <w:multiLevelType w:val="hybridMultilevel"/>
    <w:tmpl w:val="973EC3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23922EF"/>
    <w:multiLevelType w:val="hybridMultilevel"/>
    <w:tmpl w:val="A322C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452176"/>
    <w:multiLevelType w:val="hybridMultilevel"/>
    <w:tmpl w:val="BE204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31B4F5E"/>
    <w:multiLevelType w:val="hybridMultilevel"/>
    <w:tmpl w:val="3B14D5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7A27DD0"/>
    <w:multiLevelType w:val="hybridMultilevel"/>
    <w:tmpl w:val="BD82B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13"/>
  </w:num>
  <w:num w:numId="6">
    <w:abstractNumId w:val="10"/>
  </w:num>
  <w:num w:numId="7">
    <w:abstractNumId w:val="1"/>
  </w:num>
  <w:num w:numId="8">
    <w:abstractNumId w:val="14"/>
  </w:num>
  <w:num w:numId="9">
    <w:abstractNumId w:val="18"/>
  </w:num>
  <w:num w:numId="10">
    <w:abstractNumId w:val="0"/>
  </w:num>
  <w:num w:numId="11">
    <w:abstractNumId w:val="12"/>
  </w:num>
  <w:num w:numId="12">
    <w:abstractNumId w:val="11"/>
  </w:num>
  <w:num w:numId="13">
    <w:abstractNumId w:val="16"/>
  </w:num>
  <w:num w:numId="14">
    <w:abstractNumId w:val="17"/>
  </w:num>
  <w:num w:numId="15">
    <w:abstractNumId w:val="3"/>
  </w:num>
  <w:num w:numId="16">
    <w:abstractNumId w:val="9"/>
  </w:num>
  <w:num w:numId="17">
    <w:abstractNumId w:val="7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F2"/>
    <w:rsid w:val="00051BB6"/>
    <w:rsid w:val="00095421"/>
    <w:rsid w:val="000F23E1"/>
    <w:rsid w:val="0013112B"/>
    <w:rsid w:val="00187409"/>
    <w:rsid w:val="001D54C0"/>
    <w:rsid w:val="001E7A02"/>
    <w:rsid w:val="002245DE"/>
    <w:rsid w:val="002A020C"/>
    <w:rsid w:val="002A11EE"/>
    <w:rsid w:val="002C31E9"/>
    <w:rsid w:val="002C494E"/>
    <w:rsid w:val="002D7EED"/>
    <w:rsid w:val="00332AEE"/>
    <w:rsid w:val="003D058B"/>
    <w:rsid w:val="003D3D79"/>
    <w:rsid w:val="003D5B24"/>
    <w:rsid w:val="003E7700"/>
    <w:rsid w:val="00424FD5"/>
    <w:rsid w:val="00456E26"/>
    <w:rsid w:val="004C375D"/>
    <w:rsid w:val="004D4280"/>
    <w:rsid w:val="004F7E0A"/>
    <w:rsid w:val="00520716"/>
    <w:rsid w:val="00530F57"/>
    <w:rsid w:val="00584ED2"/>
    <w:rsid w:val="005E1D83"/>
    <w:rsid w:val="005E348A"/>
    <w:rsid w:val="00630A56"/>
    <w:rsid w:val="00631B1C"/>
    <w:rsid w:val="006B574B"/>
    <w:rsid w:val="006C3FEA"/>
    <w:rsid w:val="006E7741"/>
    <w:rsid w:val="0070563E"/>
    <w:rsid w:val="00730916"/>
    <w:rsid w:val="00763AA1"/>
    <w:rsid w:val="007A54DE"/>
    <w:rsid w:val="007C7BF5"/>
    <w:rsid w:val="008733E0"/>
    <w:rsid w:val="008D24C8"/>
    <w:rsid w:val="008D7A3C"/>
    <w:rsid w:val="008E50E4"/>
    <w:rsid w:val="00916B1A"/>
    <w:rsid w:val="00917AB9"/>
    <w:rsid w:val="0092379F"/>
    <w:rsid w:val="00936FE4"/>
    <w:rsid w:val="00983FFD"/>
    <w:rsid w:val="009930E9"/>
    <w:rsid w:val="009C2344"/>
    <w:rsid w:val="009E00FB"/>
    <w:rsid w:val="00A01533"/>
    <w:rsid w:val="00A322A2"/>
    <w:rsid w:val="00A34E66"/>
    <w:rsid w:val="00A659BB"/>
    <w:rsid w:val="00A94D57"/>
    <w:rsid w:val="00A95ED6"/>
    <w:rsid w:val="00AA1891"/>
    <w:rsid w:val="00AB3C16"/>
    <w:rsid w:val="00AD1A14"/>
    <w:rsid w:val="00AF3B30"/>
    <w:rsid w:val="00B04072"/>
    <w:rsid w:val="00B171F0"/>
    <w:rsid w:val="00BA6C26"/>
    <w:rsid w:val="00BB168D"/>
    <w:rsid w:val="00BF436A"/>
    <w:rsid w:val="00BF5D01"/>
    <w:rsid w:val="00C04710"/>
    <w:rsid w:val="00C61609"/>
    <w:rsid w:val="00C626A5"/>
    <w:rsid w:val="00C73865"/>
    <w:rsid w:val="00C911E4"/>
    <w:rsid w:val="00CB5D5D"/>
    <w:rsid w:val="00D53D61"/>
    <w:rsid w:val="00DC129B"/>
    <w:rsid w:val="00DC41F2"/>
    <w:rsid w:val="00DF033A"/>
    <w:rsid w:val="00E528DE"/>
    <w:rsid w:val="00E56060"/>
    <w:rsid w:val="00EF42BB"/>
    <w:rsid w:val="00F41922"/>
    <w:rsid w:val="00F86E4C"/>
    <w:rsid w:val="00F972EE"/>
    <w:rsid w:val="00FA4010"/>
    <w:rsid w:val="00FA747D"/>
    <w:rsid w:val="00FB48FD"/>
    <w:rsid w:val="00FF24ED"/>
    <w:rsid w:val="00F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41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F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C4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C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0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7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7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7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D1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41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F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C4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C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0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7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7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7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D1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20722-AE10-43A0-818C-F1FD118F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Beckwith-Clark, Christine A</dc:creator>
  <cp:lastModifiedBy>Beckwith-Clark, Christine A</cp:lastModifiedBy>
  <cp:revision>2</cp:revision>
  <cp:lastPrinted>2017-08-09T16:25:00Z</cp:lastPrinted>
  <dcterms:created xsi:type="dcterms:W3CDTF">2017-08-09T16:26:00Z</dcterms:created>
  <dcterms:modified xsi:type="dcterms:W3CDTF">2017-08-09T16:26:00Z</dcterms:modified>
</cp:coreProperties>
</file>