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2A6C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2A6C0B" w:rsidRDefault="002A6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receiving liquid plasma and processing for use in transfusion services laboratory </w:t>
      </w:r>
    </w:p>
    <w:p w:rsidR="002A6C0B" w:rsidRDefault="002A6C0B">
      <w:pPr>
        <w:rPr>
          <w:rFonts w:ascii="Arial" w:hAnsi="Arial" w:cs="Arial"/>
          <w:sz w:val="22"/>
          <w:szCs w:val="22"/>
        </w:rPr>
      </w:pPr>
    </w:p>
    <w:p w:rsidR="002A6C0B" w:rsidRPr="00B400FC" w:rsidRDefault="002A6C0B">
      <w:pPr>
        <w:rPr>
          <w:rFonts w:ascii="Arial" w:hAnsi="Arial" w:cs="Arial"/>
          <w:b/>
          <w:sz w:val="22"/>
          <w:szCs w:val="22"/>
        </w:rPr>
      </w:pPr>
      <w:r w:rsidRPr="00B400FC">
        <w:rPr>
          <w:rFonts w:ascii="Arial" w:hAnsi="Arial" w:cs="Arial"/>
          <w:b/>
          <w:sz w:val="22"/>
          <w:szCs w:val="22"/>
        </w:rPr>
        <w:t>Policy</w:t>
      </w:r>
    </w:p>
    <w:p w:rsidR="00B400FC" w:rsidRPr="00134F32" w:rsidRDefault="00B400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Liquid Plasma will be received and used by Harborview Medical Center Transfusion Services as part of the </w:t>
      </w:r>
      <w:r w:rsidRPr="00134F32">
        <w:rPr>
          <w:rFonts w:ascii="Arial" w:hAnsi="Arial" w:cs="Arial"/>
          <w:sz w:val="22"/>
          <w:szCs w:val="22"/>
        </w:rPr>
        <w:t>inventory. Product will be used within 1</w:t>
      </w:r>
      <w:r w:rsidR="00A32CE2" w:rsidRPr="00134F32">
        <w:rPr>
          <w:rFonts w:ascii="Arial" w:hAnsi="Arial" w:cs="Arial"/>
          <w:sz w:val="22"/>
          <w:szCs w:val="22"/>
        </w:rPr>
        <w:t>8</w:t>
      </w:r>
      <w:r w:rsidRPr="00134F32">
        <w:rPr>
          <w:rFonts w:ascii="Arial" w:hAnsi="Arial" w:cs="Arial"/>
          <w:sz w:val="22"/>
          <w:szCs w:val="22"/>
        </w:rPr>
        <w:t xml:space="preserve"> days of collection. Liquid Plasma contains viable lymphocytes that may cause graft versus host reactions in susceptible patients.</w:t>
      </w:r>
    </w:p>
    <w:p w:rsidR="00B400FC" w:rsidRPr="00134F32" w:rsidRDefault="00B400FC">
      <w:pPr>
        <w:rPr>
          <w:rFonts w:ascii="Arial" w:hAnsi="Arial" w:cs="Arial"/>
          <w:sz w:val="22"/>
          <w:szCs w:val="22"/>
        </w:rPr>
      </w:pPr>
    </w:p>
    <w:p w:rsidR="00B400FC" w:rsidRPr="00134F32" w:rsidRDefault="00E86808">
      <w:pPr>
        <w:rPr>
          <w:rFonts w:ascii="Arial" w:hAnsi="Arial" w:cs="Arial"/>
          <w:b/>
          <w:sz w:val="22"/>
          <w:szCs w:val="22"/>
        </w:rPr>
      </w:pPr>
      <w:r w:rsidRPr="00134F32">
        <w:rPr>
          <w:rFonts w:ascii="Arial" w:hAnsi="Arial" w:cs="Arial"/>
          <w:b/>
          <w:sz w:val="22"/>
          <w:szCs w:val="22"/>
        </w:rPr>
        <w:t xml:space="preserve">Indications </w:t>
      </w:r>
    </w:p>
    <w:p w:rsidR="00E86808" w:rsidRPr="00134F32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4F32">
        <w:rPr>
          <w:rFonts w:ascii="Arial" w:hAnsi="Arial" w:cs="Arial"/>
          <w:sz w:val="22"/>
          <w:szCs w:val="22"/>
        </w:rPr>
        <w:t>Treatment of patients undergoing massive transfusion due to life thr</w:t>
      </w:r>
      <w:r w:rsidR="00C244F1" w:rsidRPr="00134F32">
        <w:rPr>
          <w:rFonts w:ascii="Arial" w:hAnsi="Arial" w:cs="Arial"/>
          <w:sz w:val="22"/>
          <w:szCs w:val="22"/>
        </w:rPr>
        <w:t xml:space="preserve">eatening trauma/hemorrhages </w:t>
      </w:r>
      <w:r w:rsidRPr="00134F32">
        <w:rPr>
          <w:rFonts w:ascii="Arial" w:hAnsi="Arial" w:cs="Arial"/>
          <w:sz w:val="22"/>
          <w:szCs w:val="22"/>
        </w:rPr>
        <w:t xml:space="preserve">who have clinically significant coagulation deficiencies. </w:t>
      </w:r>
    </w:p>
    <w:p w:rsidR="00E86808" w:rsidRPr="00134F32" w:rsidRDefault="00E86808" w:rsidP="00E86808">
      <w:pPr>
        <w:ind w:left="360"/>
        <w:rPr>
          <w:rFonts w:ascii="Arial" w:hAnsi="Arial" w:cs="Arial"/>
          <w:b/>
          <w:sz w:val="22"/>
          <w:szCs w:val="22"/>
        </w:rPr>
      </w:pPr>
    </w:p>
    <w:p w:rsidR="00E86808" w:rsidRPr="00134F32" w:rsidRDefault="00E86808" w:rsidP="00E86808">
      <w:pPr>
        <w:rPr>
          <w:rFonts w:ascii="Arial" w:hAnsi="Arial" w:cs="Arial"/>
          <w:b/>
          <w:sz w:val="22"/>
          <w:szCs w:val="22"/>
        </w:rPr>
      </w:pPr>
      <w:r w:rsidRPr="00134F32">
        <w:rPr>
          <w:rFonts w:ascii="Arial" w:hAnsi="Arial" w:cs="Arial"/>
          <w:b/>
          <w:sz w:val="22"/>
          <w:szCs w:val="22"/>
        </w:rPr>
        <w:t>Contraindications</w:t>
      </w:r>
    </w:p>
    <w:p w:rsidR="00870588" w:rsidRPr="00134F32" w:rsidRDefault="0087058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4F32">
        <w:rPr>
          <w:rFonts w:ascii="Arial" w:hAnsi="Arial" w:cs="Arial"/>
          <w:sz w:val="22"/>
          <w:szCs w:val="22"/>
        </w:rPr>
        <w:t>Patients requiring</w:t>
      </w:r>
      <w:r w:rsidR="00F417D5" w:rsidRPr="00134F32">
        <w:rPr>
          <w:rFonts w:ascii="Arial" w:hAnsi="Arial" w:cs="Arial"/>
          <w:sz w:val="22"/>
          <w:szCs w:val="22"/>
        </w:rPr>
        <w:t xml:space="preserve"> leukoreduced,</w:t>
      </w:r>
      <w:r w:rsidRPr="00134F32">
        <w:rPr>
          <w:rFonts w:ascii="Arial" w:hAnsi="Arial" w:cs="Arial"/>
          <w:sz w:val="22"/>
          <w:szCs w:val="22"/>
        </w:rPr>
        <w:t xml:space="preserve"> irradiated</w:t>
      </w:r>
      <w:r w:rsidR="00F417D5" w:rsidRPr="00134F32">
        <w:rPr>
          <w:rFonts w:ascii="Arial" w:hAnsi="Arial" w:cs="Arial"/>
          <w:sz w:val="22"/>
          <w:szCs w:val="22"/>
        </w:rPr>
        <w:t xml:space="preserve"> blood</w:t>
      </w:r>
      <w:r w:rsidRPr="00134F32">
        <w:rPr>
          <w:rFonts w:ascii="Arial" w:hAnsi="Arial" w:cs="Arial"/>
          <w:sz w:val="22"/>
          <w:szCs w:val="22"/>
        </w:rPr>
        <w:t xml:space="preserve"> products will not be issued liquid plasma prior to Transfusion Services Medical Director approval </w:t>
      </w:r>
    </w:p>
    <w:p w:rsidR="00E86808" w:rsidRPr="00134F32" w:rsidRDefault="00E86808" w:rsidP="00E868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4F32">
        <w:rPr>
          <w:rFonts w:ascii="Arial" w:hAnsi="Arial" w:cs="Arial"/>
          <w:sz w:val="22"/>
          <w:szCs w:val="22"/>
        </w:rPr>
        <w:t xml:space="preserve">Not for treatment of coagulation factor deficiencies </w:t>
      </w:r>
    </w:p>
    <w:p w:rsidR="002F4918" w:rsidRPr="00134F32" w:rsidRDefault="002F4918">
      <w:pPr>
        <w:rPr>
          <w:rFonts w:ascii="Arial" w:hAnsi="Arial" w:cs="Arial"/>
          <w:sz w:val="22"/>
          <w:szCs w:val="22"/>
        </w:rPr>
      </w:pPr>
    </w:p>
    <w:p w:rsidR="007D6ED6" w:rsidRPr="00134F32" w:rsidRDefault="007D6ED6">
      <w:pPr>
        <w:rPr>
          <w:rFonts w:ascii="Arial" w:hAnsi="Arial" w:cs="Arial"/>
          <w:b/>
          <w:sz w:val="22"/>
          <w:szCs w:val="22"/>
        </w:rPr>
      </w:pPr>
      <w:r w:rsidRPr="00134F32">
        <w:rPr>
          <w:rFonts w:ascii="Arial" w:hAnsi="Arial" w:cs="Arial"/>
          <w:b/>
          <w:sz w:val="22"/>
          <w:szCs w:val="22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470"/>
        <w:gridCol w:w="2520"/>
      </w:tblGrid>
      <w:tr w:rsidR="00E937E9" w:rsidRPr="00134F32" w:rsidTr="0053387C">
        <w:tc>
          <w:tcPr>
            <w:tcW w:w="738" w:type="dxa"/>
            <w:vAlign w:val="center"/>
          </w:tcPr>
          <w:p w:rsidR="00E937E9" w:rsidRPr="00134F32" w:rsidRDefault="00E937E9" w:rsidP="00C244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4F32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470" w:type="dxa"/>
            <w:vAlign w:val="center"/>
          </w:tcPr>
          <w:p w:rsidR="00E937E9" w:rsidRPr="00134F32" w:rsidRDefault="00E937E9" w:rsidP="007D6E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4F32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20" w:type="dxa"/>
          </w:tcPr>
          <w:p w:rsidR="00E937E9" w:rsidRPr="00134F32" w:rsidRDefault="00E937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4F32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937E9" w:rsidRPr="00134F32" w:rsidTr="0053387C">
        <w:tc>
          <w:tcPr>
            <w:tcW w:w="738" w:type="dxa"/>
          </w:tcPr>
          <w:p w:rsidR="00E937E9" w:rsidRPr="00134F32" w:rsidRDefault="00B400FC" w:rsidP="0053387C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70" w:type="dxa"/>
            <w:vAlign w:val="center"/>
          </w:tcPr>
          <w:p w:rsidR="00E937E9" w:rsidRPr="00134F32" w:rsidRDefault="00870588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 xml:space="preserve">Inspect product for acceptability </w:t>
            </w:r>
          </w:p>
        </w:tc>
        <w:tc>
          <w:tcPr>
            <w:tcW w:w="2520" w:type="dxa"/>
          </w:tcPr>
          <w:p w:rsidR="00E937E9" w:rsidRPr="00134F32" w:rsidRDefault="00AB7BE1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Receiving Blood Products into Inventory</w:t>
            </w:r>
          </w:p>
        </w:tc>
      </w:tr>
      <w:tr w:rsidR="00AB7BE1" w:rsidRPr="00134F32" w:rsidTr="0053387C">
        <w:tc>
          <w:tcPr>
            <w:tcW w:w="738" w:type="dxa"/>
          </w:tcPr>
          <w:p w:rsidR="00AB7BE1" w:rsidRPr="00134F32" w:rsidRDefault="009B4E66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70" w:type="dxa"/>
            <w:vAlign w:val="center"/>
          </w:tcPr>
          <w:p w:rsidR="0022035C" w:rsidRPr="00134F32" w:rsidRDefault="00C244F1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22035C" w:rsidRPr="00134F32">
              <w:rPr>
                <w:rFonts w:ascii="Arial" w:hAnsi="Arial" w:cs="Arial"/>
                <w:sz w:val="22"/>
                <w:szCs w:val="22"/>
              </w:rPr>
              <w:t>Blood Product Entry</w:t>
            </w:r>
          </w:p>
          <w:p w:rsidR="00AB7BE1" w:rsidRPr="00134F32" w:rsidRDefault="00AB7BE1" w:rsidP="007D6ED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 xml:space="preserve">Scan all </w:t>
            </w:r>
            <w:r w:rsidR="002F4918" w:rsidRPr="00134F32">
              <w:rPr>
                <w:rFonts w:ascii="Arial" w:hAnsi="Arial" w:cs="Arial"/>
                <w:sz w:val="22"/>
                <w:szCs w:val="22"/>
              </w:rPr>
              <w:t>barcodes and enter volume</w:t>
            </w:r>
            <w:r w:rsidR="00C244F1" w:rsidRPr="00134F3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7251B" w:rsidRDefault="0097251B" w:rsidP="007D6ED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 xml:space="preserve">Enter any additional attributes (i.e. CMV </w:t>
            </w:r>
            <w:proofErr w:type="spellStart"/>
            <w:r w:rsidRPr="00134F32">
              <w:rPr>
                <w:rFonts w:ascii="Arial" w:hAnsi="Arial" w:cs="Arial"/>
                <w:sz w:val="22"/>
                <w:szCs w:val="22"/>
              </w:rPr>
              <w:t>neg</w:t>
            </w:r>
            <w:proofErr w:type="spellEnd"/>
            <w:r w:rsidRPr="00134F32">
              <w:rPr>
                <w:rFonts w:ascii="Arial" w:hAnsi="Arial" w:cs="Arial"/>
                <w:sz w:val="22"/>
                <w:szCs w:val="22"/>
              </w:rPr>
              <w:t>, LTP)</w:t>
            </w:r>
          </w:p>
          <w:p w:rsidR="009B4E66" w:rsidRPr="00134F32" w:rsidRDefault="009B4E66" w:rsidP="007D6ED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visual inspection</w:t>
            </w:r>
          </w:p>
          <w:p w:rsidR="00C244F1" w:rsidRPr="00134F32" w:rsidRDefault="002F4918" w:rsidP="009725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SAVE</w:t>
            </w:r>
          </w:p>
        </w:tc>
        <w:tc>
          <w:tcPr>
            <w:tcW w:w="2520" w:type="dxa"/>
          </w:tcPr>
          <w:p w:rsidR="00AB7BE1" w:rsidRPr="00134F32" w:rsidRDefault="009F44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Product Entry</w:t>
            </w:r>
          </w:p>
          <w:p w:rsidR="0053387C" w:rsidRPr="00134F32" w:rsidRDefault="0053387C">
            <w:pPr>
              <w:rPr>
                <w:rFonts w:ascii="Arial" w:hAnsi="Arial" w:cs="Arial"/>
                <w:sz w:val="22"/>
                <w:szCs w:val="22"/>
              </w:rPr>
            </w:pPr>
          </w:p>
          <w:p w:rsidR="0053387C" w:rsidRPr="00134F32" w:rsidRDefault="0053387C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Receiving and Processing Low Titer Plasma</w:t>
            </w:r>
          </w:p>
        </w:tc>
      </w:tr>
      <w:tr w:rsidR="0097251B" w:rsidRPr="00134F32" w:rsidTr="0053387C">
        <w:tc>
          <w:tcPr>
            <w:tcW w:w="738" w:type="dxa"/>
          </w:tcPr>
          <w:p w:rsidR="0097251B" w:rsidRPr="00134F32" w:rsidRDefault="009B4E66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70" w:type="dxa"/>
            <w:vAlign w:val="center"/>
          </w:tcPr>
          <w:p w:rsidR="0097251B" w:rsidRPr="00134F32" w:rsidRDefault="0097251B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Complete BCP</w:t>
            </w:r>
          </w:p>
          <w:p w:rsidR="0097251B" w:rsidRPr="00134F32" w:rsidRDefault="0097251B" w:rsidP="009725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Enter correct component prep code</w:t>
            </w:r>
          </w:p>
          <w:p w:rsidR="0097251B" w:rsidRPr="00134F32" w:rsidRDefault="0097251B" w:rsidP="009B4E6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B4E66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The output expiration will </w:t>
            </w:r>
            <w:r w:rsidR="006F53AC" w:rsidRPr="009B4E66">
              <w:rPr>
                <w:rFonts w:ascii="Arial" w:hAnsi="Arial" w:cs="Arial"/>
                <w:sz w:val="22"/>
                <w:szCs w:val="22"/>
                <w:highlight w:val="yellow"/>
              </w:rPr>
              <w:t>automatically populate</w:t>
            </w:r>
          </w:p>
        </w:tc>
        <w:tc>
          <w:tcPr>
            <w:tcW w:w="2520" w:type="dxa"/>
          </w:tcPr>
          <w:p w:rsidR="00DD5671" w:rsidRPr="00134F32" w:rsidRDefault="00DD5671">
            <w:pPr>
              <w:rPr>
                <w:rFonts w:ascii="Arial" w:hAnsi="Arial" w:cs="Arial"/>
                <w:sz w:val="22"/>
                <w:szCs w:val="22"/>
              </w:rPr>
            </w:pPr>
          </w:p>
          <w:p w:rsidR="00DD5671" w:rsidRPr="00134F32" w:rsidRDefault="00DD5671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Table A</w:t>
            </w:r>
          </w:p>
        </w:tc>
      </w:tr>
      <w:tr w:rsidR="0097251B" w:rsidTr="0053387C">
        <w:tc>
          <w:tcPr>
            <w:tcW w:w="738" w:type="dxa"/>
          </w:tcPr>
          <w:p w:rsidR="0097251B" w:rsidRPr="00134F32" w:rsidRDefault="009B4E66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70" w:type="dxa"/>
            <w:vAlign w:val="center"/>
          </w:tcPr>
          <w:p w:rsidR="0097251B" w:rsidRPr="00134F32" w:rsidRDefault="0097251B" w:rsidP="0053387C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A new label will print with the corrected expiration date</w:t>
            </w:r>
          </w:p>
          <w:p w:rsidR="00CD5240" w:rsidRPr="00134F32" w:rsidRDefault="00CD5240" w:rsidP="00CD524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Affix Low titer plasma sticker, if required</w:t>
            </w:r>
          </w:p>
        </w:tc>
        <w:tc>
          <w:tcPr>
            <w:tcW w:w="2520" w:type="dxa"/>
          </w:tcPr>
          <w:p w:rsidR="0097251B" w:rsidRPr="00134F32" w:rsidRDefault="009725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35C" w:rsidRPr="00134F32" w:rsidTr="0053387C">
        <w:tc>
          <w:tcPr>
            <w:tcW w:w="738" w:type="dxa"/>
          </w:tcPr>
          <w:p w:rsidR="0022035C" w:rsidRPr="00134F32" w:rsidRDefault="009B4E66" w:rsidP="005338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470" w:type="dxa"/>
            <w:vAlign w:val="center"/>
          </w:tcPr>
          <w:p w:rsidR="0022035C" w:rsidRPr="00134F32" w:rsidRDefault="0022035C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 xml:space="preserve">Perform Blood Label Check </w:t>
            </w:r>
          </w:p>
          <w:p w:rsidR="00C244F1" w:rsidRPr="00134F32" w:rsidRDefault="00C244F1" w:rsidP="007D6E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CMV</w:t>
            </w:r>
            <w:r w:rsidR="00E77241" w:rsidRPr="00134F32">
              <w:rPr>
                <w:rFonts w:ascii="Arial" w:hAnsi="Arial" w:cs="Arial"/>
                <w:sz w:val="22"/>
                <w:szCs w:val="22"/>
              </w:rPr>
              <w:t>, ACD volume,</w:t>
            </w:r>
            <w:r w:rsidR="00A90935" w:rsidRPr="00134F3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E77241" w:rsidRPr="00134F32">
              <w:rPr>
                <w:rFonts w:ascii="Arial" w:hAnsi="Arial" w:cs="Arial"/>
                <w:sz w:val="22"/>
                <w:szCs w:val="22"/>
              </w:rPr>
              <w:t xml:space="preserve"> LTP</w:t>
            </w:r>
            <w:r w:rsidRPr="00134F32">
              <w:rPr>
                <w:rFonts w:ascii="Arial" w:hAnsi="Arial" w:cs="Arial"/>
                <w:sz w:val="22"/>
                <w:szCs w:val="22"/>
              </w:rPr>
              <w:t xml:space="preserve"> testing require 2</w:t>
            </w:r>
            <w:r w:rsidRPr="00134F32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34F32">
              <w:rPr>
                <w:rFonts w:ascii="Arial" w:hAnsi="Arial" w:cs="Arial"/>
                <w:sz w:val="22"/>
                <w:szCs w:val="22"/>
              </w:rPr>
              <w:t xml:space="preserve"> tech verification</w:t>
            </w:r>
          </w:p>
          <w:p w:rsidR="009465A8" w:rsidRPr="00134F32" w:rsidRDefault="009465A8" w:rsidP="007D6E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 xml:space="preserve">Affix label to unit </w:t>
            </w:r>
          </w:p>
        </w:tc>
        <w:tc>
          <w:tcPr>
            <w:tcW w:w="2520" w:type="dxa"/>
          </w:tcPr>
          <w:p w:rsidR="0022035C" w:rsidRPr="00134F32" w:rsidRDefault="009F44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22035C" w:rsidRPr="00134F32">
              <w:rPr>
                <w:rFonts w:ascii="Arial" w:hAnsi="Arial" w:cs="Arial"/>
                <w:sz w:val="22"/>
                <w:szCs w:val="22"/>
              </w:rPr>
              <w:t xml:space="preserve">Blood Label Check and Verification </w:t>
            </w:r>
            <w:bookmarkStart w:id="0" w:name="_GoBack"/>
            <w:bookmarkEnd w:id="0"/>
          </w:p>
          <w:p w:rsidR="00E77241" w:rsidRPr="00134F32" w:rsidRDefault="00E77241">
            <w:pPr>
              <w:rPr>
                <w:rFonts w:ascii="Arial" w:hAnsi="Arial" w:cs="Arial"/>
                <w:sz w:val="22"/>
                <w:szCs w:val="22"/>
              </w:rPr>
            </w:pPr>
          </w:p>
          <w:p w:rsidR="00E77241" w:rsidRPr="00134F32" w:rsidRDefault="00A90935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r w:rsidR="00E77241" w:rsidRPr="00134F32">
              <w:rPr>
                <w:rFonts w:ascii="Arial" w:hAnsi="Arial" w:cs="Arial"/>
                <w:sz w:val="22"/>
                <w:szCs w:val="22"/>
              </w:rPr>
              <w:t>Label Verification Form</w:t>
            </w:r>
          </w:p>
        </w:tc>
      </w:tr>
      <w:tr w:rsidR="007D6ED6" w:rsidRPr="00134F32" w:rsidTr="0053387C">
        <w:tc>
          <w:tcPr>
            <w:tcW w:w="738" w:type="dxa"/>
          </w:tcPr>
          <w:p w:rsidR="007D6ED6" w:rsidRPr="00134F32" w:rsidRDefault="00336BAB" w:rsidP="0053387C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0" w:type="dxa"/>
            <w:vAlign w:val="center"/>
          </w:tcPr>
          <w:p w:rsidR="007D6ED6" w:rsidRPr="00134F32" w:rsidRDefault="007D6ED6" w:rsidP="007D6ED6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Store liquid plasma.</w:t>
            </w:r>
          </w:p>
        </w:tc>
        <w:tc>
          <w:tcPr>
            <w:tcW w:w="2520" w:type="dxa"/>
          </w:tcPr>
          <w:p w:rsidR="007D6ED6" w:rsidRPr="00134F32" w:rsidRDefault="007D6ED6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Blood Product Storage Policy</w:t>
            </w:r>
          </w:p>
        </w:tc>
      </w:tr>
    </w:tbl>
    <w:p w:rsidR="00E937E9" w:rsidRDefault="00E937E9">
      <w:pPr>
        <w:rPr>
          <w:rFonts w:ascii="Arial" w:hAnsi="Arial" w:cs="Arial"/>
          <w:sz w:val="22"/>
          <w:szCs w:val="22"/>
        </w:rPr>
      </w:pPr>
    </w:p>
    <w:p w:rsidR="009B4E66" w:rsidRDefault="009B4E66">
      <w:pPr>
        <w:rPr>
          <w:rFonts w:ascii="Arial" w:hAnsi="Arial" w:cs="Arial"/>
          <w:sz w:val="22"/>
          <w:szCs w:val="22"/>
        </w:rPr>
      </w:pPr>
    </w:p>
    <w:p w:rsidR="009B4E66" w:rsidRPr="00134F32" w:rsidRDefault="009B4E66">
      <w:pPr>
        <w:rPr>
          <w:rFonts w:ascii="Arial" w:hAnsi="Arial" w:cs="Arial"/>
          <w:sz w:val="22"/>
          <w:szCs w:val="22"/>
        </w:rPr>
      </w:pPr>
    </w:p>
    <w:p w:rsidR="009551F8" w:rsidRPr="00134F32" w:rsidRDefault="00DD5671">
      <w:pPr>
        <w:rPr>
          <w:rFonts w:ascii="Arial" w:hAnsi="Arial" w:cs="Arial"/>
          <w:b/>
          <w:sz w:val="22"/>
          <w:szCs w:val="22"/>
        </w:rPr>
      </w:pPr>
      <w:r w:rsidRPr="00134F32">
        <w:rPr>
          <w:rFonts w:ascii="Arial" w:hAnsi="Arial" w:cs="Arial"/>
          <w:b/>
          <w:sz w:val="22"/>
          <w:szCs w:val="22"/>
        </w:rPr>
        <w:lastRenderedPageBreak/>
        <w:t>Table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1833"/>
        <w:gridCol w:w="2610"/>
        <w:gridCol w:w="1710"/>
        <w:gridCol w:w="2430"/>
      </w:tblGrid>
      <w:tr w:rsidR="00DD5671" w:rsidRPr="00134F32" w:rsidTr="00DD5671">
        <w:tc>
          <w:tcPr>
            <w:tcW w:w="2145" w:type="dxa"/>
          </w:tcPr>
          <w:p w:rsidR="00DD5671" w:rsidRPr="00134F32" w:rsidRDefault="00DD56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4F32">
              <w:rPr>
                <w:rFonts w:ascii="Arial" w:hAnsi="Arial" w:cs="Arial"/>
                <w:b/>
                <w:sz w:val="22"/>
                <w:szCs w:val="22"/>
              </w:rPr>
              <w:t>Product</w:t>
            </w:r>
          </w:p>
        </w:tc>
        <w:tc>
          <w:tcPr>
            <w:tcW w:w="1833" w:type="dxa"/>
          </w:tcPr>
          <w:p w:rsidR="00DD5671" w:rsidRPr="00134F32" w:rsidRDefault="00DD56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4F32">
              <w:rPr>
                <w:rFonts w:ascii="Arial" w:hAnsi="Arial" w:cs="Arial"/>
                <w:b/>
                <w:sz w:val="22"/>
                <w:szCs w:val="22"/>
              </w:rPr>
              <w:t>Input Code</w:t>
            </w:r>
          </w:p>
        </w:tc>
        <w:tc>
          <w:tcPr>
            <w:tcW w:w="2610" w:type="dxa"/>
          </w:tcPr>
          <w:p w:rsidR="00DD5671" w:rsidRPr="00134F32" w:rsidRDefault="00DD56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4F32">
              <w:rPr>
                <w:rFonts w:ascii="Arial" w:hAnsi="Arial" w:cs="Arial"/>
                <w:b/>
                <w:sz w:val="22"/>
                <w:szCs w:val="22"/>
              </w:rPr>
              <w:t>Component Prep Code</w:t>
            </w:r>
          </w:p>
        </w:tc>
        <w:tc>
          <w:tcPr>
            <w:tcW w:w="1710" w:type="dxa"/>
          </w:tcPr>
          <w:p w:rsidR="00DD5671" w:rsidRPr="00134F32" w:rsidRDefault="00DD56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4F32">
              <w:rPr>
                <w:rFonts w:ascii="Arial" w:hAnsi="Arial" w:cs="Arial"/>
                <w:b/>
                <w:sz w:val="22"/>
                <w:szCs w:val="22"/>
              </w:rPr>
              <w:t>Output Code</w:t>
            </w:r>
          </w:p>
        </w:tc>
        <w:tc>
          <w:tcPr>
            <w:tcW w:w="2430" w:type="dxa"/>
          </w:tcPr>
          <w:p w:rsidR="00DD5671" w:rsidRPr="00134F32" w:rsidRDefault="00DD567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34F32">
              <w:rPr>
                <w:rFonts w:ascii="Arial" w:hAnsi="Arial" w:cs="Arial"/>
                <w:b/>
                <w:sz w:val="22"/>
                <w:szCs w:val="22"/>
              </w:rPr>
              <w:t>Hematrax</w:t>
            </w:r>
            <w:proofErr w:type="spellEnd"/>
            <w:r w:rsidRPr="00134F32">
              <w:rPr>
                <w:rFonts w:ascii="Arial" w:hAnsi="Arial" w:cs="Arial"/>
                <w:b/>
                <w:sz w:val="22"/>
                <w:szCs w:val="22"/>
              </w:rPr>
              <w:t xml:space="preserve"> Label size</w:t>
            </w:r>
          </w:p>
        </w:tc>
      </w:tr>
      <w:tr w:rsidR="00DD5671" w:rsidTr="00DD5671">
        <w:tc>
          <w:tcPr>
            <w:tcW w:w="2145" w:type="dxa"/>
          </w:tcPr>
          <w:p w:rsidR="00DD5671" w:rsidRPr="00134F32" w:rsidRDefault="00DD5671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Liquid Plasma</w:t>
            </w:r>
          </w:p>
        </w:tc>
        <w:tc>
          <w:tcPr>
            <w:tcW w:w="1833" w:type="dxa"/>
          </w:tcPr>
          <w:p w:rsidR="00DD5671" w:rsidRPr="00134F32" w:rsidRDefault="00DD5671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E2469</w:t>
            </w:r>
          </w:p>
        </w:tc>
        <w:tc>
          <w:tcPr>
            <w:tcW w:w="2610" w:type="dxa"/>
          </w:tcPr>
          <w:p w:rsidR="00DD5671" w:rsidRPr="00134F32" w:rsidRDefault="00DD5671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XE2469</w:t>
            </w:r>
          </w:p>
        </w:tc>
        <w:tc>
          <w:tcPr>
            <w:tcW w:w="1710" w:type="dxa"/>
          </w:tcPr>
          <w:p w:rsidR="00DD5671" w:rsidRPr="00134F32" w:rsidRDefault="00DD5671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E2469</w:t>
            </w:r>
          </w:p>
        </w:tc>
        <w:tc>
          <w:tcPr>
            <w:tcW w:w="2430" w:type="dxa"/>
          </w:tcPr>
          <w:p w:rsidR="00DD5671" w:rsidRPr="00DD5671" w:rsidRDefault="00DD5671">
            <w:pPr>
              <w:rPr>
                <w:rFonts w:ascii="Arial" w:hAnsi="Arial" w:cs="Arial"/>
                <w:sz w:val="22"/>
                <w:szCs w:val="22"/>
              </w:rPr>
            </w:pPr>
            <w:r w:rsidRPr="00134F32">
              <w:rPr>
                <w:rFonts w:ascii="Arial" w:hAnsi="Arial" w:cs="Arial"/>
                <w:sz w:val="22"/>
                <w:szCs w:val="22"/>
              </w:rPr>
              <w:t>½ label</w:t>
            </w:r>
          </w:p>
        </w:tc>
      </w:tr>
    </w:tbl>
    <w:p w:rsidR="00DD5671" w:rsidRPr="009465A8" w:rsidRDefault="00DD5671">
      <w:pPr>
        <w:rPr>
          <w:rFonts w:ascii="Arial" w:hAnsi="Arial" w:cs="Arial"/>
          <w:b/>
          <w:sz w:val="22"/>
          <w:szCs w:val="22"/>
        </w:rPr>
      </w:pPr>
    </w:p>
    <w:p w:rsidR="009551F8" w:rsidRDefault="00E86808" w:rsidP="00E86808">
      <w:pPr>
        <w:tabs>
          <w:tab w:val="left" w:pos="10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551F8" w:rsidRPr="00A32CE2" w:rsidRDefault="00870588">
      <w:pPr>
        <w:rPr>
          <w:rFonts w:ascii="Arial" w:hAnsi="Arial" w:cs="Arial"/>
          <w:b/>
          <w:sz w:val="22"/>
          <w:szCs w:val="22"/>
        </w:rPr>
      </w:pPr>
      <w:r w:rsidRPr="00A32CE2">
        <w:rPr>
          <w:rFonts w:ascii="Arial" w:hAnsi="Arial" w:cs="Arial"/>
          <w:b/>
          <w:sz w:val="22"/>
          <w:szCs w:val="22"/>
        </w:rPr>
        <w:t>References</w:t>
      </w:r>
    </w:p>
    <w:p w:rsidR="00870588" w:rsidRPr="00870588" w:rsidRDefault="00870588">
      <w:pPr>
        <w:rPr>
          <w:rFonts w:ascii="Arial" w:hAnsi="Arial" w:cs="Arial"/>
          <w:sz w:val="22"/>
          <w:szCs w:val="22"/>
        </w:rPr>
      </w:pPr>
      <w:r w:rsidRPr="00870588">
        <w:rPr>
          <w:rFonts w:ascii="Arial" w:hAnsi="Arial" w:cs="Arial"/>
          <w:sz w:val="22"/>
          <w:szCs w:val="22"/>
        </w:rPr>
        <w:t xml:space="preserve">Circular of Information </w:t>
      </w:r>
      <w:r w:rsidR="009465A8" w:rsidRPr="00870588">
        <w:rPr>
          <w:rFonts w:ascii="Arial" w:hAnsi="Arial" w:cs="Arial"/>
          <w:sz w:val="22"/>
          <w:szCs w:val="22"/>
        </w:rPr>
        <w:t>for</w:t>
      </w:r>
      <w:r w:rsidRPr="00870588">
        <w:rPr>
          <w:rFonts w:ascii="Arial" w:hAnsi="Arial" w:cs="Arial"/>
          <w:sz w:val="22"/>
          <w:szCs w:val="22"/>
        </w:rPr>
        <w:t xml:space="preserve"> the Use of Human Blood and Blood Components, revised November 2013.</w:t>
      </w:r>
    </w:p>
    <w:sectPr w:rsidR="00870588" w:rsidRPr="0087058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F448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F448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2A6C0B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Receiving and Processing Liquid Plasma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134F32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134F32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134F32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134F32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>325 9</w:t>
          </w:r>
          <w:r w:rsidRPr="00134F32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134F32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134F32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134F32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134F32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134F32" w:rsidRDefault="001C30D7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August 27</w:t>
          </w:r>
          <w:r w:rsidRPr="001C30D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>
            <w:rPr>
              <w:rFonts w:ascii="Arial" w:hAnsi="Arial" w:cs="Arial"/>
              <w:b/>
              <w:sz w:val="22"/>
              <w:szCs w:val="22"/>
            </w:rPr>
            <w:t>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134F32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134F32" w:rsidRDefault="009B4E6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5118-3</w:t>
          </w:r>
        </w:p>
      </w:tc>
    </w:tr>
    <w:tr w:rsidR="00D3281B" w:rsidRPr="00134F32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134F32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134F32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134F32" w:rsidRDefault="001C30D7" w:rsidP="0025334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4/22/18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134F32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9465A8" w:rsidRPr="00134F32" w:rsidRDefault="007D6ED6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A6C0B">
          <w:pPr>
            <w:rPr>
              <w:rFonts w:ascii="Arial" w:hAnsi="Arial" w:cs="Arial"/>
              <w:b/>
              <w:sz w:val="28"/>
              <w:szCs w:val="28"/>
            </w:rPr>
          </w:pPr>
          <w:r w:rsidRPr="00134F32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2A6C0B" w:rsidRPr="00134F32">
            <w:rPr>
              <w:rFonts w:ascii="Arial" w:hAnsi="Arial" w:cs="Arial"/>
              <w:b/>
              <w:sz w:val="28"/>
              <w:szCs w:val="28"/>
            </w:rPr>
            <w:t>Receiving and Processing Liquid Plasma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51C"/>
    <w:multiLevelType w:val="hybridMultilevel"/>
    <w:tmpl w:val="1176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71A9"/>
    <w:multiLevelType w:val="hybridMultilevel"/>
    <w:tmpl w:val="628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439C1"/>
    <w:multiLevelType w:val="hybridMultilevel"/>
    <w:tmpl w:val="FA3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F2A17"/>
    <w:multiLevelType w:val="hybridMultilevel"/>
    <w:tmpl w:val="ED0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03F60"/>
    <w:multiLevelType w:val="hybridMultilevel"/>
    <w:tmpl w:val="21B0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0241B"/>
    <w:multiLevelType w:val="hybridMultilevel"/>
    <w:tmpl w:val="D7E4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165AB"/>
    <w:rsid w:val="001065F9"/>
    <w:rsid w:val="00134F32"/>
    <w:rsid w:val="001A731F"/>
    <w:rsid w:val="001C30D7"/>
    <w:rsid w:val="001F6C8C"/>
    <w:rsid w:val="0022035C"/>
    <w:rsid w:val="0025334B"/>
    <w:rsid w:val="00260E4A"/>
    <w:rsid w:val="00264806"/>
    <w:rsid w:val="002A6C0B"/>
    <w:rsid w:val="002F4918"/>
    <w:rsid w:val="00336BAB"/>
    <w:rsid w:val="003735F1"/>
    <w:rsid w:val="003816DA"/>
    <w:rsid w:val="003E439B"/>
    <w:rsid w:val="00433132"/>
    <w:rsid w:val="004D16C5"/>
    <w:rsid w:val="0053387C"/>
    <w:rsid w:val="005407DE"/>
    <w:rsid w:val="005A44E9"/>
    <w:rsid w:val="006720F8"/>
    <w:rsid w:val="006E7B0D"/>
    <w:rsid w:val="006F53AC"/>
    <w:rsid w:val="00750D94"/>
    <w:rsid w:val="007763E7"/>
    <w:rsid w:val="007D6ED6"/>
    <w:rsid w:val="008660E7"/>
    <w:rsid w:val="00870588"/>
    <w:rsid w:val="008F4BFB"/>
    <w:rsid w:val="00903F57"/>
    <w:rsid w:val="009465A8"/>
    <w:rsid w:val="009551F8"/>
    <w:rsid w:val="0097251B"/>
    <w:rsid w:val="009B4E66"/>
    <w:rsid w:val="009D0337"/>
    <w:rsid w:val="009F448A"/>
    <w:rsid w:val="00A32CE2"/>
    <w:rsid w:val="00A90935"/>
    <w:rsid w:val="00AB7BE1"/>
    <w:rsid w:val="00B400FC"/>
    <w:rsid w:val="00B82064"/>
    <w:rsid w:val="00C1374C"/>
    <w:rsid w:val="00C244F1"/>
    <w:rsid w:val="00C610A3"/>
    <w:rsid w:val="00C6184B"/>
    <w:rsid w:val="00CD5240"/>
    <w:rsid w:val="00D3281B"/>
    <w:rsid w:val="00DD5671"/>
    <w:rsid w:val="00E50CD3"/>
    <w:rsid w:val="00E77241"/>
    <w:rsid w:val="00E86808"/>
    <w:rsid w:val="00E937E9"/>
    <w:rsid w:val="00EA2624"/>
    <w:rsid w:val="00F417D5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3</cp:revision>
  <cp:lastPrinted>2016-03-15T21:57:00Z</cp:lastPrinted>
  <dcterms:created xsi:type="dcterms:W3CDTF">2018-04-03T21:54:00Z</dcterms:created>
  <dcterms:modified xsi:type="dcterms:W3CDTF">2018-04-03T21:56:00Z</dcterms:modified>
</cp:coreProperties>
</file>