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A8" w:rsidRPr="00A729D6" w:rsidRDefault="00042196" w:rsidP="00340D8B">
      <w:pPr>
        <w:pStyle w:val="Header"/>
        <w:tabs>
          <w:tab w:val="clear" w:pos="4320"/>
          <w:tab w:val="clear" w:pos="8640"/>
        </w:tabs>
        <w:spacing w:line="260" w:lineRule="exact"/>
        <w:ind w:left="1440" w:hanging="1440"/>
        <w:rPr>
          <w:rFonts w:ascii="Arial" w:hAnsi="Arial" w:cs="Arial"/>
          <w:b/>
          <w:bCs/>
          <w:kern w:val="0"/>
          <w:sz w:val="22"/>
          <w:szCs w:val="22"/>
        </w:rPr>
      </w:pPr>
      <w:bookmarkStart w:id="0" w:name="_GoBack"/>
      <w:bookmarkEnd w:id="0"/>
      <w:r w:rsidRPr="00A729D6">
        <w:rPr>
          <w:rFonts w:ascii="Arial" w:hAnsi="Arial" w:cs="Arial"/>
          <w:b/>
          <w:bCs/>
          <w:kern w:val="0"/>
          <w:sz w:val="22"/>
          <w:szCs w:val="22"/>
        </w:rPr>
        <w:t>Purpose</w:t>
      </w:r>
      <w:r w:rsidR="004F20BC" w:rsidRPr="00A729D6">
        <w:rPr>
          <w:rFonts w:ascii="Arial" w:hAnsi="Arial" w:cs="Arial"/>
          <w:b/>
          <w:bCs/>
          <w:kern w:val="0"/>
          <w:sz w:val="22"/>
          <w:szCs w:val="22"/>
        </w:rPr>
        <w:t>:</w:t>
      </w:r>
    </w:p>
    <w:p w:rsidR="00042196" w:rsidRPr="00A729D6" w:rsidRDefault="003B0CA8" w:rsidP="00340D8B">
      <w:pPr>
        <w:pStyle w:val="Header"/>
        <w:tabs>
          <w:tab w:val="clear" w:pos="4320"/>
          <w:tab w:val="clear" w:pos="8640"/>
        </w:tabs>
        <w:spacing w:line="260" w:lineRule="exact"/>
        <w:rPr>
          <w:rFonts w:ascii="Arial" w:hAnsi="Arial" w:cs="Arial"/>
          <w:b/>
          <w:kern w:val="0"/>
          <w:sz w:val="22"/>
          <w:szCs w:val="22"/>
        </w:rPr>
      </w:pPr>
      <w:r w:rsidRPr="00A729D6">
        <w:rPr>
          <w:rFonts w:ascii="Arial" w:hAnsi="Arial" w:cs="Arial"/>
          <w:bCs/>
          <w:kern w:val="0"/>
          <w:sz w:val="22"/>
          <w:szCs w:val="22"/>
        </w:rPr>
        <w:t>T</w:t>
      </w:r>
      <w:r w:rsidR="007F2D9F" w:rsidRPr="00A729D6">
        <w:rPr>
          <w:rFonts w:ascii="Arial" w:hAnsi="Arial" w:cs="Arial"/>
          <w:bCs/>
          <w:kern w:val="0"/>
          <w:sz w:val="22"/>
          <w:szCs w:val="22"/>
        </w:rPr>
        <w:t xml:space="preserve">o </w:t>
      </w:r>
      <w:r w:rsidRPr="00A729D6">
        <w:rPr>
          <w:rFonts w:ascii="Arial" w:hAnsi="Arial" w:cs="Arial"/>
          <w:bCs/>
          <w:kern w:val="0"/>
          <w:sz w:val="22"/>
          <w:szCs w:val="22"/>
        </w:rPr>
        <w:t>pro</w:t>
      </w:r>
      <w:r w:rsidR="00603F7B" w:rsidRPr="00A729D6">
        <w:rPr>
          <w:rFonts w:ascii="Arial" w:hAnsi="Arial" w:cs="Arial"/>
          <w:bCs/>
          <w:kern w:val="0"/>
          <w:sz w:val="22"/>
          <w:szCs w:val="22"/>
        </w:rPr>
        <w:t>vide ins</w:t>
      </w:r>
      <w:r w:rsidR="004F20BC" w:rsidRPr="00A729D6">
        <w:rPr>
          <w:rFonts w:ascii="Arial" w:hAnsi="Arial" w:cs="Arial"/>
          <w:bCs/>
          <w:kern w:val="0"/>
          <w:sz w:val="22"/>
          <w:szCs w:val="22"/>
        </w:rPr>
        <w:t xml:space="preserve">tructions for using </w:t>
      </w:r>
      <w:r w:rsidR="007F2D9F" w:rsidRPr="00A729D6">
        <w:rPr>
          <w:rFonts w:ascii="Arial" w:hAnsi="Arial" w:cs="Arial"/>
          <w:bCs/>
          <w:kern w:val="0"/>
          <w:sz w:val="22"/>
          <w:szCs w:val="22"/>
        </w:rPr>
        <w:t xml:space="preserve">the </w:t>
      </w:r>
      <w:r w:rsidR="004F20BC" w:rsidRPr="00A729D6">
        <w:rPr>
          <w:rFonts w:ascii="Arial" w:hAnsi="Arial" w:cs="Arial"/>
          <w:bCs/>
          <w:kern w:val="0"/>
          <w:sz w:val="22"/>
          <w:szCs w:val="22"/>
        </w:rPr>
        <w:t>Blood Product Entry (BPE) function in Sunquest,</w:t>
      </w:r>
      <w:r w:rsidR="00A20BC1" w:rsidRPr="00A729D6">
        <w:rPr>
          <w:rFonts w:ascii="Arial" w:hAnsi="Arial" w:cs="Arial"/>
          <w:bCs/>
          <w:kern w:val="0"/>
          <w:sz w:val="22"/>
          <w:szCs w:val="22"/>
        </w:rPr>
        <w:t xml:space="preserve"> </w:t>
      </w:r>
      <w:r w:rsidR="007F2D9F" w:rsidRPr="00A729D6">
        <w:rPr>
          <w:rFonts w:ascii="Arial" w:hAnsi="Arial" w:cs="Arial"/>
          <w:bCs/>
          <w:kern w:val="0"/>
          <w:sz w:val="22"/>
          <w:szCs w:val="22"/>
        </w:rPr>
        <w:t>which are used to</w:t>
      </w:r>
      <w:r w:rsidR="00A20BC1" w:rsidRPr="00A729D6">
        <w:rPr>
          <w:rFonts w:ascii="Arial" w:hAnsi="Arial" w:cs="Arial"/>
          <w:bCs/>
          <w:kern w:val="0"/>
          <w:sz w:val="22"/>
          <w:szCs w:val="22"/>
        </w:rPr>
        <w:t xml:space="preserve"> receive </w:t>
      </w:r>
      <w:r w:rsidR="004F20BC" w:rsidRPr="00A729D6">
        <w:rPr>
          <w:rFonts w:ascii="Arial" w:hAnsi="Arial" w:cs="Arial"/>
          <w:bCs/>
          <w:kern w:val="0"/>
          <w:sz w:val="22"/>
          <w:szCs w:val="22"/>
        </w:rPr>
        <w:t>blood products</w:t>
      </w:r>
      <w:r w:rsidR="00A20BC1" w:rsidRPr="00A729D6">
        <w:rPr>
          <w:rFonts w:ascii="Arial" w:hAnsi="Arial" w:cs="Arial"/>
          <w:bCs/>
          <w:kern w:val="0"/>
          <w:sz w:val="22"/>
          <w:szCs w:val="22"/>
        </w:rPr>
        <w:t xml:space="preserve"> into Transfusion Service</w:t>
      </w:r>
      <w:r w:rsidR="004F20BC" w:rsidRPr="00A729D6">
        <w:rPr>
          <w:rFonts w:ascii="Arial" w:hAnsi="Arial" w:cs="Arial"/>
          <w:bCs/>
          <w:kern w:val="0"/>
          <w:sz w:val="22"/>
          <w:szCs w:val="22"/>
        </w:rPr>
        <w:t xml:space="preserve"> inventory</w:t>
      </w:r>
      <w:r w:rsidR="00824CE4">
        <w:rPr>
          <w:rFonts w:ascii="Arial" w:hAnsi="Arial" w:cs="Arial"/>
          <w:bCs/>
          <w:kern w:val="0"/>
          <w:sz w:val="22"/>
          <w:szCs w:val="22"/>
        </w:rPr>
        <w:t xml:space="preserve"> and document visual inspection</w:t>
      </w:r>
      <w:r w:rsidR="008C11F2" w:rsidRPr="00A729D6">
        <w:rPr>
          <w:rFonts w:ascii="Arial" w:hAnsi="Arial" w:cs="Arial"/>
          <w:bCs/>
          <w:kern w:val="0"/>
          <w:sz w:val="22"/>
          <w:szCs w:val="22"/>
        </w:rPr>
        <w:t>.</w:t>
      </w:r>
    </w:p>
    <w:p w:rsidR="00042196" w:rsidRPr="00A729D6" w:rsidRDefault="00042196" w:rsidP="00340D8B">
      <w:pPr>
        <w:pStyle w:val="Header"/>
        <w:tabs>
          <w:tab w:val="clear" w:pos="4320"/>
          <w:tab w:val="clear" w:pos="8640"/>
        </w:tabs>
        <w:spacing w:line="260" w:lineRule="exact"/>
        <w:rPr>
          <w:rFonts w:ascii="Arial" w:hAnsi="Arial" w:cs="Arial"/>
          <w:kern w:val="0"/>
          <w:sz w:val="22"/>
          <w:szCs w:val="22"/>
        </w:rPr>
      </w:pPr>
    </w:p>
    <w:p w:rsidR="00BC68FF" w:rsidRPr="00A729D6" w:rsidRDefault="006D428D" w:rsidP="00340D8B">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Method</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110"/>
        <w:gridCol w:w="2160"/>
      </w:tblGrid>
      <w:tr w:rsidR="00E2710B" w:rsidRPr="00A729D6" w:rsidTr="00EE547A">
        <w:tc>
          <w:tcPr>
            <w:tcW w:w="810" w:type="dxa"/>
          </w:tcPr>
          <w:p w:rsidR="00E2710B" w:rsidRPr="00A729D6" w:rsidRDefault="004C3A34" w:rsidP="00A729D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Step</w:t>
            </w:r>
          </w:p>
        </w:tc>
        <w:tc>
          <w:tcPr>
            <w:tcW w:w="7110" w:type="dxa"/>
          </w:tcPr>
          <w:p w:rsidR="00E2710B" w:rsidRPr="00A729D6" w:rsidRDefault="00E2710B" w:rsidP="00A729D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Actions</w:t>
            </w:r>
          </w:p>
        </w:tc>
        <w:tc>
          <w:tcPr>
            <w:tcW w:w="2160" w:type="dxa"/>
          </w:tcPr>
          <w:p w:rsidR="00E2710B" w:rsidRPr="00A729D6" w:rsidRDefault="007C14F4" w:rsidP="00A729D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Related Documents</w:t>
            </w:r>
          </w:p>
        </w:tc>
      </w:tr>
      <w:tr w:rsidR="00111516" w:rsidRPr="00A729D6" w:rsidTr="00EE547A">
        <w:tc>
          <w:tcPr>
            <w:tcW w:w="810" w:type="dxa"/>
          </w:tcPr>
          <w:p w:rsidR="00111516" w:rsidRPr="004930B8" w:rsidRDefault="00111516" w:rsidP="000D7CBB">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1</w:t>
            </w:r>
          </w:p>
        </w:tc>
        <w:tc>
          <w:tcPr>
            <w:tcW w:w="7110" w:type="dxa"/>
          </w:tcPr>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 xml:space="preserve">Unpack Blood Shipment. </w:t>
            </w:r>
          </w:p>
          <w:p w:rsidR="00111516" w:rsidRPr="004930B8" w:rsidRDefault="00111516" w:rsidP="00AC7CF9">
            <w:pPr>
              <w:pStyle w:val="Header"/>
              <w:numPr>
                <w:ilvl w:val="0"/>
                <w:numId w:val="1"/>
              </w:numPr>
              <w:tabs>
                <w:tab w:val="clear" w:pos="4320"/>
                <w:tab w:val="clear" w:pos="8640"/>
              </w:tabs>
              <w:spacing w:line="260" w:lineRule="exact"/>
              <w:ind w:left="720"/>
              <w:rPr>
                <w:rFonts w:ascii="Arial" w:hAnsi="Arial" w:cs="Arial"/>
                <w:bCs/>
                <w:kern w:val="0"/>
                <w:sz w:val="22"/>
                <w:szCs w:val="22"/>
              </w:rPr>
            </w:pPr>
            <w:r w:rsidRPr="004930B8">
              <w:rPr>
                <w:rFonts w:ascii="Arial" w:hAnsi="Arial" w:cs="Arial"/>
                <w:bCs/>
                <w:kern w:val="0"/>
                <w:sz w:val="22"/>
                <w:szCs w:val="22"/>
              </w:rPr>
              <w:t xml:space="preserve">Document any errors or problems with inventory packing list versus what was shipped. </w:t>
            </w:r>
          </w:p>
          <w:p w:rsidR="00111516" w:rsidRPr="004930B8" w:rsidRDefault="00111516" w:rsidP="00AC7CF9">
            <w:pPr>
              <w:pStyle w:val="Header"/>
              <w:numPr>
                <w:ilvl w:val="0"/>
                <w:numId w:val="1"/>
              </w:numPr>
              <w:tabs>
                <w:tab w:val="clear" w:pos="4320"/>
                <w:tab w:val="clear" w:pos="8640"/>
              </w:tabs>
              <w:spacing w:line="260" w:lineRule="exact"/>
              <w:ind w:left="720"/>
              <w:rPr>
                <w:rFonts w:ascii="Arial" w:hAnsi="Arial" w:cs="Arial"/>
                <w:bCs/>
                <w:kern w:val="0"/>
                <w:sz w:val="22"/>
                <w:szCs w:val="22"/>
              </w:rPr>
            </w:pPr>
            <w:r w:rsidRPr="004930B8">
              <w:rPr>
                <w:rFonts w:ascii="Arial" w:hAnsi="Arial" w:cs="Arial"/>
                <w:bCs/>
                <w:kern w:val="0"/>
                <w:sz w:val="22"/>
                <w:szCs w:val="22"/>
              </w:rPr>
              <w:t>Perform Blood Product Inspection.</w:t>
            </w:r>
          </w:p>
          <w:p w:rsidR="00111516" w:rsidRPr="004930B8" w:rsidRDefault="00111516" w:rsidP="00AC7CF9">
            <w:pPr>
              <w:pStyle w:val="Header"/>
              <w:numPr>
                <w:ilvl w:val="0"/>
                <w:numId w:val="1"/>
              </w:numPr>
              <w:tabs>
                <w:tab w:val="clear" w:pos="4320"/>
                <w:tab w:val="clear" w:pos="8640"/>
              </w:tabs>
              <w:spacing w:line="260" w:lineRule="exact"/>
              <w:ind w:left="720"/>
              <w:rPr>
                <w:rFonts w:ascii="Arial" w:hAnsi="Arial" w:cs="Arial"/>
                <w:bCs/>
                <w:kern w:val="0"/>
                <w:sz w:val="22"/>
                <w:szCs w:val="22"/>
              </w:rPr>
            </w:pPr>
            <w:r w:rsidRPr="004930B8">
              <w:rPr>
                <w:rFonts w:ascii="Arial" w:hAnsi="Arial" w:cs="Arial"/>
                <w:bCs/>
                <w:kern w:val="0"/>
                <w:sz w:val="22"/>
                <w:szCs w:val="22"/>
              </w:rPr>
              <w:t>Quarantine any products that do not pass inspection criteria.</w:t>
            </w:r>
          </w:p>
          <w:p w:rsidR="003C26DE" w:rsidRPr="004930B8" w:rsidRDefault="003C26DE" w:rsidP="003C26DE">
            <w:pPr>
              <w:pStyle w:val="Header"/>
              <w:tabs>
                <w:tab w:val="clear" w:pos="4320"/>
                <w:tab w:val="clear" w:pos="8640"/>
              </w:tabs>
              <w:spacing w:line="260" w:lineRule="exact"/>
              <w:rPr>
                <w:rFonts w:ascii="Arial" w:hAnsi="Arial" w:cs="Arial"/>
                <w:b/>
                <w:bCs/>
                <w:i/>
                <w:kern w:val="0"/>
                <w:sz w:val="22"/>
                <w:szCs w:val="22"/>
              </w:rPr>
            </w:pPr>
            <w:r w:rsidRPr="004930B8">
              <w:rPr>
                <w:rFonts w:ascii="Arial" w:hAnsi="Arial" w:cs="Arial"/>
                <w:b/>
                <w:bCs/>
                <w:i/>
                <w:kern w:val="0"/>
                <w:sz w:val="22"/>
                <w:szCs w:val="22"/>
              </w:rPr>
              <w:t>Note: Red Cells and frozen products must not be kept at room temperature for long periods of time. Place units in transport box with appropriate ice until ready to receive in Sunquest</w:t>
            </w:r>
          </w:p>
        </w:tc>
        <w:tc>
          <w:tcPr>
            <w:tcW w:w="2160" w:type="dxa"/>
            <w:vMerge w:val="restart"/>
          </w:tcPr>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 xml:space="preserve">Blood Inspection Policy </w:t>
            </w:r>
          </w:p>
          <w:p w:rsidR="00A729D6" w:rsidRPr="004930B8" w:rsidRDefault="00A729D6" w:rsidP="00A729D6">
            <w:pPr>
              <w:pStyle w:val="Header"/>
              <w:tabs>
                <w:tab w:val="clear" w:pos="4320"/>
                <w:tab w:val="clear" w:pos="8640"/>
              </w:tabs>
              <w:spacing w:line="260" w:lineRule="exact"/>
              <w:ind w:left="360"/>
              <w:rPr>
                <w:rFonts w:ascii="Arial" w:hAnsi="Arial" w:cs="Arial"/>
                <w:bCs/>
                <w:kern w:val="0"/>
                <w:sz w:val="22"/>
                <w:szCs w:val="22"/>
              </w:rPr>
            </w:pPr>
          </w:p>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Visual Inspection of Red Cell Products</w:t>
            </w:r>
          </w:p>
          <w:p w:rsidR="00A729D6" w:rsidRPr="004930B8" w:rsidRDefault="00A729D6" w:rsidP="00A729D6">
            <w:pPr>
              <w:pStyle w:val="Header"/>
              <w:tabs>
                <w:tab w:val="clear" w:pos="4320"/>
                <w:tab w:val="clear" w:pos="8640"/>
              </w:tabs>
              <w:spacing w:line="260" w:lineRule="exact"/>
              <w:rPr>
                <w:rFonts w:ascii="Arial" w:hAnsi="Arial" w:cs="Arial"/>
                <w:bCs/>
                <w:kern w:val="0"/>
                <w:sz w:val="22"/>
                <w:szCs w:val="22"/>
              </w:rPr>
            </w:pPr>
          </w:p>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Visual Inspection of Plasma Products</w:t>
            </w:r>
          </w:p>
          <w:p w:rsidR="00A729D6" w:rsidRPr="004930B8" w:rsidRDefault="00A729D6" w:rsidP="00A729D6">
            <w:pPr>
              <w:pStyle w:val="Header"/>
              <w:tabs>
                <w:tab w:val="clear" w:pos="4320"/>
                <w:tab w:val="clear" w:pos="8640"/>
              </w:tabs>
              <w:spacing w:line="260" w:lineRule="exact"/>
              <w:rPr>
                <w:rFonts w:ascii="Arial" w:hAnsi="Arial" w:cs="Arial"/>
                <w:bCs/>
                <w:kern w:val="0"/>
                <w:sz w:val="22"/>
                <w:szCs w:val="22"/>
              </w:rPr>
            </w:pPr>
          </w:p>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Quarantine of Blood Products</w:t>
            </w:r>
          </w:p>
          <w:p w:rsidR="00A729D6" w:rsidRPr="004930B8" w:rsidRDefault="00A729D6" w:rsidP="00A729D6">
            <w:pPr>
              <w:pStyle w:val="Header"/>
              <w:tabs>
                <w:tab w:val="clear" w:pos="4320"/>
                <w:tab w:val="clear" w:pos="8640"/>
              </w:tabs>
              <w:spacing w:line="260" w:lineRule="exact"/>
              <w:rPr>
                <w:rFonts w:ascii="Arial" w:hAnsi="Arial" w:cs="Arial"/>
                <w:bCs/>
                <w:kern w:val="0"/>
                <w:sz w:val="22"/>
                <w:szCs w:val="22"/>
              </w:rPr>
            </w:pPr>
          </w:p>
          <w:p w:rsidR="00111516" w:rsidRPr="004930B8" w:rsidRDefault="00111516"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Receiving Blood Products into Inventory</w:t>
            </w:r>
          </w:p>
          <w:p w:rsidR="00A729D6" w:rsidRPr="004930B8" w:rsidRDefault="00A729D6" w:rsidP="00A729D6">
            <w:pPr>
              <w:pStyle w:val="Header"/>
              <w:tabs>
                <w:tab w:val="clear" w:pos="4320"/>
                <w:tab w:val="clear" w:pos="8640"/>
              </w:tabs>
              <w:spacing w:line="260" w:lineRule="exact"/>
              <w:rPr>
                <w:rFonts w:ascii="Arial" w:hAnsi="Arial" w:cs="Arial"/>
                <w:bCs/>
                <w:kern w:val="0"/>
                <w:sz w:val="22"/>
                <w:szCs w:val="22"/>
              </w:rPr>
            </w:pPr>
          </w:p>
          <w:p w:rsidR="00111516" w:rsidRPr="00A729D6" w:rsidRDefault="00111516" w:rsidP="00824CE4">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Quarantine of Blood Products</w:t>
            </w:r>
          </w:p>
        </w:tc>
      </w:tr>
      <w:tr w:rsidR="00111516" w:rsidRPr="00A729D6" w:rsidTr="00EE547A">
        <w:tc>
          <w:tcPr>
            <w:tcW w:w="810" w:type="dxa"/>
          </w:tcPr>
          <w:p w:rsidR="00111516" w:rsidRPr="00A729D6" w:rsidRDefault="00111516" w:rsidP="000D7CBB">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2</w:t>
            </w:r>
          </w:p>
        </w:tc>
        <w:tc>
          <w:tcPr>
            <w:tcW w:w="7110" w:type="dxa"/>
          </w:tcPr>
          <w:p w:rsidR="00111516" w:rsidRPr="00A729D6" w:rsidRDefault="00111516" w:rsidP="00A729D6">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Open Blood Product Entry (BPE) in Sunquest.</w:t>
            </w:r>
          </w:p>
          <w:p w:rsidR="00111516" w:rsidRPr="00A729D6" w:rsidRDefault="00111516" w:rsidP="00AC7CF9">
            <w:pPr>
              <w:pStyle w:val="Header"/>
              <w:numPr>
                <w:ilvl w:val="0"/>
                <w:numId w:val="2"/>
              </w:numPr>
              <w:tabs>
                <w:tab w:val="clear" w:pos="4320"/>
                <w:tab w:val="clear" w:pos="8640"/>
              </w:tabs>
              <w:spacing w:line="260" w:lineRule="exact"/>
              <w:ind w:left="720"/>
              <w:rPr>
                <w:rFonts w:ascii="Arial" w:hAnsi="Arial" w:cs="Arial"/>
                <w:bCs/>
                <w:kern w:val="0"/>
                <w:sz w:val="22"/>
                <w:szCs w:val="22"/>
              </w:rPr>
            </w:pPr>
            <w:r w:rsidRPr="00A729D6">
              <w:rPr>
                <w:rFonts w:ascii="Arial" w:hAnsi="Arial" w:cs="Arial"/>
                <w:bCs/>
                <w:kern w:val="0"/>
                <w:sz w:val="22"/>
                <w:szCs w:val="22"/>
              </w:rPr>
              <w:t>If a unit has been in inventory, returned to supplier, and reshipped to us, it will have to be entered using</w:t>
            </w:r>
            <w:r w:rsidR="00A729D6">
              <w:rPr>
                <w:rFonts w:ascii="Arial" w:hAnsi="Arial" w:cs="Arial"/>
                <w:bCs/>
                <w:kern w:val="0"/>
                <w:sz w:val="22"/>
                <w:szCs w:val="22"/>
              </w:rPr>
              <w:t xml:space="preserve"> BSU (Shipped out to Inventory)</w:t>
            </w:r>
            <w:r w:rsidRPr="00A729D6">
              <w:rPr>
                <w:rFonts w:ascii="Arial" w:hAnsi="Arial" w:cs="Arial"/>
                <w:bCs/>
                <w:kern w:val="0"/>
                <w:sz w:val="22"/>
                <w:szCs w:val="22"/>
              </w:rPr>
              <w:t xml:space="preserve"> instead of BPE</w:t>
            </w:r>
          </w:p>
          <w:p w:rsidR="00111516" w:rsidRPr="00A729D6" w:rsidRDefault="00111516" w:rsidP="00AC7CF9">
            <w:pPr>
              <w:pStyle w:val="Header"/>
              <w:numPr>
                <w:ilvl w:val="0"/>
                <w:numId w:val="2"/>
              </w:numPr>
              <w:tabs>
                <w:tab w:val="clear" w:pos="4320"/>
                <w:tab w:val="clear" w:pos="8640"/>
              </w:tabs>
              <w:spacing w:line="260" w:lineRule="exact"/>
              <w:ind w:left="720"/>
              <w:rPr>
                <w:rFonts w:ascii="Arial" w:hAnsi="Arial" w:cs="Arial"/>
                <w:bCs/>
                <w:kern w:val="0"/>
                <w:sz w:val="22"/>
                <w:szCs w:val="22"/>
              </w:rPr>
            </w:pPr>
            <w:r w:rsidRPr="00A729D6">
              <w:rPr>
                <w:rFonts w:ascii="Arial" w:hAnsi="Arial" w:cs="Arial"/>
                <w:b/>
                <w:bCs/>
                <w:kern w:val="0"/>
                <w:sz w:val="22"/>
                <w:szCs w:val="22"/>
              </w:rPr>
              <w:t xml:space="preserve">Scan </w:t>
            </w:r>
            <w:r w:rsidRPr="00A729D6">
              <w:rPr>
                <w:rFonts w:ascii="Arial" w:hAnsi="Arial" w:cs="Arial"/>
                <w:bCs/>
                <w:kern w:val="0"/>
                <w:sz w:val="22"/>
                <w:szCs w:val="22"/>
              </w:rPr>
              <w:t xml:space="preserve">the product label barcodes to enter the unit in this order.  </w:t>
            </w:r>
          </w:p>
          <w:p w:rsidR="00111516" w:rsidRPr="00A729D6" w:rsidRDefault="00111516" w:rsidP="00AC7CF9">
            <w:pPr>
              <w:pStyle w:val="Header"/>
              <w:numPr>
                <w:ilvl w:val="0"/>
                <w:numId w:val="3"/>
              </w:numPr>
              <w:tabs>
                <w:tab w:val="clear" w:pos="4320"/>
                <w:tab w:val="clear" w:pos="8640"/>
              </w:tabs>
              <w:spacing w:line="260" w:lineRule="exact"/>
              <w:ind w:left="1080"/>
              <w:rPr>
                <w:rFonts w:ascii="Arial" w:hAnsi="Arial" w:cs="Arial"/>
                <w:bCs/>
                <w:kern w:val="0"/>
                <w:sz w:val="22"/>
                <w:szCs w:val="22"/>
              </w:rPr>
            </w:pPr>
            <w:r w:rsidRPr="00A729D6">
              <w:rPr>
                <w:rFonts w:ascii="Arial" w:hAnsi="Arial" w:cs="Arial"/>
                <w:bCs/>
                <w:kern w:val="0"/>
                <w:sz w:val="22"/>
                <w:szCs w:val="22"/>
              </w:rPr>
              <w:t>Unit Number</w:t>
            </w:r>
          </w:p>
          <w:p w:rsidR="00111516" w:rsidRPr="00A729D6" w:rsidRDefault="00111516" w:rsidP="00AC7CF9">
            <w:pPr>
              <w:pStyle w:val="Header"/>
              <w:numPr>
                <w:ilvl w:val="0"/>
                <w:numId w:val="6"/>
              </w:numPr>
              <w:tabs>
                <w:tab w:val="clear" w:pos="4320"/>
                <w:tab w:val="clear" w:pos="8640"/>
              </w:tabs>
              <w:spacing w:line="260" w:lineRule="exact"/>
              <w:ind w:left="1440"/>
              <w:rPr>
                <w:rFonts w:ascii="Arial" w:hAnsi="Arial" w:cs="Arial"/>
                <w:bCs/>
                <w:kern w:val="0"/>
                <w:sz w:val="22"/>
                <w:szCs w:val="22"/>
              </w:rPr>
            </w:pPr>
            <w:r w:rsidRPr="00A729D6">
              <w:rPr>
                <w:rFonts w:ascii="Arial" w:hAnsi="Arial" w:cs="Arial"/>
                <w:bCs/>
                <w:kern w:val="0"/>
                <w:sz w:val="22"/>
                <w:szCs w:val="22"/>
              </w:rPr>
              <w:t>If the FIN (Facility Id #) is not recognized by the control files, the Supplier field will be blank.</w:t>
            </w:r>
            <w:r w:rsidR="00A729D6">
              <w:rPr>
                <w:rFonts w:ascii="Arial" w:hAnsi="Arial" w:cs="Arial"/>
                <w:bCs/>
                <w:kern w:val="0"/>
                <w:sz w:val="22"/>
                <w:szCs w:val="22"/>
              </w:rPr>
              <w:t xml:space="preserve"> </w:t>
            </w:r>
            <w:r w:rsidRPr="00A729D6">
              <w:rPr>
                <w:rFonts w:ascii="Arial" w:hAnsi="Arial" w:cs="Arial"/>
                <w:bCs/>
                <w:kern w:val="0"/>
                <w:sz w:val="22"/>
                <w:szCs w:val="22"/>
              </w:rPr>
              <w:t xml:space="preserve">You must then choose OTHER for supplier. </w:t>
            </w:r>
          </w:p>
          <w:p w:rsidR="00111516" w:rsidRPr="00A729D6" w:rsidRDefault="00111516" w:rsidP="00AC7CF9">
            <w:pPr>
              <w:pStyle w:val="Header"/>
              <w:numPr>
                <w:ilvl w:val="0"/>
                <w:numId w:val="3"/>
              </w:numPr>
              <w:tabs>
                <w:tab w:val="clear" w:pos="4320"/>
                <w:tab w:val="clear" w:pos="8640"/>
              </w:tabs>
              <w:spacing w:line="260" w:lineRule="exact"/>
              <w:ind w:left="1080"/>
              <w:rPr>
                <w:rFonts w:ascii="Arial" w:hAnsi="Arial" w:cs="Arial"/>
                <w:bCs/>
                <w:kern w:val="0"/>
                <w:sz w:val="22"/>
                <w:szCs w:val="22"/>
              </w:rPr>
            </w:pPr>
            <w:r w:rsidRPr="00A729D6">
              <w:rPr>
                <w:rFonts w:ascii="Arial" w:hAnsi="Arial" w:cs="Arial"/>
                <w:bCs/>
                <w:kern w:val="0"/>
                <w:sz w:val="22"/>
                <w:szCs w:val="22"/>
              </w:rPr>
              <w:t>Product Type</w:t>
            </w:r>
          </w:p>
          <w:p w:rsidR="00111516" w:rsidRPr="00A729D6" w:rsidRDefault="00111516" w:rsidP="00AC7CF9">
            <w:pPr>
              <w:pStyle w:val="Header"/>
              <w:numPr>
                <w:ilvl w:val="0"/>
                <w:numId w:val="3"/>
              </w:numPr>
              <w:tabs>
                <w:tab w:val="clear" w:pos="4320"/>
                <w:tab w:val="clear" w:pos="8640"/>
              </w:tabs>
              <w:spacing w:line="260" w:lineRule="exact"/>
              <w:ind w:left="1080"/>
              <w:rPr>
                <w:rFonts w:ascii="Arial" w:hAnsi="Arial" w:cs="Arial"/>
                <w:bCs/>
                <w:kern w:val="0"/>
                <w:sz w:val="22"/>
                <w:szCs w:val="22"/>
              </w:rPr>
            </w:pPr>
            <w:r w:rsidRPr="00A729D6">
              <w:rPr>
                <w:rFonts w:ascii="Arial" w:hAnsi="Arial" w:cs="Arial"/>
                <w:bCs/>
                <w:kern w:val="0"/>
                <w:sz w:val="22"/>
                <w:szCs w:val="22"/>
              </w:rPr>
              <w:t>ABO/Rh</w:t>
            </w:r>
          </w:p>
          <w:p w:rsidR="00111516" w:rsidRPr="00A729D6" w:rsidRDefault="00111516" w:rsidP="00AC7CF9">
            <w:pPr>
              <w:pStyle w:val="Header"/>
              <w:numPr>
                <w:ilvl w:val="0"/>
                <w:numId w:val="3"/>
              </w:numPr>
              <w:tabs>
                <w:tab w:val="clear" w:pos="4320"/>
                <w:tab w:val="clear" w:pos="8640"/>
              </w:tabs>
              <w:spacing w:line="260" w:lineRule="exact"/>
              <w:ind w:left="1080"/>
              <w:rPr>
                <w:rFonts w:ascii="Arial" w:hAnsi="Arial" w:cs="Arial"/>
                <w:bCs/>
                <w:kern w:val="0"/>
                <w:sz w:val="22"/>
                <w:szCs w:val="22"/>
              </w:rPr>
            </w:pPr>
            <w:r w:rsidRPr="00A729D6">
              <w:rPr>
                <w:rFonts w:ascii="Arial" w:hAnsi="Arial" w:cs="Arial"/>
                <w:bCs/>
                <w:kern w:val="0"/>
                <w:sz w:val="22"/>
                <w:szCs w:val="22"/>
              </w:rPr>
              <w:t>Expiration Date</w:t>
            </w:r>
          </w:p>
          <w:p w:rsidR="00111516" w:rsidRPr="00A729D6" w:rsidRDefault="00111516" w:rsidP="00AC7CF9">
            <w:pPr>
              <w:pStyle w:val="Header"/>
              <w:numPr>
                <w:ilvl w:val="0"/>
                <w:numId w:val="3"/>
              </w:numPr>
              <w:tabs>
                <w:tab w:val="clear" w:pos="4320"/>
                <w:tab w:val="clear" w:pos="8640"/>
              </w:tabs>
              <w:spacing w:line="260" w:lineRule="exact"/>
              <w:ind w:left="1080"/>
              <w:rPr>
                <w:rFonts w:ascii="Arial" w:hAnsi="Arial" w:cs="Arial"/>
                <w:bCs/>
                <w:kern w:val="0"/>
                <w:sz w:val="22"/>
                <w:szCs w:val="22"/>
              </w:rPr>
            </w:pPr>
            <w:r w:rsidRPr="00A729D6">
              <w:rPr>
                <w:rFonts w:ascii="Arial" w:hAnsi="Arial" w:cs="Arial"/>
                <w:bCs/>
                <w:kern w:val="0"/>
                <w:sz w:val="22"/>
                <w:szCs w:val="22"/>
              </w:rPr>
              <w:t xml:space="preserve">CMV antibody status if indicated on face label </w:t>
            </w:r>
          </w:p>
          <w:p w:rsidR="00111516" w:rsidRPr="00A729D6" w:rsidRDefault="00111516" w:rsidP="00AC7CF9">
            <w:pPr>
              <w:pStyle w:val="Header"/>
              <w:numPr>
                <w:ilvl w:val="0"/>
                <w:numId w:val="4"/>
              </w:numPr>
              <w:tabs>
                <w:tab w:val="clear" w:pos="4320"/>
                <w:tab w:val="clear" w:pos="8640"/>
              </w:tabs>
              <w:spacing w:line="260" w:lineRule="exact"/>
              <w:ind w:left="720"/>
              <w:rPr>
                <w:rFonts w:ascii="Arial" w:hAnsi="Arial" w:cs="Arial"/>
                <w:bCs/>
                <w:kern w:val="0"/>
                <w:sz w:val="22"/>
                <w:szCs w:val="22"/>
              </w:rPr>
            </w:pPr>
            <w:r w:rsidRPr="00A729D6">
              <w:rPr>
                <w:rFonts w:ascii="Arial" w:hAnsi="Arial" w:cs="Arial"/>
                <w:bCs/>
                <w:kern w:val="0"/>
                <w:sz w:val="22"/>
                <w:szCs w:val="22"/>
              </w:rPr>
              <w:t>Each of the above items must be scanned for each product, otherwise the field will auto-fill and default to what was scanned for the previous product.</w:t>
            </w:r>
          </w:p>
          <w:p w:rsidR="00111516" w:rsidRPr="00AA73CF" w:rsidRDefault="00111516" w:rsidP="00AA73CF">
            <w:pPr>
              <w:pStyle w:val="Header"/>
              <w:numPr>
                <w:ilvl w:val="0"/>
                <w:numId w:val="4"/>
              </w:numPr>
              <w:tabs>
                <w:tab w:val="clear" w:pos="4320"/>
                <w:tab w:val="clear" w:pos="8640"/>
              </w:tabs>
              <w:spacing w:line="260" w:lineRule="exact"/>
              <w:ind w:left="720"/>
              <w:rPr>
                <w:rFonts w:ascii="Arial" w:hAnsi="Arial" w:cs="Arial"/>
                <w:bCs/>
                <w:kern w:val="0"/>
                <w:sz w:val="22"/>
                <w:szCs w:val="22"/>
              </w:rPr>
            </w:pPr>
            <w:r w:rsidRPr="00A729D6">
              <w:rPr>
                <w:rFonts w:ascii="Arial" w:hAnsi="Arial" w:cs="Arial"/>
                <w:bCs/>
                <w:kern w:val="0"/>
                <w:sz w:val="22"/>
                <w:szCs w:val="22"/>
              </w:rPr>
              <w:t>Volumes must be entered m</w:t>
            </w:r>
            <w:r w:rsidR="00AA73CF">
              <w:rPr>
                <w:rFonts w:ascii="Arial" w:hAnsi="Arial" w:cs="Arial"/>
                <w:bCs/>
                <w:kern w:val="0"/>
                <w:sz w:val="22"/>
                <w:szCs w:val="22"/>
              </w:rPr>
              <w:t xml:space="preserve">anually for all plasma products </w:t>
            </w:r>
            <w:r w:rsidR="00AA73CF" w:rsidRPr="00AA73CF">
              <w:rPr>
                <w:rFonts w:ascii="Arial" w:hAnsi="Arial" w:cs="Arial"/>
                <w:bCs/>
                <w:kern w:val="0"/>
                <w:sz w:val="22"/>
                <w:szCs w:val="22"/>
                <w:highlight w:val="yellow"/>
              </w:rPr>
              <w:t xml:space="preserve">and apheresis </w:t>
            </w:r>
            <w:r w:rsidRPr="00AA73CF">
              <w:rPr>
                <w:rFonts w:ascii="Arial" w:hAnsi="Arial" w:cs="Arial"/>
                <w:bCs/>
                <w:kern w:val="0"/>
                <w:sz w:val="22"/>
                <w:szCs w:val="22"/>
                <w:highlight w:val="yellow"/>
              </w:rPr>
              <w:t>Red Cells</w:t>
            </w:r>
            <w:r w:rsidR="00AA73CF">
              <w:rPr>
                <w:rFonts w:ascii="Arial" w:hAnsi="Arial" w:cs="Arial"/>
                <w:bCs/>
                <w:kern w:val="0"/>
                <w:sz w:val="22"/>
                <w:szCs w:val="22"/>
              </w:rPr>
              <w:t xml:space="preserve">. </w:t>
            </w:r>
            <w:r w:rsidR="00AA73CF" w:rsidRPr="00AA73CF">
              <w:rPr>
                <w:rFonts w:ascii="Arial" w:hAnsi="Arial" w:cs="Arial"/>
                <w:bCs/>
                <w:kern w:val="0"/>
                <w:sz w:val="22"/>
                <w:szCs w:val="22"/>
                <w:highlight w:val="yellow"/>
              </w:rPr>
              <w:t>Non-apheresis</w:t>
            </w:r>
            <w:r w:rsidR="00AA73CF">
              <w:rPr>
                <w:rFonts w:ascii="Arial" w:hAnsi="Arial" w:cs="Arial"/>
                <w:bCs/>
                <w:kern w:val="0"/>
                <w:sz w:val="22"/>
                <w:szCs w:val="22"/>
              </w:rPr>
              <w:t xml:space="preserve"> Red Cells </w:t>
            </w:r>
            <w:r w:rsidR="00A729D6">
              <w:rPr>
                <w:rFonts w:ascii="Arial" w:hAnsi="Arial" w:cs="Arial"/>
                <w:bCs/>
                <w:kern w:val="0"/>
                <w:sz w:val="22"/>
                <w:szCs w:val="22"/>
              </w:rPr>
              <w:t>autofill with</w:t>
            </w:r>
            <w:r w:rsidRPr="00A729D6">
              <w:rPr>
                <w:rFonts w:ascii="Arial" w:hAnsi="Arial" w:cs="Arial"/>
                <w:bCs/>
                <w:kern w:val="0"/>
                <w:sz w:val="22"/>
                <w:szCs w:val="22"/>
              </w:rPr>
              <w:t xml:space="preserve"> </w:t>
            </w:r>
            <w:r w:rsidR="00A729D6">
              <w:rPr>
                <w:rFonts w:ascii="Arial" w:hAnsi="Arial" w:cs="Arial"/>
                <w:bCs/>
                <w:kern w:val="0"/>
                <w:sz w:val="22"/>
                <w:szCs w:val="22"/>
              </w:rPr>
              <w:t>a</w:t>
            </w:r>
            <w:r w:rsidRPr="00A729D6">
              <w:rPr>
                <w:rFonts w:ascii="Arial" w:hAnsi="Arial" w:cs="Arial"/>
                <w:bCs/>
                <w:kern w:val="0"/>
                <w:sz w:val="22"/>
                <w:szCs w:val="22"/>
              </w:rPr>
              <w:t xml:space="preserve"> default volume</w:t>
            </w:r>
            <w:r w:rsidR="00F61E43" w:rsidRPr="00A729D6">
              <w:rPr>
                <w:rFonts w:ascii="Arial" w:hAnsi="Arial" w:cs="Arial"/>
                <w:bCs/>
                <w:kern w:val="0"/>
                <w:sz w:val="22"/>
                <w:szCs w:val="22"/>
              </w:rPr>
              <w:t xml:space="preserve"> (350 mL)</w:t>
            </w:r>
            <w:r w:rsidRPr="00A729D6">
              <w:rPr>
                <w:rFonts w:ascii="Arial" w:hAnsi="Arial" w:cs="Arial"/>
                <w:bCs/>
                <w:kern w:val="0"/>
                <w:sz w:val="22"/>
                <w:szCs w:val="22"/>
              </w:rPr>
              <w:t>.</w:t>
            </w:r>
          </w:p>
          <w:p w:rsidR="00047936" w:rsidRPr="00047936" w:rsidRDefault="00047936" w:rsidP="00AA73CF">
            <w:pPr>
              <w:pStyle w:val="Header"/>
              <w:numPr>
                <w:ilvl w:val="0"/>
                <w:numId w:val="4"/>
              </w:numPr>
              <w:tabs>
                <w:tab w:val="clear" w:pos="4320"/>
                <w:tab w:val="clear" w:pos="8640"/>
              </w:tabs>
              <w:spacing w:line="260" w:lineRule="exact"/>
              <w:ind w:left="720"/>
              <w:rPr>
                <w:rFonts w:ascii="Arial" w:hAnsi="Arial" w:cs="Arial"/>
                <w:bCs/>
                <w:kern w:val="0"/>
                <w:sz w:val="22"/>
                <w:szCs w:val="22"/>
                <w:highlight w:val="yellow"/>
              </w:rPr>
            </w:pPr>
            <w:r w:rsidRPr="00047936">
              <w:rPr>
                <w:rFonts w:ascii="Arial" w:hAnsi="Arial" w:cs="Arial"/>
                <w:bCs/>
                <w:kern w:val="0"/>
                <w:sz w:val="22"/>
                <w:szCs w:val="22"/>
                <w:highlight w:val="yellow"/>
              </w:rPr>
              <w:t>Result visual inspection using the drop down box.</w:t>
            </w:r>
          </w:p>
          <w:p w:rsidR="00AA73CF" w:rsidRPr="00AA73CF" w:rsidRDefault="00047936" w:rsidP="00047936">
            <w:pPr>
              <w:pStyle w:val="Header"/>
              <w:numPr>
                <w:ilvl w:val="0"/>
                <w:numId w:val="14"/>
              </w:numPr>
              <w:tabs>
                <w:tab w:val="clear" w:pos="4320"/>
                <w:tab w:val="clear" w:pos="8640"/>
              </w:tabs>
              <w:spacing w:line="260" w:lineRule="exact"/>
              <w:ind w:left="1080"/>
              <w:rPr>
                <w:rFonts w:ascii="Arial" w:hAnsi="Arial" w:cs="Arial"/>
                <w:bCs/>
                <w:kern w:val="0"/>
                <w:sz w:val="22"/>
                <w:szCs w:val="22"/>
              </w:rPr>
            </w:pPr>
            <w:r w:rsidRPr="00047936">
              <w:rPr>
                <w:rFonts w:ascii="Arial" w:hAnsi="Arial" w:cs="Arial"/>
                <w:bCs/>
                <w:kern w:val="0"/>
                <w:sz w:val="22"/>
                <w:szCs w:val="22"/>
                <w:highlight w:val="yellow"/>
              </w:rPr>
              <w:t>Failing visual inspection automatically quarantines the unit.</w:t>
            </w:r>
          </w:p>
        </w:tc>
        <w:tc>
          <w:tcPr>
            <w:tcW w:w="2160" w:type="dxa"/>
            <w:vMerge/>
          </w:tcPr>
          <w:p w:rsidR="00111516" w:rsidRPr="00A729D6" w:rsidRDefault="00111516" w:rsidP="000D7CBB">
            <w:pPr>
              <w:pStyle w:val="Header"/>
              <w:tabs>
                <w:tab w:val="clear" w:pos="4320"/>
                <w:tab w:val="clear" w:pos="8640"/>
              </w:tabs>
              <w:spacing w:line="260" w:lineRule="exact"/>
              <w:rPr>
                <w:rFonts w:ascii="Arial" w:hAnsi="Arial" w:cs="Arial"/>
                <w:bCs/>
                <w:kern w:val="0"/>
                <w:sz w:val="22"/>
                <w:szCs w:val="22"/>
              </w:rPr>
            </w:pPr>
          </w:p>
        </w:tc>
      </w:tr>
    </w:tbl>
    <w:p w:rsidR="00F61E43" w:rsidRPr="00A729D6" w:rsidRDefault="00F61E43">
      <w:pPr>
        <w:rPr>
          <w:rFonts w:cs="Arial"/>
          <w:sz w:val="22"/>
          <w:szCs w:val="22"/>
        </w:rPr>
      </w:pPr>
    </w:p>
    <w:p w:rsidR="00F61E43" w:rsidRPr="00A729D6" w:rsidRDefault="00F61E43">
      <w:pPr>
        <w:rPr>
          <w:rFonts w:cs="Arial"/>
          <w:sz w:val="22"/>
          <w:szCs w:val="22"/>
        </w:rPr>
      </w:pPr>
    </w:p>
    <w:p w:rsidR="00EE547A" w:rsidRDefault="00EE547A">
      <w:pPr>
        <w:rPr>
          <w:rFonts w:cs="Arial"/>
          <w:sz w:val="22"/>
          <w:szCs w:val="22"/>
        </w:rPr>
      </w:pP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110"/>
        <w:gridCol w:w="2160"/>
      </w:tblGrid>
      <w:tr w:rsidR="00F61E43" w:rsidRPr="00A729D6" w:rsidTr="00EE547A">
        <w:tc>
          <w:tcPr>
            <w:tcW w:w="810" w:type="dxa"/>
          </w:tcPr>
          <w:p w:rsidR="00F61E43" w:rsidRPr="00A729D6" w:rsidRDefault="00F61E43" w:rsidP="0043258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lastRenderedPageBreak/>
              <w:t>Step</w:t>
            </w:r>
          </w:p>
        </w:tc>
        <w:tc>
          <w:tcPr>
            <w:tcW w:w="7110" w:type="dxa"/>
          </w:tcPr>
          <w:p w:rsidR="00F61E43" w:rsidRPr="00A729D6" w:rsidRDefault="00F61E43" w:rsidP="0043258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Actions</w:t>
            </w:r>
          </w:p>
        </w:tc>
        <w:tc>
          <w:tcPr>
            <w:tcW w:w="2160" w:type="dxa"/>
          </w:tcPr>
          <w:p w:rsidR="00F61E43" w:rsidRPr="00A729D6" w:rsidRDefault="00F61E43" w:rsidP="00432586">
            <w:pPr>
              <w:pStyle w:val="Header"/>
              <w:tabs>
                <w:tab w:val="clear" w:pos="4320"/>
                <w:tab w:val="clear" w:pos="8640"/>
              </w:tabs>
              <w:spacing w:line="260" w:lineRule="exact"/>
              <w:rPr>
                <w:rFonts w:ascii="Arial" w:hAnsi="Arial" w:cs="Arial"/>
                <w:b/>
                <w:bCs/>
                <w:kern w:val="0"/>
                <w:sz w:val="22"/>
                <w:szCs w:val="22"/>
              </w:rPr>
            </w:pPr>
            <w:r w:rsidRPr="00A729D6">
              <w:rPr>
                <w:rFonts w:ascii="Arial" w:hAnsi="Arial" w:cs="Arial"/>
                <w:b/>
                <w:bCs/>
                <w:kern w:val="0"/>
                <w:sz w:val="22"/>
                <w:szCs w:val="22"/>
              </w:rPr>
              <w:t>Related Documents</w:t>
            </w:r>
          </w:p>
        </w:tc>
      </w:tr>
      <w:tr w:rsidR="007623EC" w:rsidRPr="00A729D6" w:rsidTr="00EE547A">
        <w:tc>
          <w:tcPr>
            <w:tcW w:w="810" w:type="dxa"/>
            <w:shd w:val="clear" w:color="auto" w:fill="auto"/>
          </w:tcPr>
          <w:p w:rsidR="007623EC" w:rsidRPr="004930B8" w:rsidRDefault="007623EC" w:rsidP="00AF3707">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3</w:t>
            </w:r>
          </w:p>
        </w:tc>
        <w:tc>
          <w:tcPr>
            <w:tcW w:w="7110" w:type="dxa"/>
            <w:shd w:val="clear" w:color="auto" w:fill="auto"/>
          </w:tcPr>
          <w:p w:rsidR="007623EC" w:rsidRPr="004930B8" w:rsidRDefault="007623EC"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Review entry and add additional information:</w:t>
            </w:r>
          </w:p>
          <w:p w:rsidR="007623EC" w:rsidRPr="004930B8" w:rsidRDefault="007623EC" w:rsidP="00AC7CF9">
            <w:pPr>
              <w:pStyle w:val="Header"/>
              <w:numPr>
                <w:ilvl w:val="0"/>
                <w:numId w:val="7"/>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Attributes: fill from scanning the Product type</w:t>
            </w:r>
          </w:p>
          <w:p w:rsidR="00EA2437" w:rsidRPr="004930B8" w:rsidRDefault="00A729D6" w:rsidP="00AC7CF9">
            <w:pPr>
              <w:pStyle w:val="Header"/>
              <w:numPr>
                <w:ilvl w:val="0"/>
                <w:numId w:val="7"/>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Ag/Ab/Attributes tab</w:t>
            </w:r>
            <w:r w:rsidR="00920763" w:rsidRPr="004930B8">
              <w:rPr>
                <w:rFonts w:ascii="Arial" w:hAnsi="Arial" w:cs="Arial"/>
                <w:bCs/>
                <w:kern w:val="0"/>
                <w:sz w:val="22"/>
                <w:szCs w:val="22"/>
              </w:rPr>
              <w:t xml:space="preserve"> </w:t>
            </w:r>
          </w:p>
          <w:p w:rsidR="00920763" w:rsidRPr="004930B8" w:rsidRDefault="00945D3B" w:rsidP="00AC7CF9">
            <w:pPr>
              <w:pStyle w:val="Header"/>
              <w:numPr>
                <w:ilvl w:val="1"/>
                <w:numId w:val="7"/>
              </w:numPr>
              <w:tabs>
                <w:tab w:val="clear" w:pos="4320"/>
                <w:tab w:val="clear" w:pos="8640"/>
              </w:tabs>
              <w:spacing w:line="260" w:lineRule="exact"/>
              <w:ind w:left="1080"/>
              <w:rPr>
                <w:rFonts w:ascii="Arial" w:hAnsi="Arial" w:cs="Arial"/>
                <w:bCs/>
                <w:kern w:val="0"/>
                <w:sz w:val="22"/>
                <w:szCs w:val="22"/>
              </w:rPr>
            </w:pPr>
            <w:r w:rsidRPr="004930B8">
              <w:rPr>
                <w:rFonts w:ascii="Arial" w:hAnsi="Arial" w:cs="Arial"/>
                <w:bCs/>
                <w:kern w:val="0"/>
                <w:sz w:val="22"/>
                <w:szCs w:val="22"/>
              </w:rPr>
              <w:t xml:space="preserve">Low Titer Plasma: </w:t>
            </w:r>
            <w:r w:rsidR="00920763" w:rsidRPr="004930B8">
              <w:rPr>
                <w:rFonts w:ascii="Arial" w:hAnsi="Arial" w:cs="Arial"/>
                <w:bCs/>
                <w:kern w:val="0"/>
                <w:sz w:val="22"/>
                <w:szCs w:val="22"/>
              </w:rPr>
              <w:t>when plasma labeled by blood supplier as Low Titer Plasma:</w:t>
            </w:r>
          </w:p>
          <w:p w:rsidR="00945D3B" w:rsidRPr="004930B8" w:rsidRDefault="00920763" w:rsidP="00945D3B">
            <w:pPr>
              <w:pStyle w:val="Header"/>
              <w:numPr>
                <w:ilvl w:val="2"/>
                <w:numId w:val="9"/>
              </w:numPr>
              <w:tabs>
                <w:tab w:val="clear" w:pos="4320"/>
                <w:tab w:val="clear" w:pos="8640"/>
              </w:tabs>
              <w:spacing w:line="260" w:lineRule="exact"/>
              <w:ind w:left="1440"/>
              <w:rPr>
                <w:rFonts w:ascii="Arial" w:hAnsi="Arial" w:cs="Arial"/>
                <w:bCs/>
                <w:kern w:val="0"/>
                <w:sz w:val="22"/>
                <w:szCs w:val="22"/>
              </w:rPr>
            </w:pPr>
            <w:r w:rsidRPr="004930B8">
              <w:rPr>
                <w:rFonts w:ascii="Arial" w:hAnsi="Arial" w:cs="Arial"/>
                <w:bCs/>
                <w:kern w:val="0"/>
                <w:sz w:val="22"/>
                <w:szCs w:val="22"/>
              </w:rPr>
              <w:t xml:space="preserve">Enter “LTP” </w:t>
            </w:r>
            <w:r w:rsidR="00A729D6" w:rsidRPr="004930B8">
              <w:rPr>
                <w:rFonts w:ascii="Arial" w:hAnsi="Arial" w:cs="Arial"/>
                <w:bCs/>
                <w:kern w:val="0"/>
                <w:sz w:val="22"/>
                <w:szCs w:val="22"/>
              </w:rPr>
              <w:t>in Antigen/Antibody field</w:t>
            </w:r>
          </w:p>
          <w:p w:rsidR="00945D3B" w:rsidRPr="004930B8" w:rsidRDefault="00945D3B" w:rsidP="00945D3B">
            <w:pPr>
              <w:pStyle w:val="Header"/>
              <w:numPr>
                <w:ilvl w:val="0"/>
                <w:numId w:val="13"/>
              </w:numPr>
              <w:tabs>
                <w:tab w:val="clear" w:pos="4320"/>
                <w:tab w:val="clear" w:pos="8640"/>
              </w:tabs>
              <w:spacing w:line="260" w:lineRule="exact"/>
              <w:ind w:left="1080"/>
              <w:rPr>
                <w:rFonts w:ascii="Arial" w:hAnsi="Arial" w:cs="Arial"/>
                <w:bCs/>
                <w:kern w:val="0"/>
                <w:sz w:val="22"/>
                <w:szCs w:val="22"/>
              </w:rPr>
            </w:pPr>
            <w:r w:rsidRPr="004930B8">
              <w:rPr>
                <w:rFonts w:ascii="Arial" w:hAnsi="Arial" w:cs="Arial"/>
                <w:bCs/>
                <w:kern w:val="0"/>
                <w:sz w:val="22"/>
                <w:szCs w:val="22"/>
              </w:rPr>
              <w:t>Low Titer Platelets: when platelet labeled by blood supplier as Low Titer Platelet:</w:t>
            </w:r>
          </w:p>
          <w:p w:rsidR="00945D3B" w:rsidRPr="004930B8" w:rsidRDefault="00945D3B" w:rsidP="00945D3B">
            <w:pPr>
              <w:pStyle w:val="Header"/>
              <w:numPr>
                <w:ilvl w:val="2"/>
                <w:numId w:val="9"/>
              </w:numPr>
              <w:tabs>
                <w:tab w:val="clear" w:pos="4320"/>
                <w:tab w:val="clear" w:pos="8640"/>
              </w:tabs>
              <w:spacing w:line="260" w:lineRule="exact"/>
              <w:ind w:left="1440"/>
              <w:rPr>
                <w:rFonts w:ascii="Arial" w:hAnsi="Arial" w:cs="Arial"/>
                <w:bCs/>
                <w:kern w:val="0"/>
                <w:sz w:val="22"/>
                <w:szCs w:val="22"/>
              </w:rPr>
            </w:pPr>
            <w:r w:rsidRPr="004930B8">
              <w:rPr>
                <w:rFonts w:ascii="Arial" w:hAnsi="Arial" w:cs="Arial"/>
                <w:bCs/>
                <w:kern w:val="0"/>
                <w:sz w:val="22"/>
                <w:szCs w:val="22"/>
              </w:rPr>
              <w:t>Enter “LTPLT” in Antigen/Antibody field</w:t>
            </w:r>
          </w:p>
          <w:p w:rsidR="004578BC" w:rsidRPr="004930B8" w:rsidRDefault="00945D3B" w:rsidP="00AC7CF9">
            <w:pPr>
              <w:pStyle w:val="Header"/>
              <w:numPr>
                <w:ilvl w:val="0"/>
                <w:numId w:val="7"/>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 xml:space="preserve">Antigens: </w:t>
            </w:r>
            <w:r w:rsidR="007623EC" w:rsidRPr="004930B8">
              <w:rPr>
                <w:rFonts w:ascii="Arial" w:hAnsi="Arial" w:cs="Arial"/>
                <w:bCs/>
                <w:kern w:val="0"/>
                <w:sz w:val="22"/>
                <w:szCs w:val="22"/>
              </w:rPr>
              <w:t>CMV will fill from scanning the CMV barcode.</w:t>
            </w:r>
          </w:p>
          <w:p w:rsidR="007623EC" w:rsidRPr="004930B8" w:rsidRDefault="007623EC" w:rsidP="00AC7CF9">
            <w:pPr>
              <w:pStyle w:val="Header"/>
              <w:numPr>
                <w:ilvl w:val="0"/>
                <w:numId w:val="7"/>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Additional antigen r</w:t>
            </w:r>
            <w:r w:rsidR="00E471CB" w:rsidRPr="004930B8">
              <w:rPr>
                <w:rFonts w:ascii="Arial" w:hAnsi="Arial" w:cs="Arial"/>
                <w:bCs/>
                <w:kern w:val="0"/>
                <w:sz w:val="22"/>
                <w:szCs w:val="22"/>
              </w:rPr>
              <w:t>esults should be entered by an MLS</w:t>
            </w:r>
            <w:r w:rsidRPr="004930B8">
              <w:rPr>
                <w:rFonts w:ascii="Arial" w:hAnsi="Arial" w:cs="Arial"/>
                <w:bCs/>
                <w:kern w:val="0"/>
                <w:sz w:val="22"/>
                <w:szCs w:val="22"/>
              </w:rPr>
              <w:t xml:space="preserve"> Tech</w:t>
            </w:r>
          </w:p>
          <w:p w:rsidR="007623EC" w:rsidRPr="004930B8" w:rsidRDefault="00945D3B" w:rsidP="00AC7CF9">
            <w:pPr>
              <w:pStyle w:val="Header"/>
              <w:numPr>
                <w:ilvl w:val="0"/>
                <w:numId w:val="7"/>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Comments:</w:t>
            </w:r>
            <w:r w:rsidR="007623EC" w:rsidRPr="004930B8">
              <w:rPr>
                <w:rFonts w:ascii="Arial" w:hAnsi="Arial" w:cs="Arial"/>
                <w:bCs/>
                <w:kern w:val="0"/>
                <w:sz w:val="22"/>
                <w:szCs w:val="22"/>
              </w:rPr>
              <w:t xml:space="preserve"> If OTHER is used as the supplier, enter the Collection Facility name</w:t>
            </w:r>
          </w:p>
          <w:p w:rsidR="007623EC" w:rsidRPr="004930B8" w:rsidRDefault="007623EC" w:rsidP="00AC7CF9">
            <w:pPr>
              <w:pStyle w:val="Header"/>
              <w:numPr>
                <w:ilvl w:val="0"/>
                <w:numId w:val="4"/>
              </w:numPr>
              <w:tabs>
                <w:tab w:val="clear" w:pos="4320"/>
                <w:tab w:val="clear" w:pos="8640"/>
              </w:tabs>
              <w:spacing w:line="260" w:lineRule="exact"/>
              <w:ind w:left="720"/>
              <w:rPr>
                <w:rFonts w:ascii="Arial" w:hAnsi="Arial" w:cs="Arial"/>
                <w:bCs/>
                <w:kern w:val="0"/>
                <w:sz w:val="22"/>
                <w:szCs w:val="22"/>
              </w:rPr>
            </w:pPr>
            <w:r w:rsidRPr="004930B8">
              <w:rPr>
                <w:rFonts w:ascii="Arial" w:hAnsi="Arial" w:cs="Arial"/>
                <w:bCs/>
                <w:kern w:val="0"/>
                <w:sz w:val="22"/>
                <w:szCs w:val="22"/>
              </w:rPr>
              <w:t>Perform the visual inspection for each unit, (This will be documented in the BPT function after all the products in the shipment are scanned in.)</w:t>
            </w:r>
          </w:p>
          <w:p w:rsidR="007623EC" w:rsidRPr="004930B8" w:rsidRDefault="007623EC" w:rsidP="00AC7CF9">
            <w:pPr>
              <w:pStyle w:val="Header"/>
              <w:numPr>
                <w:ilvl w:val="0"/>
                <w:numId w:val="4"/>
              </w:numPr>
              <w:tabs>
                <w:tab w:val="clear" w:pos="4320"/>
                <w:tab w:val="clear" w:pos="8640"/>
              </w:tabs>
              <w:spacing w:line="260" w:lineRule="exact"/>
              <w:ind w:left="720"/>
              <w:rPr>
                <w:rFonts w:ascii="Arial" w:hAnsi="Arial" w:cs="Arial"/>
                <w:bCs/>
                <w:kern w:val="0"/>
                <w:sz w:val="22"/>
                <w:szCs w:val="22"/>
              </w:rPr>
            </w:pPr>
            <w:r w:rsidRPr="004930B8">
              <w:rPr>
                <w:rFonts w:ascii="Arial" w:hAnsi="Arial" w:cs="Arial"/>
                <w:bCs/>
                <w:kern w:val="0"/>
                <w:sz w:val="22"/>
                <w:szCs w:val="22"/>
              </w:rPr>
              <w:t>Enter “add” or alt D to create</w:t>
            </w:r>
            <w:r w:rsidR="00F61E43" w:rsidRPr="004930B8">
              <w:rPr>
                <w:rFonts w:ascii="Arial" w:hAnsi="Arial" w:cs="Arial"/>
                <w:bCs/>
                <w:kern w:val="0"/>
                <w:sz w:val="22"/>
                <w:szCs w:val="22"/>
              </w:rPr>
              <w:t xml:space="preserve"> a list on the right side of the screen</w:t>
            </w:r>
            <w:r w:rsidRPr="004930B8">
              <w:rPr>
                <w:rFonts w:ascii="Arial" w:hAnsi="Arial" w:cs="Arial"/>
                <w:bCs/>
                <w:kern w:val="0"/>
                <w:sz w:val="22"/>
                <w:szCs w:val="22"/>
              </w:rPr>
              <w:t xml:space="preserve">. </w:t>
            </w:r>
          </w:p>
          <w:p w:rsidR="007623EC" w:rsidRPr="004930B8" w:rsidRDefault="007623EC" w:rsidP="00AC7CF9">
            <w:pPr>
              <w:pStyle w:val="Header"/>
              <w:numPr>
                <w:ilvl w:val="0"/>
                <w:numId w:val="8"/>
              </w:numPr>
              <w:tabs>
                <w:tab w:val="clear" w:pos="4320"/>
                <w:tab w:val="clear" w:pos="8640"/>
              </w:tabs>
              <w:spacing w:line="260" w:lineRule="exact"/>
              <w:ind w:left="1080"/>
              <w:rPr>
                <w:rFonts w:ascii="Arial" w:hAnsi="Arial" w:cs="Arial"/>
                <w:bCs/>
                <w:i/>
                <w:kern w:val="0"/>
                <w:sz w:val="22"/>
                <w:szCs w:val="22"/>
              </w:rPr>
            </w:pPr>
            <w:r w:rsidRPr="004930B8">
              <w:rPr>
                <w:rFonts w:ascii="Arial" w:hAnsi="Arial" w:cs="Arial"/>
                <w:bCs/>
                <w:i/>
                <w:kern w:val="0"/>
                <w:sz w:val="22"/>
                <w:szCs w:val="22"/>
              </w:rPr>
              <w:t>Fields will empty except for Received Date and Time</w:t>
            </w:r>
          </w:p>
          <w:p w:rsidR="007623EC" w:rsidRPr="004930B8" w:rsidRDefault="007623EC"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Each consecutive unit is added onto the list by repeati</w:t>
            </w:r>
            <w:r w:rsidR="00F61E43" w:rsidRPr="004930B8">
              <w:rPr>
                <w:rFonts w:ascii="Arial" w:hAnsi="Arial" w:cs="Arial"/>
                <w:bCs/>
                <w:kern w:val="0"/>
                <w:sz w:val="22"/>
                <w:szCs w:val="22"/>
              </w:rPr>
              <w:t>ng the scan and “add” or alt D.</w:t>
            </w:r>
          </w:p>
        </w:tc>
        <w:tc>
          <w:tcPr>
            <w:tcW w:w="2160" w:type="dxa"/>
            <w:shd w:val="clear" w:color="auto" w:fill="auto"/>
          </w:tcPr>
          <w:p w:rsidR="007623EC" w:rsidRPr="004930B8" w:rsidRDefault="004578BC" w:rsidP="000D7CBB">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Receiving and Processing Liquid Plasma</w:t>
            </w:r>
          </w:p>
          <w:p w:rsidR="00A729D6" w:rsidRPr="004930B8" w:rsidRDefault="00A729D6" w:rsidP="000D7CBB">
            <w:pPr>
              <w:pStyle w:val="Header"/>
              <w:tabs>
                <w:tab w:val="clear" w:pos="4320"/>
                <w:tab w:val="clear" w:pos="8640"/>
              </w:tabs>
              <w:spacing w:line="260" w:lineRule="exact"/>
              <w:rPr>
                <w:rFonts w:ascii="Arial" w:hAnsi="Arial" w:cs="Arial"/>
                <w:bCs/>
                <w:kern w:val="0"/>
                <w:sz w:val="22"/>
                <w:szCs w:val="22"/>
              </w:rPr>
            </w:pPr>
          </w:p>
          <w:p w:rsidR="00A729D6" w:rsidRPr="004930B8" w:rsidRDefault="00A729D6" w:rsidP="000D7CBB">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Receiving and Processing Low Titer Plasma</w:t>
            </w:r>
          </w:p>
          <w:p w:rsidR="00945D3B" w:rsidRPr="004930B8" w:rsidRDefault="00945D3B" w:rsidP="000D7CBB">
            <w:pPr>
              <w:pStyle w:val="Header"/>
              <w:tabs>
                <w:tab w:val="clear" w:pos="4320"/>
                <w:tab w:val="clear" w:pos="8640"/>
              </w:tabs>
              <w:spacing w:line="260" w:lineRule="exact"/>
              <w:rPr>
                <w:rFonts w:ascii="Arial" w:hAnsi="Arial" w:cs="Arial"/>
                <w:bCs/>
                <w:kern w:val="0"/>
                <w:sz w:val="22"/>
                <w:szCs w:val="22"/>
              </w:rPr>
            </w:pPr>
          </w:p>
          <w:p w:rsidR="00945D3B" w:rsidRPr="004930B8" w:rsidRDefault="00945D3B" w:rsidP="000D7CBB">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Receiving and Processing Low Titer Platelets</w:t>
            </w:r>
          </w:p>
        </w:tc>
      </w:tr>
      <w:tr w:rsidR="00E2710B" w:rsidRPr="00A729D6" w:rsidTr="00824CE4">
        <w:trPr>
          <w:trHeight w:val="289"/>
        </w:trPr>
        <w:tc>
          <w:tcPr>
            <w:tcW w:w="810" w:type="dxa"/>
          </w:tcPr>
          <w:p w:rsidR="00E2710B" w:rsidRPr="00A729D6" w:rsidRDefault="001F0DD8" w:rsidP="000D7CBB">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4</w:t>
            </w:r>
          </w:p>
        </w:tc>
        <w:tc>
          <w:tcPr>
            <w:tcW w:w="7110" w:type="dxa"/>
          </w:tcPr>
          <w:p w:rsidR="00426D2B" w:rsidRPr="00FB221B" w:rsidRDefault="00F61E43" w:rsidP="00824CE4">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 xml:space="preserve">When </w:t>
            </w:r>
            <w:r w:rsidR="00F5171B" w:rsidRPr="00A729D6">
              <w:rPr>
                <w:rFonts w:ascii="Arial" w:hAnsi="Arial" w:cs="Arial"/>
                <w:bCs/>
                <w:kern w:val="0"/>
                <w:sz w:val="22"/>
                <w:szCs w:val="22"/>
              </w:rPr>
              <w:t>list is complete, Select SAVE or ALT S.</w:t>
            </w:r>
          </w:p>
        </w:tc>
        <w:tc>
          <w:tcPr>
            <w:tcW w:w="2160" w:type="dxa"/>
          </w:tcPr>
          <w:p w:rsidR="00BB2679" w:rsidRPr="0007540D" w:rsidRDefault="00BB2679" w:rsidP="00945D3B">
            <w:pPr>
              <w:pStyle w:val="Header"/>
              <w:tabs>
                <w:tab w:val="clear" w:pos="4320"/>
                <w:tab w:val="clear" w:pos="8640"/>
              </w:tabs>
              <w:spacing w:line="260" w:lineRule="exact"/>
              <w:rPr>
                <w:rFonts w:ascii="Arial" w:hAnsi="Arial" w:cs="Arial"/>
                <w:bCs/>
                <w:strike/>
                <w:kern w:val="0"/>
                <w:sz w:val="22"/>
                <w:szCs w:val="22"/>
              </w:rPr>
            </w:pPr>
          </w:p>
        </w:tc>
      </w:tr>
      <w:tr w:rsidR="007623EC" w:rsidRPr="00A729D6" w:rsidTr="00EE547A">
        <w:tc>
          <w:tcPr>
            <w:tcW w:w="810" w:type="dxa"/>
          </w:tcPr>
          <w:p w:rsidR="007623EC" w:rsidRPr="004930B8" w:rsidRDefault="007623EC" w:rsidP="000D7CBB">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5</w:t>
            </w:r>
          </w:p>
        </w:tc>
        <w:tc>
          <w:tcPr>
            <w:tcW w:w="7110" w:type="dxa"/>
          </w:tcPr>
          <w:p w:rsidR="007623EC" w:rsidRPr="004930B8" w:rsidRDefault="007623EC"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Store products per Blood Storage Policy</w:t>
            </w:r>
          </w:p>
          <w:p w:rsidR="00A337AB" w:rsidRPr="004930B8" w:rsidRDefault="00A337AB" w:rsidP="00A337AB">
            <w:pPr>
              <w:pStyle w:val="Header"/>
              <w:numPr>
                <w:ilvl w:val="0"/>
                <w:numId w:val="10"/>
              </w:numP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Place “Do Not Refrigerate” sticker on platelets</w:t>
            </w:r>
          </w:p>
        </w:tc>
        <w:tc>
          <w:tcPr>
            <w:tcW w:w="2160" w:type="dxa"/>
          </w:tcPr>
          <w:p w:rsidR="007623EC" w:rsidRPr="00A729D6" w:rsidRDefault="007623EC"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Blood Product Storage Policy</w:t>
            </w:r>
          </w:p>
        </w:tc>
      </w:tr>
      <w:tr w:rsidR="007D5584" w:rsidRPr="00A729D6" w:rsidTr="00EE547A">
        <w:tc>
          <w:tcPr>
            <w:tcW w:w="810" w:type="dxa"/>
          </w:tcPr>
          <w:p w:rsidR="007D5584" w:rsidRPr="004930B8" w:rsidRDefault="00824CE4" w:rsidP="00512C24">
            <w:pPr>
              <w:pStyle w:val="Header"/>
              <w:tabs>
                <w:tab w:val="clear" w:pos="4320"/>
                <w:tab w:val="clear" w:pos="8640"/>
              </w:tabs>
              <w:spacing w:line="260" w:lineRule="exact"/>
              <w:rPr>
                <w:rFonts w:ascii="Arial" w:hAnsi="Arial" w:cs="Arial"/>
                <w:bCs/>
                <w:kern w:val="0"/>
                <w:sz w:val="22"/>
                <w:szCs w:val="22"/>
              </w:rPr>
            </w:pPr>
            <w:r>
              <w:rPr>
                <w:rFonts w:ascii="Arial" w:hAnsi="Arial" w:cs="Arial"/>
                <w:bCs/>
                <w:kern w:val="0"/>
                <w:sz w:val="22"/>
                <w:szCs w:val="22"/>
              </w:rPr>
              <w:t>6</w:t>
            </w:r>
          </w:p>
        </w:tc>
        <w:tc>
          <w:tcPr>
            <w:tcW w:w="7110" w:type="dxa"/>
          </w:tcPr>
          <w:p w:rsidR="007D5584" w:rsidRPr="004930B8" w:rsidRDefault="008C11F2"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 xml:space="preserve">Place all Red Cell Products or Granulocyte products in appropriate monitored storage to </w:t>
            </w:r>
            <w:proofErr w:type="gramStart"/>
            <w:r w:rsidRPr="004930B8">
              <w:rPr>
                <w:rFonts w:ascii="Arial" w:hAnsi="Arial" w:cs="Arial"/>
                <w:bCs/>
                <w:kern w:val="0"/>
                <w:sz w:val="22"/>
                <w:szCs w:val="22"/>
              </w:rPr>
              <w:t>await</w:t>
            </w:r>
            <w:proofErr w:type="gramEnd"/>
            <w:r w:rsidRPr="004930B8">
              <w:rPr>
                <w:rFonts w:ascii="Arial" w:hAnsi="Arial" w:cs="Arial"/>
                <w:bCs/>
                <w:kern w:val="0"/>
                <w:sz w:val="22"/>
                <w:szCs w:val="22"/>
              </w:rPr>
              <w:t xml:space="preserve"> type confirmation testing.</w:t>
            </w:r>
          </w:p>
        </w:tc>
        <w:tc>
          <w:tcPr>
            <w:tcW w:w="2160" w:type="dxa"/>
          </w:tcPr>
          <w:p w:rsidR="007D5584" w:rsidRPr="004930B8" w:rsidRDefault="008C11F2"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Blood Storage Policy</w:t>
            </w:r>
          </w:p>
          <w:p w:rsidR="00A337AB" w:rsidRPr="004930B8" w:rsidRDefault="00A337AB" w:rsidP="00A729D6">
            <w:pPr>
              <w:pStyle w:val="Header"/>
              <w:tabs>
                <w:tab w:val="clear" w:pos="4320"/>
                <w:tab w:val="clear" w:pos="8640"/>
              </w:tabs>
              <w:spacing w:line="260" w:lineRule="exact"/>
              <w:rPr>
                <w:rFonts w:ascii="Arial" w:hAnsi="Arial" w:cs="Arial"/>
                <w:bCs/>
                <w:kern w:val="0"/>
                <w:sz w:val="22"/>
                <w:szCs w:val="22"/>
              </w:rPr>
            </w:pPr>
          </w:p>
          <w:p w:rsidR="00A337AB" w:rsidRPr="004930B8" w:rsidRDefault="00A337AB"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Unit Type Confirmation Using Tube Method</w:t>
            </w:r>
          </w:p>
          <w:p w:rsidR="00A337AB" w:rsidRPr="004930B8" w:rsidRDefault="00A337AB" w:rsidP="00A729D6">
            <w:pPr>
              <w:pStyle w:val="Header"/>
              <w:tabs>
                <w:tab w:val="clear" w:pos="4320"/>
                <w:tab w:val="clear" w:pos="8640"/>
              </w:tabs>
              <w:spacing w:line="260" w:lineRule="exact"/>
              <w:rPr>
                <w:rFonts w:ascii="Arial" w:hAnsi="Arial" w:cs="Arial"/>
                <w:bCs/>
                <w:kern w:val="0"/>
                <w:sz w:val="22"/>
                <w:szCs w:val="22"/>
              </w:rPr>
            </w:pPr>
          </w:p>
          <w:p w:rsidR="00A337AB" w:rsidRPr="00A729D6" w:rsidRDefault="00A337AB" w:rsidP="00A729D6">
            <w:pPr>
              <w:pStyle w:val="Header"/>
              <w:tabs>
                <w:tab w:val="clear" w:pos="4320"/>
                <w:tab w:val="clear" w:pos="8640"/>
              </w:tabs>
              <w:spacing w:line="260" w:lineRule="exact"/>
              <w:rPr>
                <w:rFonts w:ascii="Arial" w:hAnsi="Arial" w:cs="Arial"/>
                <w:bCs/>
                <w:kern w:val="0"/>
                <w:sz w:val="22"/>
                <w:szCs w:val="22"/>
              </w:rPr>
            </w:pPr>
            <w:r w:rsidRPr="004930B8">
              <w:rPr>
                <w:rFonts w:ascii="Arial" w:hAnsi="Arial" w:cs="Arial"/>
                <w:bCs/>
                <w:kern w:val="0"/>
                <w:sz w:val="22"/>
                <w:szCs w:val="22"/>
              </w:rPr>
              <w:t>TANGO Patient and Donor Sample Requirements and Preparation</w:t>
            </w:r>
            <w:r>
              <w:rPr>
                <w:rFonts w:ascii="Arial" w:hAnsi="Arial" w:cs="Arial"/>
                <w:bCs/>
                <w:kern w:val="0"/>
                <w:sz w:val="22"/>
                <w:szCs w:val="22"/>
              </w:rPr>
              <w:t xml:space="preserve"> </w:t>
            </w:r>
          </w:p>
        </w:tc>
      </w:tr>
      <w:tr w:rsidR="008C11F2" w:rsidRPr="00A729D6" w:rsidTr="00EE547A">
        <w:trPr>
          <w:trHeight w:val="334"/>
        </w:trPr>
        <w:tc>
          <w:tcPr>
            <w:tcW w:w="810" w:type="dxa"/>
          </w:tcPr>
          <w:p w:rsidR="008C11F2" w:rsidRPr="00A729D6" w:rsidRDefault="00824CE4" w:rsidP="00512C24">
            <w:pPr>
              <w:pStyle w:val="Header"/>
              <w:tabs>
                <w:tab w:val="clear" w:pos="4320"/>
                <w:tab w:val="clear" w:pos="8640"/>
              </w:tabs>
              <w:spacing w:line="260" w:lineRule="exact"/>
              <w:rPr>
                <w:rFonts w:ascii="Arial" w:hAnsi="Arial" w:cs="Arial"/>
                <w:bCs/>
                <w:kern w:val="0"/>
                <w:sz w:val="22"/>
                <w:szCs w:val="22"/>
              </w:rPr>
            </w:pPr>
            <w:r>
              <w:rPr>
                <w:rFonts w:ascii="Arial" w:hAnsi="Arial" w:cs="Arial"/>
                <w:bCs/>
                <w:kern w:val="0"/>
                <w:sz w:val="22"/>
                <w:szCs w:val="22"/>
              </w:rPr>
              <w:t>7</w:t>
            </w:r>
          </w:p>
        </w:tc>
        <w:tc>
          <w:tcPr>
            <w:tcW w:w="7110" w:type="dxa"/>
          </w:tcPr>
          <w:p w:rsidR="008C11F2" w:rsidRPr="00A729D6" w:rsidRDefault="008C11F2" w:rsidP="00A729D6">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Place all plasma products in appropriate monitored storage.</w:t>
            </w:r>
          </w:p>
        </w:tc>
        <w:tc>
          <w:tcPr>
            <w:tcW w:w="2160" w:type="dxa"/>
          </w:tcPr>
          <w:p w:rsidR="008C11F2" w:rsidRPr="00A729D6" w:rsidRDefault="008C11F2" w:rsidP="00A729D6">
            <w:pPr>
              <w:pStyle w:val="Header"/>
              <w:tabs>
                <w:tab w:val="clear" w:pos="4320"/>
                <w:tab w:val="clear" w:pos="8640"/>
              </w:tabs>
              <w:spacing w:line="260" w:lineRule="exact"/>
              <w:rPr>
                <w:rFonts w:ascii="Arial" w:hAnsi="Arial" w:cs="Arial"/>
                <w:bCs/>
                <w:kern w:val="0"/>
                <w:sz w:val="22"/>
                <w:szCs w:val="22"/>
              </w:rPr>
            </w:pPr>
            <w:r w:rsidRPr="00A729D6">
              <w:rPr>
                <w:rFonts w:ascii="Arial" w:hAnsi="Arial" w:cs="Arial"/>
                <w:bCs/>
                <w:kern w:val="0"/>
                <w:sz w:val="22"/>
                <w:szCs w:val="22"/>
              </w:rPr>
              <w:t>Blood Storage Policy</w:t>
            </w:r>
          </w:p>
        </w:tc>
      </w:tr>
    </w:tbl>
    <w:p w:rsidR="00426D2B" w:rsidRPr="00A729D6" w:rsidRDefault="00426D2B">
      <w:pPr>
        <w:rPr>
          <w:rFonts w:cs="Arial"/>
          <w:b/>
          <w:sz w:val="22"/>
          <w:szCs w:val="22"/>
        </w:rPr>
      </w:pPr>
    </w:p>
    <w:p w:rsidR="00426D2B" w:rsidRPr="00A729D6" w:rsidRDefault="00426D2B">
      <w:pPr>
        <w:rPr>
          <w:rFonts w:cs="Arial"/>
          <w:b/>
          <w:sz w:val="22"/>
          <w:szCs w:val="22"/>
        </w:rPr>
      </w:pPr>
    </w:p>
    <w:p w:rsidR="008C11F2" w:rsidRPr="00A729D6" w:rsidRDefault="00BB2679">
      <w:pPr>
        <w:rPr>
          <w:rFonts w:cs="Arial"/>
          <w:b/>
          <w:sz w:val="22"/>
          <w:szCs w:val="22"/>
        </w:rPr>
      </w:pPr>
      <w:r w:rsidRPr="00A729D6">
        <w:rPr>
          <w:rFonts w:cs="Arial"/>
          <w:b/>
          <w:sz w:val="22"/>
          <w:szCs w:val="22"/>
        </w:rPr>
        <w:t>References</w:t>
      </w:r>
    </w:p>
    <w:p w:rsidR="00426D2B" w:rsidRPr="00A729D6" w:rsidRDefault="00426D2B">
      <w:pPr>
        <w:rPr>
          <w:rFonts w:cs="Arial"/>
          <w:sz w:val="22"/>
          <w:szCs w:val="22"/>
        </w:rPr>
      </w:pPr>
    </w:p>
    <w:p w:rsidR="00A46F27" w:rsidRPr="00A46F27" w:rsidRDefault="00A46F27" w:rsidP="00A46F27">
      <w:pPr>
        <w:rPr>
          <w:rFonts w:cs="Arial"/>
          <w:sz w:val="22"/>
          <w:szCs w:val="22"/>
          <w:lang w:val="en-CA"/>
        </w:rPr>
      </w:pPr>
      <w:proofErr w:type="gramStart"/>
      <w:r w:rsidRPr="00A46F27">
        <w:rPr>
          <w:rFonts w:cs="Arial"/>
          <w:sz w:val="22"/>
          <w:szCs w:val="22"/>
          <w:lang w:val="en-CA"/>
        </w:rPr>
        <w:t>Standards for Blood Banks and Transfusion Services, Current Edition.</w:t>
      </w:r>
      <w:proofErr w:type="gramEnd"/>
      <w:r w:rsidRPr="00A46F27">
        <w:rPr>
          <w:rFonts w:cs="Arial"/>
          <w:sz w:val="22"/>
          <w:szCs w:val="22"/>
          <w:lang w:val="en-CA"/>
        </w:rPr>
        <w:t xml:space="preserve"> American Association of Blood Banks, AABB Press, Bethesda MD</w:t>
      </w:r>
    </w:p>
    <w:p w:rsidR="00426D2B" w:rsidRPr="00A729D6" w:rsidRDefault="00426D2B">
      <w:pPr>
        <w:rPr>
          <w:rFonts w:cs="Arial"/>
          <w:sz w:val="22"/>
          <w:szCs w:val="22"/>
        </w:rPr>
      </w:pPr>
    </w:p>
    <w:p w:rsidR="008C11F2" w:rsidRPr="00A729D6" w:rsidRDefault="00512C24" w:rsidP="008C11F2">
      <w:pPr>
        <w:rPr>
          <w:rFonts w:cs="Arial"/>
          <w:sz w:val="22"/>
          <w:szCs w:val="22"/>
        </w:rPr>
      </w:pPr>
      <w:r w:rsidRPr="00A729D6">
        <w:rPr>
          <w:rFonts w:cs="Arial"/>
          <w:sz w:val="22"/>
          <w:szCs w:val="22"/>
        </w:rPr>
        <w:t xml:space="preserve">Blood Bank User’s Guide, Misys Laboratory, </w:t>
      </w:r>
      <w:proofErr w:type="gramStart"/>
      <w:r w:rsidRPr="00A729D6">
        <w:rPr>
          <w:rFonts w:cs="Arial"/>
          <w:sz w:val="22"/>
          <w:szCs w:val="22"/>
        </w:rPr>
        <w:t>version</w:t>
      </w:r>
      <w:proofErr w:type="gramEnd"/>
      <w:r w:rsidRPr="00A729D6">
        <w:rPr>
          <w:rFonts w:cs="Arial"/>
          <w:sz w:val="22"/>
          <w:szCs w:val="22"/>
        </w:rPr>
        <w:t xml:space="preserve"> </w:t>
      </w:r>
      <w:r w:rsidR="00824CE4" w:rsidRPr="00824CE4">
        <w:rPr>
          <w:rFonts w:cs="Arial"/>
          <w:sz w:val="22"/>
          <w:szCs w:val="22"/>
          <w:highlight w:val="yellow"/>
        </w:rPr>
        <w:t>8.1</w:t>
      </w:r>
    </w:p>
    <w:sectPr w:rsidR="008C11F2" w:rsidRPr="00A729D6" w:rsidSect="00A729D6">
      <w:headerReference w:type="default" r:id="rId9"/>
      <w:footerReference w:type="default" r:id="rId10"/>
      <w:headerReference w:type="first" r:id="rId11"/>
      <w:pgSz w:w="12240" w:h="15840"/>
      <w:pgMar w:top="107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66" w:rsidRDefault="00161066" w:rsidP="00E539F9">
      <w:r>
        <w:separator/>
      </w:r>
    </w:p>
  </w:endnote>
  <w:endnote w:type="continuationSeparator" w:id="0">
    <w:p w:rsidR="00161066" w:rsidRDefault="00161066"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52" w:rsidRDefault="005E0C52">
    <w:pPr>
      <w:pStyle w:val="Footer"/>
      <w:jc w:val="right"/>
    </w:pPr>
    <w:r>
      <w:t xml:space="preserve">Page </w:t>
    </w:r>
    <w:r>
      <w:rPr>
        <w:b/>
      </w:rPr>
      <w:fldChar w:fldCharType="begin"/>
    </w:r>
    <w:r>
      <w:rPr>
        <w:b/>
      </w:rPr>
      <w:instrText xml:space="preserve"> PAGE </w:instrText>
    </w:r>
    <w:r>
      <w:rPr>
        <w:b/>
      </w:rPr>
      <w:fldChar w:fldCharType="separate"/>
    </w:r>
    <w:r w:rsidR="00FC23B8">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C23B8">
      <w:rPr>
        <w:b/>
        <w:noProof/>
      </w:rPr>
      <w:t>2</w:t>
    </w:r>
    <w:r>
      <w:rPr>
        <w:b/>
      </w:rPr>
      <w:fldChar w:fldCharType="end"/>
    </w:r>
  </w:p>
  <w:p w:rsidR="005E0C52" w:rsidRPr="00512C24" w:rsidRDefault="005E0C52">
    <w:pPr>
      <w:pStyle w:val="Footer"/>
      <w:rPr>
        <w:sz w:val="22"/>
        <w:szCs w:val="22"/>
      </w:rPr>
    </w:pPr>
    <w:r w:rsidRPr="00512C24">
      <w:rPr>
        <w:sz w:val="22"/>
        <w:szCs w:val="22"/>
      </w:rPr>
      <w:t>Transfusion Services Laboratory</w:t>
    </w:r>
  </w:p>
  <w:p w:rsidR="005E0C52" w:rsidRPr="00512C24" w:rsidRDefault="005E0C52">
    <w:pPr>
      <w:pStyle w:val="Footer"/>
      <w:rPr>
        <w:sz w:val="22"/>
        <w:szCs w:val="22"/>
      </w:rPr>
    </w:pPr>
    <w:r w:rsidRPr="00512C24">
      <w:rPr>
        <w:sz w:val="22"/>
        <w:szCs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66" w:rsidRDefault="00161066" w:rsidP="00E539F9">
      <w:r>
        <w:separator/>
      </w:r>
    </w:p>
  </w:footnote>
  <w:footnote w:type="continuationSeparator" w:id="0">
    <w:p w:rsidR="00161066" w:rsidRDefault="00161066"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52" w:rsidRPr="00111516" w:rsidRDefault="00B067E1">
    <w:pPr>
      <w:pStyle w:val="Header"/>
      <w:rPr>
        <w:rFonts w:ascii="Arial" w:hAnsi="Arial" w:cs="Arial"/>
        <w:b/>
        <w:sz w:val="22"/>
        <w:szCs w:val="22"/>
      </w:rPr>
    </w:pPr>
    <w:r>
      <w:rPr>
        <w:rFonts w:ascii="Arial" w:hAnsi="Arial" w:cs="Arial"/>
        <w:b/>
        <w:sz w:val="22"/>
        <w:szCs w:val="22"/>
      </w:rPr>
      <w:t>Sunquest:</w:t>
    </w:r>
    <w:r w:rsidR="00111516" w:rsidRPr="00111516">
      <w:rPr>
        <w:rFonts w:ascii="Arial" w:hAnsi="Arial" w:cs="Arial"/>
        <w:b/>
        <w:sz w:val="22"/>
        <w:szCs w:val="22"/>
      </w:rPr>
      <w:t xml:space="preserve"> </w:t>
    </w:r>
    <w:r w:rsidR="005E0C52" w:rsidRPr="00111516">
      <w:rPr>
        <w:rFonts w:ascii="Arial" w:hAnsi="Arial" w:cs="Arial"/>
        <w:b/>
        <w:sz w:val="22"/>
        <w:szCs w:val="22"/>
      </w:rPr>
      <w:t>Blood Product Entry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52" w:rsidRPr="00340D8B" w:rsidRDefault="007D2418" w:rsidP="00B9666C">
    <w:pPr>
      <w:ind w:left="-360"/>
      <w:jc w:val="both"/>
      <w:rPr>
        <w:rFonts w:ascii="Times New Roman" w:eastAsia="Times New Roman" w:hAnsi="Times New Roman"/>
        <w:szCs w:val="20"/>
        <w:lang w:bidi="ar-SA"/>
      </w:rPr>
    </w:pPr>
    <w:r>
      <w:rPr>
        <w:rFonts w:ascii="Verdana" w:eastAsia="Times New Roman" w:hAnsi="Verdana"/>
        <w:noProof/>
        <w:color w:val="0082D9"/>
        <w:sz w:val="17"/>
        <w:szCs w:val="17"/>
        <w:lang w:bidi="ar-SA"/>
      </w:rPr>
      <w:drawing>
        <wp:inline distT="0" distB="0" distL="0" distR="0" wp14:anchorId="586198E1" wp14:editId="3332CF20">
          <wp:extent cx="6400800" cy="67310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731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5E0C52" w:rsidRPr="00D37883" w:rsidTr="0096783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5E0C52" w:rsidRPr="00D37883" w:rsidRDefault="005E0C52" w:rsidP="00340D8B">
          <w:pPr>
            <w:rPr>
              <w:rFonts w:eastAsia="Times New Roman" w:cs="Arial"/>
              <w:b/>
              <w:lang w:bidi="ar-SA"/>
            </w:rPr>
          </w:pPr>
          <w:r w:rsidRPr="00D37883">
            <w:rPr>
              <w:rFonts w:eastAsia="Times New Roman" w:cs="Arial"/>
              <w:b/>
              <w:sz w:val="22"/>
              <w:szCs w:val="22"/>
              <w:lang w:bidi="ar-SA"/>
            </w:rPr>
            <w:t xml:space="preserve">University of Washington, </w:t>
          </w:r>
        </w:p>
        <w:p w:rsidR="005E0C52" w:rsidRPr="00D37883" w:rsidRDefault="005E0C52" w:rsidP="00340D8B">
          <w:pPr>
            <w:rPr>
              <w:rFonts w:eastAsia="Times New Roman" w:cs="Arial"/>
              <w:b/>
              <w:lang w:bidi="ar-SA"/>
            </w:rPr>
          </w:pPr>
          <w:r w:rsidRPr="00D37883">
            <w:rPr>
              <w:rFonts w:eastAsia="Times New Roman" w:cs="Arial"/>
              <w:b/>
              <w:sz w:val="22"/>
              <w:szCs w:val="22"/>
              <w:lang w:bidi="ar-SA"/>
            </w:rPr>
            <w:t>Harborview Medical Center</w:t>
          </w:r>
        </w:p>
        <w:p w:rsidR="005E0C52" w:rsidRPr="00D37883" w:rsidRDefault="005E0C52" w:rsidP="00340D8B">
          <w:pPr>
            <w:rPr>
              <w:rFonts w:eastAsia="Times New Roman" w:cs="Arial"/>
              <w:b/>
              <w:lang w:bidi="ar-SA"/>
            </w:rPr>
          </w:pPr>
          <w:r w:rsidRPr="00D37883">
            <w:rPr>
              <w:rFonts w:eastAsia="Times New Roman" w:cs="Arial"/>
              <w:b/>
              <w:sz w:val="22"/>
              <w:szCs w:val="22"/>
              <w:lang w:bidi="ar-SA"/>
            </w:rPr>
            <w:t>325 9</w:t>
          </w:r>
          <w:r w:rsidRPr="00D37883">
            <w:rPr>
              <w:rFonts w:eastAsia="Times New Roman" w:cs="Arial"/>
              <w:b/>
              <w:sz w:val="22"/>
              <w:szCs w:val="22"/>
              <w:vertAlign w:val="superscript"/>
              <w:lang w:bidi="ar-SA"/>
            </w:rPr>
            <w:t>th</w:t>
          </w:r>
          <w:r w:rsidRPr="00D37883">
            <w:rPr>
              <w:rFonts w:eastAsia="Times New Roman" w:cs="Arial"/>
              <w:b/>
              <w:sz w:val="22"/>
              <w:szCs w:val="22"/>
              <w:lang w:bidi="ar-SA"/>
            </w:rPr>
            <w:t xml:space="preserve"> Ave. Seattle, WA,  98104</w:t>
          </w:r>
        </w:p>
        <w:p w:rsidR="005E0C52" w:rsidRPr="00D37883" w:rsidRDefault="005E0C52" w:rsidP="00340D8B">
          <w:pPr>
            <w:rPr>
              <w:rFonts w:eastAsia="Times New Roman" w:cs="Arial"/>
              <w:b/>
              <w:lang w:bidi="ar-SA"/>
            </w:rPr>
          </w:pPr>
          <w:r w:rsidRPr="00D37883">
            <w:rPr>
              <w:rFonts w:eastAsia="Times New Roman" w:cs="Arial"/>
              <w:b/>
              <w:sz w:val="22"/>
              <w:szCs w:val="22"/>
              <w:lang w:bidi="ar-SA"/>
            </w:rPr>
            <w:t>Transfusion Services Laboratory</w:t>
          </w:r>
        </w:p>
        <w:p w:rsidR="005E0C52" w:rsidRPr="00D37883" w:rsidRDefault="005E0C52" w:rsidP="00340D8B">
          <w:pPr>
            <w:rPr>
              <w:rFonts w:eastAsia="Times New Roman" w:cs="Arial"/>
              <w:b/>
              <w:lang w:bidi="ar-SA"/>
            </w:rPr>
          </w:pPr>
          <w:r w:rsidRPr="00D37883">
            <w:rPr>
              <w:rFonts w:eastAsia="Times New Roman"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5E0C52" w:rsidRPr="00D37883" w:rsidRDefault="005E0C52" w:rsidP="00340D8B">
          <w:pPr>
            <w:rPr>
              <w:rFonts w:eastAsia="Times New Roman" w:cs="Arial"/>
              <w:b/>
              <w:lang w:bidi="ar-SA"/>
            </w:rPr>
          </w:pPr>
          <w:r w:rsidRPr="00D37883">
            <w:rPr>
              <w:rFonts w:eastAsia="Times New Roman" w:cs="Arial"/>
              <w:b/>
              <w:sz w:val="22"/>
              <w:szCs w:val="22"/>
              <w:lang w:bidi="ar-SA"/>
            </w:rPr>
            <w:t>Original Effective Date:</w:t>
          </w:r>
        </w:p>
        <w:p w:rsidR="005E0C52" w:rsidRPr="00D37883" w:rsidRDefault="005E0C52" w:rsidP="008E18F5">
          <w:pPr>
            <w:jc w:val="both"/>
            <w:rPr>
              <w:rFonts w:eastAsia="Times New Roman" w:cs="Arial"/>
              <w:lang w:bidi="ar-SA"/>
            </w:rPr>
          </w:pPr>
          <w:r w:rsidRPr="00D37883">
            <w:rPr>
              <w:rFonts w:eastAsia="Times New Roman" w:cs="Arial"/>
              <w:sz w:val="22"/>
              <w:szCs w:val="22"/>
              <w:lang w:bidi="ar-SA"/>
            </w:rPr>
            <w:t xml:space="preserve"> April 1</w:t>
          </w:r>
          <w:r w:rsidRPr="00D37883">
            <w:rPr>
              <w:rFonts w:eastAsia="Times New Roman" w:cs="Arial"/>
              <w:sz w:val="22"/>
              <w:szCs w:val="22"/>
              <w:vertAlign w:val="superscript"/>
              <w:lang w:bidi="ar-SA"/>
            </w:rPr>
            <w:t>st</w:t>
          </w:r>
          <w:r w:rsidRPr="00D37883">
            <w:rPr>
              <w:rFonts w:eastAsia="Times New Roman" w:cs="Arial"/>
              <w:sz w:val="22"/>
              <w:szCs w:val="22"/>
              <w:lang w:bidi="ar-SA"/>
            </w:rPr>
            <w:t xml:space="preserve"> 2011</w:t>
          </w:r>
        </w:p>
      </w:tc>
      <w:tc>
        <w:tcPr>
          <w:tcW w:w="2251" w:type="dxa"/>
          <w:tcBorders>
            <w:top w:val="double" w:sz="4" w:space="0" w:color="auto"/>
            <w:left w:val="nil"/>
            <w:bottom w:val="nil"/>
          </w:tcBorders>
        </w:tcPr>
        <w:p w:rsidR="005E0C52" w:rsidRPr="00D37883" w:rsidRDefault="005E0C52" w:rsidP="00340D8B">
          <w:pPr>
            <w:jc w:val="both"/>
            <w:rPr>
              <w:rFonts w:eastAsia="Times New Roman" w:cs="Arial"/>
              <w:b/>
              <w:lang w:bidi="ar-SA"/>
            </w:rPr>
          </w:pPr>
          <w:r w:rsidRPr="00D37883">
            <w:rPr>
              <w:rFonts w:eastAsia="Times New Roman" w:cs="Arial"/>
              <w:b/>
              <w:sz w:val="22"/>
              <w:szCs w:val="22"/>
              <w:lang w:bidi="ar-SA"/>
            </w:rPr>
            <w:t xml:space="preserve">Number: </w:t>
          </w:r>
        </w:p>
        <w:p w:rsidR="005E0C52" w:rsidRPr="00D37883" w:rsidRDefault="005E0C52" w:rsidP="00236974">
          <w:pPr>
            <w:jc w:val="both"/>
            <w:rPr>
              <w:rFonts w:eastAsia="Times New Roman" w:cs="Arial"/>
              <w:b/>
              <w:sz w:val="22"/>
              <w:szCs w:val="22"/>
              <w:lang w:bidi="ar-SA"/>
            </w:rPr>
          </w:pPr>
          <w:r w:rsidRPr="00D37883">
            <w:rPr>
              <w:rFonts w:eastAsia="Times New Roman" w:cs="Arial"/>
              <w:b/>
              <w:sz w:val="22"/>
              <w:szCs w:val="22"/>
              <w:lang w:bidi="ar-SA"/>
            </w:rPr>
            <w:t>5808-</w:t>
          </w:r>
          <w:r w:rsidR="00FC23B8">
            <w:rPr>
              <w:rFonts w:eastAsia="Times New Roman" w:cs="Arial"/>
              <w:b/>
              <w:sz w:val="22"/>
              <w:szCs w:val="22"/>
              <w:lang w:bidi="ar-SA"/>
            </w:rPr>
            <w:t>8</w:t>
          </w:r>
        </w:p>
      </w:tc>
    </w:tr>
    <w:tr w:rsidR="005E0C52" w:rsidRPr="00D37883" w:rsidTr="0096783A">
      <w:trPr>
        <w:cantSplit/>
        <w:trHeight w:val="132"/>
        <w:jc w:val="center"/>
      </w:trPr>
      <w:tc>
        <w:tcPr>
          <w:tcW w:w="5175" w:type="dxa"/>
          <w:vMerge/>
          <w:tcBorders>
            <w:top w:val="nil"/>
            <w:bottom w:val="single" w:sz="4" w:space="0" w:color="auto"/>
            <w:right w:val="single" w:sz="4" w:space="0" w:color="auto"/>
          </w:tcBorders>
        </w:tcPr>
        <w:p w:rsidR="005E0C52" w:rsidRPr="00D37883" w:rsidRDefault="005E0C52" w:rsidP="00340D8B">
          <w:pPr>
            <w:rPr>
              <w:rFonts w:eastAsia="Times New Roman" w:cs="Arial"/>
              <w:b/>
              <w:lang w:bidi="ar-SA"/>
            </w:rPr>
          </w:pPr>
        </w:p>
      </w:tc>
      <w:tc>
        <w:tcPr>
          <w:tcW w:w="2747" w:type="dxa"/>
          <w:tcBorders>
            <w:top w:val="single" w:sz="4" w:space="0" w:color="auto"/>
            <w:left w:val="nil"/>
            <w:bottom w:val="single" w:sz="4" w:space="0" w:color="auto"/>
            <w:right w:val="single" w:sz="4" w:space="0" w:color="auto"/>
          </w:tcBorders>
        </w:tcPr>
        <w:p w:rsidR="005E0C52" w:rsidRPr="00D37883" w:rsidRDefault="005E0C52" w:rsidP="00340D8B">
          <w:pPr>
            <w:jc w:val="both"/>
            <w:rPr>
              <w:rFonts w:eastAsia="Times New Roman" w:cs="Arial"/>
              <w:b/>
              <w:lang w:bidi="ar-SA"/>
            </w:rPr>
          </w:pPr>
          <w:r w:rsidRPr="00D37883">
            <w:rPr>
              <w:rFonts w:eastAsia="Times New Roman" w:cs="Arial"/>
              <w:b/>
              <w:sz w:val="22"/>
              <w:szCs w:val="22"/>
              <w:lang w:bidi="ar-SA"/>
            </w:rPr>
            <w:t>Revision Effective Date:</w:t>
          </w:r>
        </w:p>
        <w:p w:rsidR="005E0C52" w:rsidRPr="00D37883" w:rsidRDefault="00FC23B8" w:rsidP="001540F6">
          <w:pPr>
            <w:jc w:val="both"/>
            <w:rPr>
              <w:rFonts w:eastAsia="Times New Roman" w:cs="Arial"/>
              <w:sz w:val="22"/>
              <w:szCs w:val="22"/>
              <w:lang w:bidi="ar-SA"/>
            </w:rPr>
          </w:pPr>
          <w:r>
            <w:rPr>
              <w:rFonts w:eastAsia="Times New Roman" w:cs="Arial"/>
              <w:sz w:val="22"/>
              <w:szCs w:val="22"/>
              <w:lang w:bidi="ar-SA"/>
            </w:rPr>
            <w:t>4/22/18</w:t>
          </w:r>
        </w:p>
      </w:tc>
      <w:tc>
        <w:tcPr>
          <w:tcW w:w="2251" w:type="dxa"/>
          <w:tcBorders>
            <w:top w:val="single" w:sz="4" w:space="0" w:color="auto"/>
            <w:left w:val="nil"/>
            <w:bottom w:val="single" w:sz="4" w:space="0" w:color="auto"/>
          </w:tcBorders>
        </w:tcPr>
        <w:p w:rsidR="005E0C52" w:rsidRPr="00D37883" w:rsidRDefault="005E0C52" w:rsidP="00EA35CC">
          <w:pPr>
            <w:jc w:val="both"/>
            <w:rPr>
              <w:rFonts w:eastAsia="Times New Roman" w:cs="Arial"/>
              <w:sz w:val="22"/>
              <w:szCs w:val="22"/>
              <w:lang w:bidi="ar-SA"/>
            </w:rPr>
          </w:pPr>
          <w:r w:rsidRPr="00D37883">
            <w:rPr>
              <w:rFonts w:eastAsia="Times New Roman" w:cs="Arial"/>
              <w:b/>
              <w:sz w:val="22"/>
              <w:szCs w:val="22"/>
              <w:lang w:bidi="ar-SA"/>
            </w:rPr>
            <w:t xml:space="preserve">Pages: </w:t>
          </w:r>
        </w:p>
        <w:p w:rsidR="00EA35CC" w:rsidRPr="00D37883" w:rsidRDefault="00A337AB" w:rsidP="00EA35CC">
          <w:pPr>
            <w:jc w:val="both"/>
            <w:rPr>
              <w:rFonts w:eastAsia="Times New Roman" w:cs="Arial"/>
              <w:b/>
              <w:lang w:bidi="ar-SA"/>
            </w:rPr>
          </w:pPr>
          <w:r>
            <w:rPr>
              <w:rFonts w:eastAsia="Times New Roman" w:cs="Arial"/>
              <w:b/>
              <w:sz w:val="22"/>
              <w:szCs w:val="22"/>
              <w:lang w:bidi="ar-SA"/>
            </w:rPr>
            <w:t>3</w:t>
          </w:r>
        </w:p>
      </w:tc>
    </w:tr>
    <w:tr w:rsidR="005E0C52" w:rsidRPr="000D7CBB" w:rsidTr="0096783A">
      <w:trPr>
        <w:cantSplit/>
        <w:trHeight w:val="590"/>
        <w:jc w:val="center"/>
      </w:trPr>
      <w:tc>
        <w:tcPr>
          <w:tcW w:w="10173" w:type="dxa"/>
          <w:gridSpan w:val="3"/>
          <w:tcBorders>
            <w:top w:val="nil"/>
          </w:tcBorders>
          <w:vAlign w:val="center"/>
        </w:tcPr>
        <w:p w:rsidR="005E0C52" w:rsidRPr="008C11F2" w:rsidRDefault="005E0C52" w:rsidP="00B067E1">
          <w:pPr>
            <w:rPr>
              <w:rFonts w:eastAsia="Times New Roman" w:cs="Arial"/>
              <w:b/>
              <w:lang w:bidi="ar-SA"/>
            </w:rPr>
          </w:pPr>
          <w:r w:rsidRPr="00D37883">
            <w:rPr>
              <w:rFonts w:eastAsia="Times New Roman" w:cs="Arial"/>
              <w:b/>
              <w:lang w:bidi="ar-SA"/>
            </w:rPr>
            <w:t xml:space="preserve">TITLE:  </w:t>
          </w:r>
          <w:r w:rsidR="00B067E1">
            <w:rPr>
              <w:rFonts w:eastAsia="Times New Roman" w:cs="Arial"/>
              <w:b/>
              <w:lang w:bidi="ar-SA"/>
            </w:rPr>
            <w:t>Sunquest: Blood Product Entry</w:t>
          </w:r>
        </w:p>
      </w:tc>
    </w:tr>
  </w:tbl>
  <w:p w:rsidR="005E0C52" w:rsidRDefault="005E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58F1"/>
    <w:multiLevelType w:val="hybridMultilevel"/>
    <w:tmpl w:val="D682C5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2C24B7C"/>
    <w:multiLevelType w:val="hybridMultilevel"/>
    <w:tmpl w:val="1CD0B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020DA"/>
    <w:multiLevelType w:val="hybridMultilevel"/>
    <w:tmpl w:val="CCDE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86736E"/>
    <w:multiLevelType w:val="hybridMultilevel"/>
    <w:tmpl w:val="43FC99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9B6625"/>
    <w:multiLevelType w:val="hybridMultilevel"/>
    <w:tmpl w:val="E7F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6072E"/>
    <w:multiLevelType w:val="hybridMultilevel"/>
    <w:tmpl w:val="344CA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1226E3"/>
    <w:multiLevelType w:val="hybridMultilevel"/>
    <w:tmpl w:val="FE0A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9D33C1"/>
    <w:multiLevelType w:val="hybridMultilevel"/>
    <w:tmpl w:val="EF3E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7A0658"/>
    <w:multiLevelType w:val="hybridMultilevel"/>
    <w:tmpl w:val="D69E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C5A30"/>
    <w:multiLevelType w:val="hybridMultilevel"/>
    <w:tmpl w:val="5A3E5686"/>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nsid w:val="57274785"/>
    <w:multiLevelType w:val="hybridMultilevel"/>
    <w:tmpl w:val="B066C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8F4FF8"/>
    <w:multiLevelType w:val="hybridMultilevel"/>
    <w:tmpl w:val="5F722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64AD0"/>
    <w:multiLevelType w:val="hybridMultilevel"/>
    <w:tmpl w:val="F084AAE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17F32"/>
    <w:multiLevelType w:val="hybridMultilevel"/>
    <w:tmpl w:val="057CA3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3"/>
  </w:num>
  <w:num w:numId="7">
    <w:abstractNumId w:val="8"/>
  </w:num>
  <w:num w:numId="8">
    <w:abstractNumId w:val="11"/>
  </w:num>
  <w:num w:numId="9">
    <w:abstractNumId w:val="12"/>
  </w:num>
  <w:num w:numId="10">
    <w:abstractNumId w:val="0"/>
  </w:num>
  <w:num w:numId="11">
    <w:abstractNumId w:val="5"/>
  </w:num>
  <w:num w:numId="12">
    <w:abstractNumId w:val="4"/>
  </w:num>
  <w:num w:numId="13">
    <w:abstractNumId w:val="13"/>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3006C"/>
    <w:rsid w:val="00042196"/>
    <w:rsid w:val="00043202"/>
    <w:rsid w:val="00047011"/>
    <w:rsid w:val="00047936"/>
    <w:rsid w:val="00054973"/>
    <w:rsid w:val="00054E1D"/>
    <w:rsid w:val="00057968"/>
    <w:rsid w:val="00073BF9"/>
    <w:rsid w:val="0007540D"/>
    <w:rsid w:val="0007628B"/>
    <w:rsid w:val="00080157"/>
    <w:rsid w:val="0009350A"/>
    <w:rsid w:val="000D61D0"/>
    <w:rsid w:val="000D7CBB"/>
    <w:rsid w:val="000F6254"/>
    <w:rsid w:val="00103B32"/>
    <w:rsid w:val="00111516"/>
    <w:rsid w:val="00135A06"/>
    <w:rsid w:val="001540F6"/>
    <w:rsid w:val="00161066"/>
    <w:rsid w:val="001626D4"/>
    <w:rsid w:val="001810FE"/>
    <w:rsid w:val="001902F3"/>
    <w:rsid w:val="001D3478"/>
    <w:rsid w:val="001E1B16"/>
    <w:rsid w:val="001F0DD8"/>
    <w:rsid w:val="001F4C32"/>
    <w:rsid w:val="001F5CFA"/>
    <w:rsid w:val="002327CA"/>
    <w:rsid w:val="00235054"/>
    <w:rsid w:val="002359B1"/>
    <w:rsid w:val="00236974"/>
    <w:rsid w:val="002424F4"/>
    <w:rsid w:val="00265E94"/>
    <w:rsid w:val="002811B3"/>
    <w:rsid w:val="00282F47"/>
    <w:rsid w:val="00290707"/>
    <w:rsid w:val="00290895"/>
    <w:rsid w:val="002B42F3"/>
    <w:rsid w:val="002E093D"/>
    <w:rsid w:val="002F6978"/>
    <w:rsid w:val="00324222"/>
    <w:rsid w:val="003260AA"/>
    <w:rsid w:val="00333327"/>
    <w:rsid w:val="00340D8B"/>
    <w:rsid w:val="00344A53"/>
    <w:rsid w:val="0035411D"/>
    <w:rsid w:val="003702C9"/>
    <w:rsid w:val="00390DDF"/>
    <w:rsid w:val="003B0037"/>
    <w:rsid w:val="003B0CA8"/>
    <w:rsid w:val="003B4226"/>
    <w:rsid w:val="003B74B8"/>
    <w:rsid w:val="003C23C5"/>
    <w:rsid w:val="003C26DE"/>
    <w:rsid w:val="003E7609"/>
    <w:rsid w:val="003F49E9"/>
    <w:rsid w:val="00403EE6"/>
    <w:rsid w:val="00426D2B"/>
    <w:rsid w:val="004578BC"/>
    <w:rsid w:val="0046398A"/>
    <w:rsid w:val="00476A98"/>
    <w:rsid w:val="004772D0"/>
    <w:rsid w:val="0048210A"/>
    <w:rsid w:val="00490E5B"/>
    <w:rsid w:val="00492A8B"/>
    <w:rsid w:val="004930B8"/>
    <w:rsid w:val="004B415F"/>
    <w:rsid w:val="004B5804"/>
    <w:rsid w:val="004C3A34"/>
    <w:rsid w:val="004C5AB3"/>
    <w:rsid w:val="004D0823"/>
    <w:rsid w:val="004E584F"/>
    <w:rsid w:val="004F20BC"/>
    <w:rsid w:val="004F5705"/>
    <w:rsid w:val="00512C24"/>
    <w:rsid w:val="005728E3"/>
    <w:rsid w:val="0057378F"/>
    <w:rsid w:val="00580C92"/>
    <w:rsid w:val="00591718"/>
    <w:rsid w:val="005A2384"/>
    <w:rsid w:val="005A6E99"/>
    <w:rsid w:val="005B2707"/>
    <w:rsid w:val="005D0AEA"/>
    <w:rsid w:val="005E0C52"/>
    <w:rsid w:val="005F197C"/>
    <w:rsid w:val="005F679D"/>
    <w:rsid w:val="00600E7F"/>
    <w:rsid w:val="006010BD"/>
    <w:rsid w:val="00603719"/>
    <w:rsid w:val="006037B6"/>
    <w:rsid w:val="00603F7B"/>
    <w:rsid w:val="00625FDC"/>
    <w:rsid w:val="00643E2E"/>
    <w:rsid w:val="00671575"/>
    <w:rsid w:val="0067765A"/>
    <w:rsid w:val="00682DF8"/>
    <w:rsid w:val="00684A60"/>
    <w:rsid w:val="0068574D"/>
    <w:rsid w:val="006A7406"/>
    <w:rsid w:val="006A7C79"/>
    <w:rsid w:val="006C0162"/>
    <w:rsid w:val="006D428D"/>
    <w:rsid w:val="006E038B"/>
    <w:rsid w:val="006E32A6"/>
    <w:rsid w:val="006F7F22"/>
    <w:rsid w:val="00704364"/>
    <w:rsid w:val="00704B77"/>
    <w:rsid w:val="00716F9D"/>
    <w:rsid w:val="00723448"/>
    <w:rsid w:val="007239D8"/>
    <w:rsid w:val="00740745"/>
    <w:rsid w:val="007570E4"/>
    <w:rsid w:val="007616E6"/>
    <w:rsid w:val="007623EC"/>
    <w:rsid w:val="007653F5"/>
    <w:rsid w:val="007726FA"/>
    <w:rsid w:val="00780974"/>
    <w:rsid w:val="00784BEC"/>
    <w:rsid w:val="007969E9"/>
    <w:rsid w:val="007C14F4"/>
    <w:rsid w:val="007D2418"/>
    <w:rsid w:val="007D488A"/>
    <w:rsid w:val="007D4DA3"/>
    <w:rsid w:val="007D5584"/>
    <w:rsid w:val="007F2D9F"/>
    <w:rsid w:val="00807373"/>
    <w:rsid w:val="0082143A"/>
    <w:rsid w:val="00824CE4"/>
    <w:rsid w:val="00846D02"/>
    <w:rsid w:val="00861179"/>
    <w:rsid w:val="008671F4"/>
    <w:rsid w:val="00873D58"/>
    <w:rsid w:val="00893026"/>
    <w:rsid w:val="008B0814"/>
    <w:rsid w:val="008C11F2"/>
    <w:rsid w:val="008E18F5"/>
    <w:rsid w:val="008F4A86"/>
    <w:rsid w:val="008F66F4"/>
    <w:rsid w:val="00904ACE"/>
    <w:rsid w:val="00912584"/>
    <w:rsid w:val="009149D5"/>
    <w:rsid w:val="00920763"/>
    <w:rsid w:val="00945D3B"/>
    <w:rsid w:val="00956E87"/>
    <w:rsid w:val="00962215"/>
    <w:rsid w:val="0096783A"/>
    <w:rsid w:val="00991FA5"/>
    <w:rsid w:val="00992092"/>
    <w:rsid w:val="009B0334"/>
    <w:rsid w:val="009B6D1F"/>
    <w:rsid w:val="009C5785"/>
    <w:rsid w:val="00A134F7"/>
    <w:rsid w:val="00A20BC1"/>
    <w:rsid w:val="00A2414D"/>
    <w:rsid w:val="00A3117D"/>
    <w:rsid w:val="00A337AB"/>
    <w:rsid w:val="00A45CC8"/>
    <w:rsid w:val="00A46F27"/>
    <w:rsid w:val="00A533EB"/>
    <w:rsid w:val="00A600BE"/>
    <w:rsid w:val="00A729D6"/>
    <w:rsid w:val="00A76DB5"/>
    <w:rsid w:val="00A86A54"/>
    <w:rsid w:val="00A93A1A"/>
    <w:rsid w:val="00AA1ED0"/>
    <w:rsid w:val="00AA73CF"/>
    <w:rsid w:val="00AC7CF9"/>
    <w:rsid w:val="00AE0740"/>
    <w:rsid w:val="00AE74E5"/>
    <w:rsid w:val="00AF2B7D"/>
    <w:rsid w:val="00AF3707"/>
    <w:rsid w:val="00AF78B9"/>
    <w:rsid w:val="00B03207"/>
    <w:rsid w:val="00B067E1"/>
    <w:rsid w:val="00B22C3A"/>
    <w:rsid w:val="00B4094A"/>
    <w:rsid w:val="00B44706"/>
    <w:rsid w:val="00B467D6"/>
    <w:rsid w:val="00B50027"/>
    <w:rsid w:val="00B72630"/>
    <w:rsid w:val="00B94FE2"/>
    <w:rsid w:val="00B9666C"/>
    <w:rsid w:val="00B972E0"/>
    <w:rsid w:val="00BB2679"/>
    <w:rsid w:val="00BC68FF"/>
    <w:rsid w:val="00BF7CCF"/>
    <w:rsid w:val="00C01713"/>
    <w:rsid w:val="00C03005"/>
    <w:rsid w:val="00C11E16"/>
    <w:rsid w:val="00C2433E"/>
    <w:rsid w:val="00C447BA"/>
    <w:rsid w:val="00C44C25"/>
    <w:rsid w:val="00C56838"/>
    <w:rsid w:val="00C944E1"/>
    <w:rsid w:val="00CA0F39"/>
    <w:rsid w:val="00CB2CC1"/>
    <w:rsid w:val="00CD1C3B"/>
    <w:rsid w:val="00CF26C6"/>
    <w:rsid w:val="00D2569B"/>
    <w:rsid w:val="00D34192"/>
    <w:rsid w:val="00D35071"/>
    <w:rsid w:val="00D360A0"/>
    <w:rsid w:val="00D37883"/>
    <w:rsid w:val="00D37F5E"/>
    <w:rsid w:val="00D44497"/>
    <w:rsid w:val="00D63CA6"/>
    <w:rsid w:val="00D84E8B"/>
    <w:rsid w:val="00DB5A9E"/>
    <w:rsid w:val="00DC02B5"/>
    <w:rsid w:val="00DC0B3E"/>
    <w:rsid w:val="00DE1139"/>
    <w:rsid w:val="00DF09FE"/>
    <w:rsid w:val="00DF1E5C"/>
    <w:rsid w:val="00DF2C18"/>
    <w:rsid w:val="00DF36CD"/>
    <w:rsid w:val="00DF68B0"/>
    <w:rsid w:val="00E2710B"/>
    <w:rsid w:val="00E358E1"/>
    <w:rsid w:val="00E471CB"/>
    <w:rsid w:val="00E539F9"/>
    <w:rsid w:val="00E765C9"/>
    <w:rsid w:val="00EA1A17"/>
    <w:rsid w:val="00EA2437"/>
    <w:rsid w:val="00EA35CC"/>
    <w:rsid w:val="00EA65AD"/>
    <w:rsid w:val="00EC5B27"/>
    <w:rsid w:val="00EE2A0E"/>
    <w:rsid w:val="00EE547A"/>
    <w:rsid w:val="00F01873"/>
    <w:rsid w:val="00F34596"/>
    <w:rsid w:val="00F5171B"/>
    <w:rsid w:val="00F52F94"/>
    <w:rsid w:val="00F53E43"/>
    <w:rsid w:val="00F57092"/>
    <w:rsid w:val="00F61BD0"/>
    <w:rsid w:val="00F61E43"/>
    <w:rsid w:val="00F738E7"/>
    <w:rsid w:val="00F77B89"/>
    <w:rsid w:val="00FA7FE9"/>
    <w:rsid w:val="00FB221B"/>
    <w:rsid w:val="00FC23B8"/>
    <w:rsid w:val="00F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340D8B"/>
    <w:rPr>
      <w:rFonts w:ascii="Tahoma" w:hAnsi="Tahoma" w:cs="Tahoma"/>
      <w:sz w:val="16"/>
      <w:szCs w:val="16"/>
    </w:rPr>
  </w:style>
  <w:style w:type="character" w:customStyle="1" w:styleId="BalloonTextChar">
    <w:name w:val="Balloon Text Char"/>
    <w:link w:val="BalloonText"/>
    <w:uiPriority w:val="99"/>
    <w:semiHidden/>
    <w:rsid w:val="00340D8B"/>
    <w:rPr>
      <w:rFonts w:ascii="Tahoma" w:hAnsi="Tahoma" w:cs="Tahoma"/>
      <w:sz w:val="16"/>
      <w:szCs w:val="16"/>
    </w:rPr>
  </w:style>
  <w:style w:type="character" w:styleId="CommentReference">
    <w:name w:val="annotation reference"/>
    <w:uiPriority w:val="99"/>
    <w:semiHidden/>
    <w:unhideWhenUsed/>
    <w:rsid w:val="006E038B"/>
    <w:rPr>
      <w:sz w:val="16"/>
      <w:szCs w:val="16"/>
    </w:rPr>
  </w:style>
  <w:style w:type="paragraph" w:styleId="CommentText">
    <w:name w:val="annotation text"/>
    <w:basedOn w:val="Normal"/>
    <w:link w:val="CommentTextChar"/>
    <w:uiPriority w:val="99"/>
    <w:semiHidden/>
    <w:unhideWhenUsed/>
    <w:rsid w:val="006E038B"/>
    <w:rPr>
      <w:sz w:val="20"/>
      <w:szCs w:val="20"/>
    </w:rPr>
  </w:style>
  <w:style w:type="character" w:customStyle="1" w:styleId="CommentTextChar">
    <w:name w:val="Comment Text Char"/>
    <w:link w:val="CommentText"/>
    <w:uiPriority w:val="99"/>
    <w:semiHidden/>
    <w:rsid w:val="006E038B"/>
    <w:rPr>
      <w:lang w:bidi="en-US"/>
    </w:rPr>
  </w:style>
  <w:style w:type="paragraph" w:styleId="CommentSubject">
    <w:name w:val="annotation subject"/>
    <w:basedOn w:val="CommentText"/>
    <w:next w:val="CommentText"/>
    <w:link w:val="CommentSubjectChar"/>
    <w:uiPriority w:val="99"/>
    <w:semiHidden/>
    <w:unhideWhenUsed/>
    <w:rsid w:val="006E038B"/>
    <w:rPr>
      <w:b/>
      <w:bCs/>
    </w:rPr>
  </w:style>
  <w:style w:type="character" w:customStyle="1" w:styleId="CommentSubjectChar">
    <w:name w:val="Comment Subject Char"/>
    <w:link w:val="CommentSubject"/>
    <w:uiPriority w:val="99"/>
    <w:semiHidden/>
    <w:rsid w:val="006E038B"/>
    <w:rPr>
      <w:b/>
      <w:bCs/>
      <w:lang w:bidi="en-US"/>
    </w:rPr>
  </w:style>
  <w:style w:type="paragraph" w:styleId="Revision">
    <w:name w:val="Revision"/>
    <w:hidden/>
    <w:uiPriority w:val="99"/>
    <w:semiHidden/>
    <w:rsid w:val="007D2418"/>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340D8B"/>
    <w:rPr>
      <w:rFonts w:ascii="Tahoma" w:hAnsi="Tahoma" w:cs="Tahoma"/>
      <w:sz w:val="16"/>
      <w:szCs w:val="16"/>
    </w:rPr>
  </w:style>
  <w:style w:type="character" w:customStyle="1" w:styleId="BalloonTextChar">
    <w:name w:val="Balloon Text Char"/>
    <w:link w:val="BalloonText"/>
    <w:uiPriority w:val="99"/>
    <w:semiHidden/>
    <w:rsid w:val="00340D8B"/>
    <w:rPr>
      <w:rFonts w:ascii="Tahoma" w:hAnsi="Tahoma" w:cs="Tahoma"/>
      <w:sz w:val="16"/>
      <w:szCs w:val="16"/>
    </w:rPr>
  </w:style>
  <w:style w:type="character" w:styleId="CommentReference">
    <w:name w:val="annotation reference"/>
    <w:uiPriority w:val="99"/>
    <w:semiHidden/>
    <w:unhideWhenUsed/>
    <w:rsid w:val="006E038B"/>
    <w:rPr>
      <w:sz w:val="16"/>
      <w:szCs w:val="16"/>
    </w:rPr>
  </w:style>
  <w:style w:type="paragraph" w:styleId="CommentText">
    <w:name w:val="annotation text"/>
    <w:basedOn w:val="Normal"/>
    <w:link w:val="CommentTextChar"/>
    <w:uiPriority w:val="99"/>
    <w:semiHidden/>
    <w:unhideWhenUsed/>
    <w:rsid w:val="006E038B"/>
    <w:rPr>
      <w:sz w:val="20"/>
      <w:szCs w:val="20"/>
    </w:rPr>
  </w:style>
  <w:style w:type="character" w:customStyle="1" w:styleId="CommentTextChar">
    <w:name w:val="Comment Text Char"/>
    <w:link w:val="CommentText"/>
    <w:uiPriority w:val="99"/>
    <w:semiHidden/>
    <w:rsid w:val="006E038B"/>
    <w:rPr>
      <w:lang w:bidi="en-US"/>
    </w:rPr>
  </w:style>
  <w:style w:type="paragraph" w:styleId="CommentSubject">
    <w:name w:val="annotation subject"/>
    <w:basedOn w:val="CommentText"/>
    <w:next w:val="CommentText"/>
    <w:link w:val="CommentSubjectChar"/>
    <w:uiPriority w:val="99"/>
    <w:semiHidden/>
    <w:unhideWhenUsed/>
    <w:rsid w:val="006E038B"/>
    <w:rPr>
      <w:b/>
      <w:bCs/>
    </w:rPr>
  </w:style>
  <w:style w:type="character" w:customStyle="1" w:styleId="CommentSubjectChar">
    <w:name w:val="Comment Subject Char"/>
    <w:link w:val="CommentSubject"/>
    <w:uiPriority w:val="99"/>
    <w:semiHidden/>
    <w:rsid w:val="006E038B"/>
    <w:rPr>
      <w:b/>
      <w:bCs/>
      <w:lang w:bidi="en-US"/>
    </w:rPr>
  </w:style>
  <w:style w:type="paragraph" w:styleId="Revision">
    <w:name w:val="Revision"/>
    <w:hidden/>
    <w:uiPriority w:val="99"/>
    <w:semiHidden/>
    <w:rsid w:val="007D2418"/>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9BD0-2B8D-4853-9E82-305C447B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3525</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4718670</vt:i4>
      </vt:variant>
      <vt:variant>
        <vt:i4>6294</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2017-05-18T20:01:00Z</cp:lastPrinted>
  <dcterms:created xsi:type="dcterms:W3CDTF">2018-04-03T22:08:00Z</dcterms:created>
  <dcterms:modified xsi:type="dcterms:W3CDTF">2018-04-03T22:08:00Z</dcterms:modified>
</cp:coreProperties>
</file>