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58" w:rsidRDefault="00404258">
      <w:r w:rsidRPr="00404258">
        <w:rPr>
          <w:b/>
        </w:rPr>
        <w:t>SITUATION:</w:t>
      </w:r>
      <w:r>
        <w:t xml:space="preserve">  </w:t>
      </w:r>
    </w:p>
    <w:p w:rsidR="00404258" w:rsidRDefault="00404258" w:rsidP="00404258">
      <w:pPr>
        <w:ind w:left="720"/>
      </w:pPr>
      <w:r>
        <w:t>The SCCA flag is no longer displays in SQ</w:t>
      </w:r>
      <w:r w:rsidR="00185FA1">
        <w:t>.</w:t>
      </w:r>
    </w:p>
    <w:p w:rsidR="00404258" w:rsidRPr="00185FA1" w:rsidRDefault="00185FA1" w:rsidP="00185FA1">
      <w:pPr>
        <w:rPr>
          <w:b/>
        </w:rPr>
      </w:pPr>
      <w:r w:rsidRPr="00185FA1">
        <w:rPr>
          <w:b/>
        </w:rPr>
        <w:t>BACKGROUND &amp; ASSESSMENT:</w:t>
      </w:r>
    </w:p>
    <w:p w:rsidR="008E3854" w:rsidRDefault="006C0ACE" w:rsidP="00404258">
      <w:pPr>
        <w:ind w:left="720"/>
      </w:pPr>
      <w:r>
        <w:t>The user defined field in the current version of Sunquest (8.1) does not work as design. This is the field where the SCCA flag displayed in version 7.2. This issue was discovered just a couple days before go-live.</w:t>
      </w:r>
    </w:p>
    <w:p w:rsidR="008E3854" w:rsidRPr="00565F10" w:rsidRDefault="008E3854" w:rsidP="00423B1A">
      <w:pPr>
        <w:spacing w:after="0"/>
        <w:ind w:left="720"/>
        <w:rPr>
          <w:b/>
        </w:rPr>
      </w:pPr>
      <w:r w:rsidRPr="00565F10">
        <w:rPr>
          <w:b/>
        </w:rPr>
        <w:t>PRE GO-LIVE: SQ 7.2</w:t>
      </w:r>
    </w:p>
    <w:p w:rsidR="006C0ACE" w:rsidRDefault="00B911FE" w:rsidP="00404258">
      <w:pPr>
        <w:ind w:left="72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3753016</wp:posOffset>
                </wp:positionH>
                <wp:positionV relativeFrom="paragraph">
                  <wp:posOffset>432960</wp:posOffset>
                </wp:positionV>
                <wp:extent cx="850789" cy="206733"/>
                <wp:effectExtent l="0" t="0" r="26035" b="22225"/>
                <wp:wrapNone/>
                <wp:docPr id="3" name="Oval 3"/>
                <wp:cNvGraphicFramePr/>
                <a:graphic xmlns:a="http://schemas.openxmlformats.org/drawingml/2006/main">
                  <a:graphicData uri="http://schemas.microsoft.com/office/word/2010/wordprocessingShape">
                    <wps:wsp>
                      <wps:cNvSpPr/>
                      <wps:spPr>
                        <a:xfrm>
                          <a:off x="0" y="0"/>
                          <a:ext cx="850789" cy="20673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295.5pt;margin-top:34.1pt;width:67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" filled="f" strokecolor="red" strokeweight="2pt"/>
            </w:pict>
          </mc:Fallback>
        </mc:AlternateContent>
      </w:r>
      <w:r w:rsidR="006C0ACE">
        <w:rPr>
          <w:noProof/>
        </w:rPr>
        <w:drawing>
          <wp:inline distT="0" distB="0" distL="0" distR="0" wp14:anchorId="7BD2AF1F" wp14:editId="5C952B6D">
            <wp:extent cx="2949934" cy="2126726"/>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6316" cy="2131327"/>
                    </a:xfrm>
                    <a:prstGeom prst="rect">
                      <a:avLst/>
                    </a:prstGeom>
                  </pic:spPr>
                </pic:pic>
              </a:graphicData>
            </a:graphic>
          </wp:inline>
        </w:drawing>
      </w:r>
    </w:p>
    <w:p w:rsidR="008E3854" w:rsidRDefault="006C0ACE" w:rsidP="00404258">
      <w:pPr>
        <w:ind w:left="720"/>
      </w:pPr>
      <w:r>
        <w:t xml:space="preserve">LabMed IT proposed using Laboratory Inquiry as a solution to this problem. </w:t>
      </w:r>
      <w:r w:rsidR="008E3854">
        <w:t xml:space="preserve"> Although not ideal because this module in not part of BB workflows, it was adopted </w:t>
      </w:r>
      <w:r w:rsidR="00D93A94">
        <w:t xml:space="preserve">as the only known means to identify </w:t>
      </w:r>
      <w:r w:rsidR="008E3854">
        <w:t xml:space="preserve">SCCA patients who do not have the IRR attribute, BMT transfusion instructions, or a current order for irradiated blood components.  </w:t>
      </w:r>
    </w:p>
    <w:p w:rsidR="00565F10" w:rsidRPr="00565F10" w:rsidRDefault="00565F10" w:rsidP="00423B1A">
      <w:pPr>
        <w:spacing w:after="0"/>
        <w:ind w:left="720"/>
        <w:rPr>
          <w:b/>
        </w:rPr>
      </w:pPr>
      <w:r w:rsidRPr="00565F10">
        <w:rPr>
          <w:b/>
        </w:rPr>
        <w:t>POST GO-LIVE 8.2</w:t>
      </w:r>
    </w:p>
    <w:p w:rsidR="008E3854" w:rsidRDefault="00B911FE" w:rsidP="00404258">
      <w:pPr>
        <w:ind w:left="720"/>
        <w:jc w:val="center"/>
      </w:pPr>
      <w:r>
        <w:rPr>
          <w:noProof/>
        </w:rPr>
        <mc:AlternateContent>
          <mc:Choice Requires="wps">
            <w:drawing>
              <wp:anchor distT="0" distB="0" distL="114300" distR="114300" simplePos="0" relativeHeight="251661312" behindDoc="0" locked="0" layoutInCell="1" allowOverlap="1" wp14:anchorId="2D17219A" wp14:editId="6B70EDB4">
                <wp:simplePos x="0" y="0"/>
                <wp:positionH relativeFrom="column">
                  <wp:posOffset>1796995</wp:posOffset>
                </wp:positionH>
                <wp:positionV relativeFrom="paragraph">
                  <wp:posOffset>856146</wp:posOffset>
                </wp:positionV>
                <wp:extent cx="1176793" cy="206733"/>
                <wp:effectExtent l="0" t="0" r="23495" b="22225"/>
                <wp:wrapNone/>
                <wp:docPr id="4" name="Oval 4"/>
                <wp:cNvGraphicFramePr/>
                <a:graphic xmlns:a="http://schemas.openxmlformats.org/drawingml/2006/main">
                  <a:graphicData uri="http://schemas.microsoft.com/office/word/2010/wordprocessingShape">
                    <wps:wsp>
                      <wps:cNvSpPr/>
                      <wps:spPr>
                        <a:xfrm>
                          <a:off x="0" y="0"/>
                          <a:ext cx="1176793" cy="206733"/>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26" style="position:absolute;margin-left:141.5pt;margin-top:67.4pt;width:92.65pt;height:1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" filled="f" strokecolor="red" strokeweight="2pt"/>
            </w:pict>
          </mc:Fallback>
        </mc:AlternateContent>
      </w:r>
      <w:r w:rsidR="008E3854">
        <w:rPr>
          <w:noProof/>
        </w:rPr>
        <w:drawing>
          <wp:inline distT="0" distB="0" distL="0" distR="0" wp14:anchorId="2E38BCD1" wp14:editId="51B06136">
            <wp:extent cx="2806810" cy="1723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20468" cy="1731455"/>
                    </a:xfrm>
                    <a:prstGeom prst="rect">
                      <a:avLst/>
                    </a:prstGeom>
                  </pic:spPr>
                </pic:pic>
              </a:graphicData>
            </a:graphic>
          </wp:inline>
        </w:drawing>
      </w:r>
    </w:p>
    <w:p w:rsidR="00565F10" w:rsidRDefault="00D93A94" w:rsidP="00404258">
      <w:pPr>
        <w:ind w:left="720"/>
      </w:pPr>
      <w:r>
        <w:t>After go-live, it was discovered the red highlighted flag will not display for</w:t>
      </w:r>
      <w:r w:rsidR="008E3854">
        <w:t xml:space="preserve"> new patient</w:t>
      </w:r>
      <w:r>
        <w:t>s</w:t>
      </w:r>
      <w:r w:rsidR="008E3854">
        <w:t xml:space="preserve"> or </w:t>
      </w:r>
      <w:r>
        <w:t xml:space="preserve">patients who </w:t>
      </w:r>
      <w:r w:rsidR="008E3854">
        <w:t>do not have completed test</w:t>
      </w:r>
      <w:r>
        <w:t>s</w:t>
      </w:r>
      <w:r w:rsidR="008E3854">
        <w:t xml:space="preserve"> on file</w:t>
      </w:r>
      <w:r>
        <w:t xml:space="preserve"> the day a</w:t>
      </w:r>
      <w:r w:rsidR="008E3854">
        <w:t xml:space="preserve"> BB order is received</w:t>
      </w:r>
      <w:r>
        <w:t>/filled</w:t>
      </w:r>
      <w:r w:rsidR="008E3854">
        <w:t xml:space="preserve">.  </w:t>
      </w:r>
      <w:r>
        <w:t xml:space="preserve">In these cases, the </w:t>
      </w:r>
      <w:r w:rsidR="00565F10">
        <w:t xml:space="preserve">patient </w:t>
      </w:r>
      <w:r>
        <w:t>may</w:t>
      </w:r>
      <w:r w:rsidR="00565F10">
        <w:t xml:space="preserve"> incorrect</w:t>
      </w:r>
      <w:r w:rsidR="00404258">
        <w:t>ly</w:t>
      </w:r>
      <w:r w:rsidR="00565F10">
        <w:t xml:space="preserve"> be </w:t>
      </w:r>
      <w:r w:rsidR="00404258">
        <w:t>identified as</w:t>
      </w:r>
      <w:r w:rsidR="00565F10">
        <w:t xml:space="preserve"> a non-SCCA patient. </w:t>
      </w:r>
    </w:p>
    <w:p w:rsidR="003917D7" w:rsidRDefault="003917D7">
      <w:pPr>
        <w:rPr>
          <w:b/>
        </w:rPr>
      </w:pPr>
    </w:p>
    <w:p w:rsidR="00404258" w:rsidRPr="00404258" w:rsidRDefault="00185FA1">
      <w:pPr>
        <w:rPr>
          <w:b/>
        </w:rPr>
      </w:pPr>
      <w:r>
        <w:rPr>
          <w:b/>
        </w:rPr>
        <w:lastRenderedPageBreak/>
        <w:t>CORRECTIVE ACTION</w:t>
      </w:r>
      <w:r w:rsidR="00404258" w:rsidRPr="00404258">
        <w:rPr>
          <w:b/>
        </w:rPr>
        <w:t xml:space="preserve">: </w:t>
      </w:r>
    </w:p>
    <w:p w:rsidR="0035507D" w:rsidRDefault="00565F10" w:rsidP="0035507D">
      <w:pPr>
        <w:ind w:left="720"/>
      </w:pPr>
      <w:r w:rsidRPr="0035507D">
        <w:rPr>
          <w:b/>
        </w:rPr>
        <w:t xml:space="preserve">Until </w:t>
      </w:r>
      <w:r w:rsidR="0067482E" w:rsidRPr="0035507D">
        <w:rPr>
          <w:b/>
        </w:rPr>
        <w:t>we have a different solution</w:t>
      </w:r>
      <w:r w:rsidRPr="0035507D">
        <w:rPr>
          <w:b/>
        </w:rPr>
        <w:t xml:space="preserve"> </w:t>
      </w:r>
      <w:r w:rsidR="0067482E" w:rsidRPr="0035507D">
        <w:rPr>
          <w:b/>
        </w:rPr>
        <w:t>for identifying this population of patie</w:t>
      </w:r>
      <w:r w:rsidR="0035507D" w:rsidRPr="0035507D">
        <w:rPr>
          <w:b/>
        </w:rPr>
        <w:t xml:space="preserve">nts, we will irradiate all red </w:t>
      </w:r>
      <w:r w:rsidR="0067482E" w:rsidRPr="0035507D">
        <w:rPr>
          <w:b/>
        </w:rPr>
        <w:t>blood cell components as well as platelets.</w:t>
      </w:r>
      <w:r w:rsidR="0067482E">
        <w:t xml:space="preserve">  </w:t>
      </w:r>
      <w:r w:rsidR="00297BE8">
        <w:t xml:space="preserve">Currently, approximately 80% of RBC inventory is irradiated. This change in policy </w:t>
      </w:r>
      <w:r w:rsidR="00297BE8">
        <w:t>is expected to</w:t>
      </w:r>
      <w:r w:rsidR="00297BE8">
        <w:t xml:space="preserve"> result in irradiation of an average of 350 more RBCs per month</w:t>
      </w:r>
      <w:r w:rsidR="00297BE8">
        <w:t>s than currently are irradiated</w:t>
      </w:r>
      <w:r w:rsidR="00297BE8">
        <w:t xml:space="preserve">.   </w:t>
      </w:r>
      <w:r w:rsidR="0067482E">
        <w:t xml:space="preserve">Because irradiation may shorten the expiration date of red blood cells, all red blood cell components </w:t>
      </w:r>
      <w:r w:rsidR="00297BE8">
        <w:t>will not be irradiated at receipt</w:t>
      </w:r>
      <w:r w:rsidR="0067482E">
        <w:t xml:space="preserve">.  </w:t>
      </w:r>
    </w:p>
    <w:p w:rsidR="00565F10" w:rsidRDefault="0067482E" w:rsidP="0035507D">
      <w:pPr>
        <w:ind w:left="720"/>
      </w:pPr>
      <w:r>
        <w:t>The following outlines the new policy:</w:t>
      </w:r>
    </w:p>
    <w:p w:rsidR="0035507D" w:rsidRPr="0035507D" w:rsidRDefault="0035507D" w:rsidP="00423B1A">
      <w:pPr>
        <w:spacing w:after="0"/>
        <w:ind w:left="720"/>
        <w:rPr>
          <w:b/>
        </w:rPr>
      </w:pPr>
      <w:r w:rsidRPr="0035507D">
        <w:rPr>
          <w:b/>
        </w:rPr>
        <w:t>HISTORY CHECK</w:t>
      </w:r>
    </w:p>
    <w:p w:rsidR="0067482E" w:rsidRDefault="0067482E" w:rsidP="0035507D">
      <w:pPr>
        <w:pStyle w:val="ListParagraph"/>
        <w:numPr>
          <w:ilvl w:val="0"/>
          <w:numId w:val="1"/>
        </w:numPr>
        <w:ind w:left="1800"/>
      </w:pPr>
      <w:r>
        <w:t>History checks should be performed as per policy with the following change:</w:t>
      </w:r>
    </w:p>
    <w:p w:rsidR="0067482E" w:rsidRDefault="00185FA1" w:rsidP="0035507D">
      <w:pPr>
        <w:pStyle w:val="ListParagraph"/>
        <w:numPr>
          <w:ilvl w:val="1"/>
          <w:numId w:val="1"/>
        </w:numPr>
        <w:ind w:left="2520"/>
      </w:pPr>
      <w:r>
        <w:t>No longer need to check for the</w:t>
      </w:r>
      <w:r w:rsidR="00A43CE6">
        <w:t xml:space="preserve"> SCCA flag in any blood bank modules – it no longer </w:t>
      </w:r>
      <w:r w:rsidR="00404258">
        <w:t>displays</w:t>
      </w:r>
    </w:p>
    <w:p w:rsidR="00404258" w:rsidRDefault="00185FA1" w:rsidP="0035507D">
      <w:pPr>
        <w:pStyle w:val="ListParagraph"/>
        <w:numPr>
          <w:ilvl w:val="1"/>
          <w:numId w:val="1"/>
        </w:numPr>
        <w:ind w:left="2520"/>
      </w:pPr>
      <w:r>
        <w:t>No longer need to verify the presence or absence of the SCCA Flag in ‘</w:t>
      </w:r>
      <w:r w:rsidR="00A43CE6" w:rsidRPr="00185FA1">
        <w:t>Laboratory Inquiry</w:t>
      </w:r>
      <w:r w:rsidRPr="00185FA1">
        <w:t>’</w:t>
      </w:r>
      <w:r w:rsidR="00A43CE6">
        <w:t xml:space="preserve"> as part of the history check.  </w:t>
      </w:r>
    </w:p>
    <w:p w:rsidR="00A43CE6" w:rsidRDefault="00297BE8" w:rsidP="0035507D">
      <w:pPr>
        <w:pStyle w:val="ListParagraph"/>
        <w:numPr>
          <w:ilvl w:val="2"/>
          <w:numId w:val="1"/>
        </w:numPr>
        <w:ind w:left="3240"/>
      </w:pPr>
      <w:r>
        <w:t>However, if</w:t>
      </w:r>
      <w:r w:rsidR="00A43CE6">
        <w:t xml:space="preserve"> </w:t>
      </w:r>
      <w:r w:rsidR="00185FA1">
        <w:t xml:space="preserve">you are in </w:t>
      </w:r>
      <w:r w:rsidR="00A43CE6">
        <w:t>Laboratory Inquiry</w:t>
      </w:r>
      <w:r w:rsidR="00185FA1" w:rsidRPr="00185FA1">
        <w:t xml:space="preserve"> </w:t>
      </w:r>
      <w:r w:rsidR="00185FA1">
        <w:t xml:space="preserve">and see the </w:t>
      </w:r>
      <w:r w:rsidR="00185FA1">
        <w:t>SCCA flag is present</w:t>
      </w:r>
      <w:r w:rsidR="00A43CE6">
        <w:t xml:space="preserve">, verify the patient has irradiation listed as an attribute on their record.  If the attribute is not listed, add </w:t>
      </w:r>
      <w:r w:rsidR="00404258">
        <w:t>IRR as an attribute</w:t>
      </w:r>
    </w:p>
    <w:p w:rsidR="00A43CE6" w:rsidRDefault="00297BE8" w:rsidP="0035507D">
      <w:pPr>
        <w:pStyle w:val="ListParagraph"/>
        <w:numPr>
          <w:ilvl w:val="0"/>
          <w:numId w:val="1"/>
        </w:numPr>
        <w:ind w:left="1800"/>
      </w:pPr>
      <w:r>
        <w:t xml:space="preserve">When orders are received, history check </w:t>
      </w:r>
      <w:r w:rsidR="00185FA1">
        <w:t>should still include use of the irradiation stamp and the irradiation attribute added to the patient record as per policy</w:t>
      </w:r>
    </w:p>
    <w:p w:rsidR="0035507D" w:rsidRPr="0035507D" w:rsidRDefault="0035507D" w:rsidP="00423B1A">
      <w:pPr>
        <w:spacing w:after="0"/>
        <w:ind w:left="720"/>
        <w:rPr>
          <w:b/>
        </w:rPr>
      </w:pPr>
      <w:r w:rsidRPr="0035507D">
        <w:rPr>
          <w:b/>
        </w:rPr>
        <w:t>FILLING PRODUCT ORDERS</w:t>
      </w:r>
    </w:p>
    <w:p w:rsidR="00823023" w:rsidRDefault="00185FA1" w:rsidP="00823023">
      <w:pPr>
        <w:pStyle w:val="ListParagraph"/>
        <w:numPr>
          <w:ilvl w:val="0"/>
          <w:numId w:val="2"/>
        </w:numPr>
      </w:pPr>
      <w:r>
        <w:t>MTP, OB Bleeds, bleeding emergencies</w:t>
      </w:r>
      <w:r w:rsidR="0035507D">
        <w:t>, request for uncrossmatched RBCs:</w:t>
      </w:r>
      <w:r>
        <w:t xml:space="preserve"> </w:t>
      </w:r>
    </w:p>
    <w:p w:rsidR="00823023" w:rsidRDefault="00823023" w:rsidP="0035507D">
      <w:pPr>
        <w:pStyle w:val="ListParagraph"/>
        <w:numPr>
          <w:ilvl w:val="1"/>
          <w:numId w:val="2"/>
        </w:numPr>
      </w:pPr>
      <w:r>
        <w:t>MTP packs should be</w:t>
      </w:r>
      <w:r w:rsidR="003917D7">
        <w:t xml:space="preserve"> prepared with</w:t>
      </w:r>
      <w:r>
        <w:t xml:space="preserve"> irradiated </w:t>
      </w:r>
      <w:r w:rsidR="003917D7">
        <w:t xml:space="preserve">RBCs </w:t>
      </w:r>
      <w:r>
        <w:t>and ready for issue as per current policy</w:t>
      </w:r>
    </w:p>
    <w:p w:rsidR="00823023" w:rsidRDefault="0035507D" w:rsidP="0035507D">
      <w:pPr>
        <w:pStyle w:val="ListParagraph"/>
        <w:numPr>
          <w:ilvl w:val="1"/>
          <w:numId w:val="2"/>
        </w:numPr>
      </w:pPr>
      <w:r>
        <w:t xml:space="preserve">When notifying the </w:t>
      </w:r>
      <w:r w:rsidR="00185FA1">
        <w:t xml:space="preserve"> TSL MD </w:t>
      </w:r>
      <w:r>
        <w:t xml:space="preserve"> of the bleeding emergency: </w:t>
      </w:r>
      <w:r w:rsidR="00185FA1">
        <w:t xml:space="preserve">verify </w:t>
      </w:r>
      <w:r>
        <w:t xml:space="preserve">the </w:t>
      </w:r>
      <w:r w:rsidR="00185FA1">
        <w:t xml:space="preserve">need </w:t>
      </w:r>
      <w:r w:rsidR="00823023">
        <w:t>to</w:t>
      </w:r>
      <w:r w:rsidR="00185FA1">
        <w:t xml:space="preserve"> </w:t>
      </w:r>
      <w:r w:rsidR="00823023">
        <w:t xml:space="preserve">continue providing </w:t>
      </w:r>
      <w:r w:rsidR="00185FA1">
        <w:t xml:space="preserve">irradiated RBCs </w:t>
      </w:r>
    </w:p>
    <w:p w:rsidR="00185FA1" w:rsidRPr="003917D7" w:rsidRDefault="00823023" w:rsidP="003917D7">
      <w:pPr>
        <w:pStyle w:val="ListParagraph"/>
        <w:numPr>
          <w:ilvl w:val="1"/>
          <w:numId w:val="2"/>
        </w:numPr>
      </w:pPr>
      <w:r w:rsidRPr="003917D7">
        <w:t xml:space="preserve">Issuing </w:t>
      </w:r>
      <w:r w:rsidR="00185FA1" w:rsidRPr="003917D7">
        <w:t xml:space="preserve">blood products in </w:t>
      </w:r>
      <w:r w:rsidR="003917D7" w:rsidRPr="003917D7">
        <w:t xml:space="preserve">a bleeding emergency should not be delayed if </w:t>
      </w:r>
      <w:r w:rsidR="00185FA1" w:rsidRPr="003917D7">
        <w:t>irradiate blood components</w:t>
      </w:r>
      <w:r w:rsidR="0035507D" w:rsidRPr="003917D7">
        <w:t xml:space="preserve"> </w:t>
      </w:r>
      <w:r w:rsidR="003917D7" w:rsidRPr="003917D7">
        <w:t xml:space="preserve">are not available, </w:t>
      </w:r>
      <w:r w:rsidR="0035507D" w:rsidRPr="003917D7">
        <w:t xml:space="preserve">especially </w:t>
      </w:r>
      <w:r w:rsidR="003917D7" w:rsidRPr="003917D7">
        <w:t xml:space="preserve">when </w:t>
      </w:r>
      <w:r w:rsidR="0035507D" w:rsidRPr="003917D7">
        <w:t>the patient’s clinical status does not require irradiated blood components</w:t>
      </w:r>
    </w:p>
    <w:p w:rsidR="0035507D" w:rsidRDefault="00823023" w:rsidP="0035507D">
      <w:pPr>
        <w:pStyle w:val="ListParagraph"/>
        <w:numPr>
          <w:ilvl w:val="0"/>
          <w:numId w:val="2"/>
        </w:numPr>
      </w:pPr>
      <w:r>
        <w:t xml:space="preserve">High volume red cell transfusions, such as red cell exchange: It </w:t>
      </w:r>
      <w:r w:rsidR="0035507D">
        <w:t xml:space="preserve">may be better to </w:t>
      </w:r>
      <w:r>
        <w:t xml:space="preserve">provide </w:t>
      </w:r>
      <w:r w:rsidR="0035507D">
        <w:t>non-irradiated RBCs</w:t>
      </w:r>
    </w:p>
    <w:p w:rsidR="0035507D" w:rsidRDefault="0035507D" w:rsidP="0035507D">
      <w:pPr>
        <w:pStyle w:val="ListParagraph"/>
        <w:numPr>
          <w:ilvl w:val="1"/>
          <w:numId w:val="2"/>
        </w:numPr>
      </w:pPr>
      <w:r>
        <w:t>Refer the order to the TSL MD to determine if non-irradiated blood should be provided</w:t>
      </w:r>
    </w:p>
    <w:p w:rsidR="0035507D" w:rsidRPr="0035507D" w:rsidRDefault="0035507D" w:rsidP="00423B1A">
      <w:pPr>
        <w:spacing w:after="0"/>
        <w:ind w:left="720"/>
        <w:rPr>
          <w:b/>
        </w:rPr>
      </w:pPr>
      <w:r w:rsidRPr="0035507D">
        <w:rPr>
          <w:b/>
        </w:rPr>
        <w:t>INVENTORY MANAGEMENT</w:t>
      </w:r>
    </w:p>
    <w:p w:rsidR="0035507D" w:rsidRDefault="00D1127C" w:rsidP="0035507D">
      <w:pPr>
        <w:pStyle w:val="ListParagraph"/>
        <w:numPr>
          <w:ilvl w:val="0"/>
          <w:numId w:val="3"/>
        </w:numPr>
      </w:pPr>
      <w:r>
        <w:t xml:space="preserve">Irradiate RBC with </w:t>
      </w:r>
      <w:r w:rsidR="00684C8A">
        <w:t>expiration</w:t>
      </w:r>
      <w:r>
        <w:t xml:space="preserve"> of 28 days or less first, to prevent unnecessary waste due to shortened expiration dates.</w:t>
      </w:r>
      <w:r w:rsidR="00684C8A">
        <w:t xml:space="preserve"> The following is a guideline for the number of irradiated RBCs to maintain in inventory:</w:t>
      </w:r>
    </w:p>
    <w:p w:rsidR="00823023" w:rsidRDefault="00823023" w:rsidP="00823023">
      <w:pPr>
        <w:pStyle w:val="ListParagraph"/>
        <w:numPr>
          <w:ilvl w:val="1"/>
          <w:numId w:val="3"/>
        </w:numPr>
      </w:pPr>
      <w:r>
        <w:t>SCCA = 100% irradiated (no change)</w:t>
      </w:r>
    </w:p>
    <w:p w:rsidR="00823023" w:rsidRDefault="00823023" w:rsidP="00823023">
      <w:pPr>
        <w:pStyle w:val="ListParagraph"/>
        <w:numPr>
          <w:ilvl w:val="1"/>
          <w:numId w:val="3"/>
        </w:numPr>
      </w:pPr>
      <w:r>
        <w:t>BB2 (MOR) = 100% irradiated</w:t>
      </w:r>
    </w:p>
    <w:p w:rsidR="003917D7" w:rsidRDefault="00F26426" w:rsidP="00823023">
      <w:pPr>
        <w:pStyle w:val="ListParagraph"/>
        <w:numPr>
          <w:ilvl w:val="1"/>
          <w:numId w:val="3"/>
        </w:numPr>
      </w:pPr>
      <w:r>
        <w:lastRenderedPageBreak/>
        <w:t>NN601</w:t>
      </w:r>
      <w:r w:rsidR="002E7BDB">
        <w:t xml:space="preserve"> irradiated inventory levels</w:t>
      </w:r>
      <w:r w:rsidR="003917D7">
        <w:t xml:space="preserve"> (if these levels will result in short-dating more than a couple RBCs, please let Nina or Christine know so the levels can be reevaluated)</w:t>
      </w:r>
    </w:p>
    <w:tbl>
      <w:tblPr>
        <w:tblStyle w:val="TableGrid"/>
        <w:tblW w:w="0" w:type="auto"/>
        <w:tblInd w:w="2520" w:type="dxa"/>
        <w:tblLook w:val="04A0" w:firstRow="1" w:lastRow="0" w:firstColumn="1" w:lastColumn="0" w:noHBand="0" w:noVBand="1"/>
      </w:tblPr>
      <w:tblGrid>
        <w:gridCol w:w="570"/>
        <w:gridCol w:w="607"/>
        <w:gridCol w:w="570"/>
        <w:gridCol w:w="607"/>
        <w:gridCol w:w="570"/>
        <w:gridCol w:w="607"/>
        <w:gridCol w:w="569"/>
        <w:gridCol w:w="607"/>
        <w:gridCol w:w="568"/>
        <w:gridCol w:w="607"/>
        <w:gridCol w:w="567"/>
        <w:gridCol w:w="607"/>
      </w:tblGrid>
      <w:tr w:rsidR="003917D7" w:rsidTr="003917D7">
        <w:tc>
          <w:tcPr>
            <w:tcW w:w="1191"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3917D7" w:rsidRPr="003917D7" w:rsidRDefault="003917D7" w:rsidP="003917D7">
            <w:pPr>
              <w:pStyle w:val="ListParagraph"/>
              <w:ind w:left="0"/>
              <w:jc w:val="center"/>
              <w:rPr>
                <w:b/>
              </w:rPr>
            </w:pPr>
            <w:r w:rsidRPr="003917D7">
              <w:rPr>
                <w:b/>
              </w:rPr>
              <w:t>OPOS</w:t>
            </w:r>
          </w:p>
        </w:tc>
        <w:tc>
          <w:tcPr>
            <w:tcW w:w="1191"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3917D7" w:rsidRPr="003917D7" w:rsidRDefault="003917D7" w:rsidP="003917D7">
            <w:pPr>
              <w:pStyle w:val="ListParagraph"/>
              <w:ind w:left="0"/>
              <w:jc w:val="center"/>
              <w:rPr>
                <w:b/>
              </w:rPr>
            </w:pPr>
            <w:r w:rsidRPr="003917D7">
              <w:rPr>
                <w:b/>
              </w:rPr>
              <w:t>ONEG</w:t>
            </w:r>
          </w:p>
        </w:tc>
        <w:tc>
          <w:tcPr>
            <w:tcW w:w="1189"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3917D7" w:rsidRPr="003917D7" w:rsidRDefault="003917D7" w:rsidP="003917D7">
            <w:pPr>
              <w:pStyle w:val="ListParagraph"/>
              <w:ind w:left="0"/>
              <w:jc w:val="center"/>
              <w:rPr>
                <w:b/>
              </w:rPr>
            </w:pPr>
            <w:r w:rsidRPr="003917D7">
              <w:rPr>
                <w:b/>
              </w:rPr>
              <w:t>APOS</w:t>
            </w:r>
          </w:p>
        </w:tc>
        <w:tc>
          <w:tcPr>
            <w:tcW w:w="1187"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3917D7" w:rsidRPr="003917D7" w:rsidRDefault="003917D7" w:rsidP="003917D7">
            <w:pPr>
              <w:pStyle w:val="ListParagraph"/>
              <w:ind w:left="0"/>
              <w:jc w:val="center"/>
              <w:rPr>
                <w:b/>
              </w:rPr>
            </w:pPr>
            <w:r w:rsidRPr="003917D7">
              <w:rPr>
                <w:b/>
              </w:rPr>
              <w:t>ANEG</w:t>
            </w:r>
          </w:p>
        </w:tc>
        <w:tc>
          <w:tcPr>
            <w:tcW w:w="1181"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3917D7" w:rsidRPr="003917D7" w:rsidRDefault="003917D7" w:rsidP="003917D7">
            <w:pPr>
              <w:pStyle w:val="ListParagraph"/>
              <w:ind w:left="0"/>
              <w:jc w:val="center"/>
              <w:rPr>
                <w:b/>
              </w:rPr>
            </w:pPr>
            <w:r w:rsidRPr="003917D7">
              <w:rPr>
                <w:b/>
              </w:rPr>
              <w:t>BPOS</w:t>
            </w:r>
          </w:p>
        </w:tc>
        <w:tc>
          <w:tcPr>
            <w:tcW w:w="1117"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3917D7" w:rsidRPr="003917D7" w:rsidRDefault="003917D7" w:rsidP="003917D7">
            <w:pPr>
              <w:pStyle w:val="ListParagraph"/>
              <w:ind w:left="0"/>
              <w:jc w:val="center"/>
              <w:rPr>
                <w:b/>
              </w:rPr>
            </w:pPr>
            <w:r w:rsidRPr="003917D7">
              <w:rPr>
                <w:b/>
              </w:rPr>
              <w:t>BNEG</w:t>
            </w:r>
          </w:p>
        </w:tc>
      </w:tr>
      <w:tr w:rsidR="003917D7" w:rsidTr="003917D7">
        <w:tc>
          <w:tcPr>
            <w:tcW w:w="584" w:type="dxa"/>
            <w:tcBorders>
              <w:top w:val="single" w:sz="6" w:space="0" w:color="auto"/>
              <w:left w:val="single" w:sz="12" w:space="0" w:color="auto"/>
              <w:bottom w:val="single" w:sz="6" w:space="0" w:color="auto"/>
              <w:right w:val="single" w:sz="6" w:space="0" w:color="auto"/>
            </w:tcBorders>
          </w:tcPr>
          <w:p w:rsidR="003917D7" w:rsidRPr="003917D7" w:rsidRDefault="003917D7" w:rsidP="003917D7">
            <w:pPr>
              <w:pStyle w:val="ListParagraph"/>
              <w:ind w:left="0"/>
              <w:jc w:val="center"/>
              <w:rPr>
                <w:sz w:val="20"/>
                <w:szCs w:val="20"/>
              </w:rPr>
            </w:pPr>
            <w:r>
              <w:rPr>
                <w:sz w:val="20"/>
                <w:szCs w:val="20"/>
              </w:rPr>
              <w:t>MIN</w:t>
            </w:r>
          </w:p>
        </w:tc>
        <w:tc>
          <w:tcPr>
            <w:tcW w:w="607" w:type="dxa"/>
            <w:tcBorders>
              <w:top w:val="single" w:sz="6" w:space="0" w:color="auto"/>
              <w:left w:val="single" w:sz="6" w:space="0" w:color="auto"/>
              <w:bottom w:val="single" w:sz="6" w:space="0" w:color="auto"/>
              <w:right w:val="single" w:sz="12" w:space="0" w:color="auto"/>
            </w:tcBorders>
          </w:tcPr>
          <w:p w:rsidR="003917D7" w:rsidRPr="003917D7" w:rsidRDefault="003917D7" w:rsidP="003917D7">
            <w:pPr>
              <w:pStyle w:val="ListParagraph"/>
              <w:ind w:left="0"/>
              <w:jc w:val="center"/>
              <w:rPr>
                <w:sz w:val="20"/>
                <w:szCs w:val="20"/>
              </w:rPr>
            </w:pPr>
            <w:r>
              <w:rPr>
                <w:sz w:val="20"/>
                <w:szCs w:val="20"/>
              </w:rPr>
              <w:t>MAX</w:t>
            </w:r>
          </w:p>
        </w:tc>
        <w:tc>
          <w:tcPr>
            <w:tcW w:w="584" w:type="dxa"/>
            <w:tcBorders>
              <w:top w:val="single" w:sz="6" w:space="0" w:color="auto"/>
              <w:left w:val="single" w:sz="12" w:space="0" w:color="auto"/>
              <w:bottom w:val="single" w:sz="6" w:space="0" w:color="auto"/>
              <w:right w:val="single" w:sz="6" w:space="0" w:color="auto"/>
            </w:tcBorders>
          </w:tcPr>
          <w:p w:rsidR="003917D7" w:rsidRPr="003917D7" w:rsidRDefault="003917D7" w:rsidP="003917D7">
            <w:pPr>
              <w:pStyle w:val="ListParagraph"/>
              <w:ind w:left="0"/>
              <w:jc w:val="center"/>
              <w:rPr>
                <w:sz w:val="20"/>
                <w:szCs w:val="20"/>
              </w:rPr>
            </w:pPr>
            <w:r>
              <w:rPr>
                <w:sz w:val="20"/>
                <w:szCs w:val="20"/>
              </w:rPr>
              <w:t>MIN</w:t>
            </w:r>
          </w:p>
        </w:tc>
        <w:tc>
          <w:tcPr>
            <w:tcW w:w="607" w:type="dxa"/>
            <w:tcBorders>
              <w:top w:val="single" w:sz="6" w:space="0" w:color="auto"/>
              <w:left w:val="single" w:sz="6" w:space="0" w:color="auto"/>
              <w:bottom w:val="single" w:sz="6" w:space="0" w:color="auto"/>
              <w:right w:val="single" w:sz="12" w:space="0" w:color="auto"/>
            </w:tcBorders>
          </w:tcPr>
          <w:p w:rsidR="003917D7" w:rsidRPr="003917D7" w:rsidRDefault="003917D7" w:rsidP="003917D7">
            <w:pPr>
              <w:pStyle w:val="ListParagraph"/>
              <w:ind w:left="0"/>
              <w:jc w:val="center"/>
              <w:rPr>
                <w:sz w:val="20"/>
                <w:szCs w:val="20"/>
              </w:rPr>
            </w:pPr>
            <w:r>
              <w:rPr>
                <w:sz w:val="20"/>
                <w:szCs w:val="20"/>
              </w:rPr>
              <w:t>MAX</w:t>
            </w:r>
          </w:p>
        </w:tc>
        <w:tc>
          <w:tcPr>
            <w:tcW w:w="582" w:type="dxa"/>
            <w:tcBorders>
              <w:top w:val="single" w:sz="6" w:space="0" w:color="auto"/>
              <w:left w:val="single" w:sz="12" w:space="0" w:color="auto"/>
              <w:bottom w:val="single" w:sz="6" w:space="0" w:color="auto"/>
              <w:right w:val="single" w:sz="6" w:space="0" w:color="auto"/>
            </w:tcBorders>
          </w:tcPr>
          <w:p w:rsidR="003917D7" w:rsidRPr="003917D7" w:rsidRDefault="003917D7" w:rsidP="003917D7">
            <w:pPr>
              <w:pStyle w:val="ListParagraph"/>
              <w:ind w:left="0"/>
              <w:jc w:val="center"/>
              <w:rPr>
                <w:sz w:val="20"/>
                <w:szCs w:val="20"/>
              </w:rPr>
            </w:pPr>
            <w:r>
              <w:rPr>
                <w:sz w:val="20"/>
                <w:szCs w:val="20"/>
              </w:rPr>
              <w:t>MIN</w:t>
            </w:r>
          </w:p>
        </w:tc>
        <w:tc>
          <w:tcPr>
            <w:tcW w:w="607" w:type="dxa"/>
            <w:tcBorders>
              <w:top w:val="single" w:sz="6" w:space="0" w:color="auto"/>
              <w:left w:val="single" w:sz="6" w:space="0" w:color="auto"/>
              <w:bottom w:val="single" w:sz="6" w:space="0" w:color="auto"/>
              <w:right w:val="single" w:sz="12" w:space="0" w:color="auto"/>
            </w:tcBorders>
          </w:tcPr>
          <w:p w:rsidR="003917D7" w:rsidRPr="003917D7" w:rsidRDefault="003917D7" w:rsidP="003917D7">
            <w:pPr>
              <w:pStyle w:val="ListParagraph"/>
              <w:ind w:left="0"/>
              <w:jc w:val="center"/>
              <w:rPr>
                <w:sz w:val="20"/>
                <w:szCs w:val="20"/>
              </w:rPr>
            </w:pPr>
            <w:r>
              <w:rPr>
                <w:sz w:val="20"/>
                <w:szCs w:val="20"/>
              </w:rPr>
              <w:t>MAX</w:t>
            </w:r>
          </w:p>
        </w:tc>
        <w:tc>
          <w:tcPr>
            <w:tcW w:w="580" w:type="dxa"/>
            <w:tcBorders>
              <w:top w:val="single" w:sz="6" w:space="0" w:color="auto"/>
              <w:left w:val="single" w:sz="12" w:space="0" w:color="auto"/>
              <w:bottom w:val="single" w:sz="6" w:space="0" w:color="auto"/>
              <w:right w:val="single" w:sz="6" w:space="0" w:color="auto"/>
            </w:tcBorders>
          </w:tcPr>
          <w:p w:rsidR="003917D7" w:rsidRPr="003917D7" w:rsidRDefault="003917D7" w:rsidP="003917D7">
            <w:pPr>
              <w:pStyle w:val="ListParagraph"/>
              <w:ind w:left="0"/>
              <w:jc w:val="center"/>
              <w:rPr>
                <w:sz w:val="20"/>
                <w:szCs w:val="20"/>
              </w:rPr>
            </w:pPr>
            <w:r>
              <w:rPr>
                <w:sz w:val="20"/>
                <w:szCs w:val="20"/>
              </w:rPr>
              <w:t>MIN</w:t>
            </w:r>
          </w:p>
        </w:tc>
        <w:tc>
          <w:tcPr>
            <w:tcW w:w="607" w:type="dxa"/>
            <w:tcBorders>
              <w:top w:val="single" w:sz="6" w:space="0" w:color="auto"/>
              <w:left w:val="single" w:sz="6" w:space="0" w:color="auto"/>
              <w:bottom w:val="single" w:sz="6" w:space="0" w:color="auto"/>
              <w:right w:val="single" w:sz="12" w:space="0" w:color="auto"/>
            </w:tcBorders>
          </w:tcPr>
          <w:p w:rsidR="003917D7" w:rsidRPr="003917D7" w:rsidRDefault="003917D7" w:rsidP="003917D7">
            <w:pPr>
              <w:pStyle w:val="ListParagraph"/>
              <w:ind w:left="0"/>
              <w:jc w:val="center"/>
              <w:rPr>
                <w:sz w:val="20"/>
                <w:szCs w:val="20"/>
              </w:rPr>
            </w:pPr>
            <w:r>
              <w:rPr>
                <w:sz w:val="20"/>
                <w:szCs w:val="20"/>
              </w:rPr>
              <w:t>MAX</w:t>
            </w:r>
          </w:p>
        </w:tc>
        <w:tc>
          <w:tcPr>
            <w:tcW w:w="574" w:type="dxa"/>
            <w:tcBorders>
              <w:top w:val="single" w:sz="6" w:space="0" w:color="auto"/>
              <w:left w:val="single" w:sz="12" w:space="0" w:color="auto"/>
              <w:bottom w:val="single" w:sz="6" w:space="0" w:color="auto"/>
              <w:right w:val="single" w:sz="6" w:space="0" w:color="auto"/>
            </w:tcBorders>
          </w:tcPr>
          <w:p w:rsidR="003917D7" w:rsidRPr="003917D7" w:rsidRDefault="003917D7" w:rsidP="003917D7">
            <w:pPr>
              <w:pStyle w:val="ListParagraph"/>
              <w:ind w:left="0"/>
              <w:jc w:val="center"/>
              <w:rPr>
                <w:sz w:val="20"/>
                <w:szCs w:val="20"/>
              </w:rPr>
            </w:pPr>
            <w:r>
              <w:rPr>
                <w:sz w:val="20"/>
                <w:szCs w:val="20"/>
              </w:rPr>
              <w:t>MIN</w:t>
            </w:r>
          </w:p>
        </w:tc>
        <w:tc>
          <w:tcPr>
            <w:tcW w:w="607" w:type="dxa"/>
            <w:tcBorders>
              <w:top w:val="single" w:sz="6" w:space="0" w:color="auto"/>
              <w:left w:val="single" w:sz="6" w:space="0" w:color="auto"/>
              <w:bottom w:val="single" w:sz="6" w:space="0" w:color="auto"/>
              <w:right w:val="single" w:sz="12" w:space="0" w:color="auto"/>
            </w:tcBorders>
          </w:tcPr>
          <w:p w:rsidR="003917D7" w:rsidRPr="003917D7" w:rsidRDefault="003917D7" w:rsidP="003917D7">
            <w:pPr>
              <w:pStyle w:val="ListParagraph"/>
              <w:ind w:left="0"/>
              <w:jc w:val="center"/>
              <w:rPr>
                <w:sz w:val="20"/>
                <w:szCs w:val="20"/>
              </w:rPr>
            </w:pPr>
            <w:r>
              <w:rPr>
                <w:sz w:val="20"/>
                <w:szCs w:val="20"/>
              </w:rPr>
              <w:t>MAX</w:t>
            </w:r>
          </w:p>
        </w:tc>
        <w:tc>
          <w:tcPr>
            <w:tcW w:w="563" w:type="dxa"/>
            <w:tcBorders>
              <w:top w:val="single" w:sz="6" w:space="0" w:color="auto"/>
              <w:left w:val="single" w:sz="12" w:space="0" w:color="auto"/>
              <w:bottom w:val="single" w:sz="6" w:space="0" w:color="auto"/>
              <w:right w:val="single" w:sz="6" w:space="0" w:color="auto"/>
            </w:tcBorders>
          </w:tcPr>
          <w:p w:rsidR="003917D7" w:rsidRPr="003917D7" w:rsidRDefault="003917D7" w:rsidP="003917D7">
            <w:pPr>
              <w:pStyle w:val="ListParagraph"/>
              <w:ind w:left="0"/>
              <w:jc w:val="center"/>
              <w:rPr>
                <w:sz w:val="20"/>
                <w:szCs w:val="20"/>
              </w:rPr>
            </w:pPr>
            <w:r>
              <w:rPr>
                <w:sz w:val="20"/>
                <w:szCs w:val="20"/>
              </w:rPr>
              <w:t>MIN</w:t>
            </w:r>
          </w:p>
        </w:tc>
        <w:tc>
          <w:tcPr>
            <w:tcW w:w="554" w:type="dxa"/>
            <w:tcBorders>
              <w:top w:val="single" w:sz="6" w:space="0" w:color="auto"/>
              <w:left w:val="single" w:sz="6" w:space="0" w:color="auto"/>
              <w:bottom w:val="single" w:sz="6" w:space="0" w:color="auto"/>
              <w:right w:val="single" w:sz="12" w:space="0" w:color="auto"/>
            </w:tcBorders>
          </w:tcPr>
          <w:p w:rsidR="003917D7" w:rsidRPr="003917D7" w:rsidRDefault="003917D7" w:rsidP="003917D7">
            <w:pPr>
              <w:pStyle w:val="ListParagraph"/>
              <w:ind w:left="0"/>
              <w:jc w:val="center"/>
              <w:rPr>
                <w:sz w:val="20"/>
                <w:szCs w:val="20"/>
              </w:rPr>
            </w:pPr>
            <w:r>
              <w:rPr>
                <w:sz w:val="20"/>
                <w:szCs w:val="20"/>
              </w:rPr>
              <w:t>MAX</w:t>
            </w:r>
          </w:p>
        </w:tc>
      </w:tr>
      <w:tr w:rsidR="003917D7" w:rsidTr="003917D7">
        <w:tc>
          <w:tcPr>
            <w:tcW w:w="584" w:type="dxa"/>
            <w:tcBorders>
              <w:top w:val="single" w:sz="6" w:space="0" w:color="auto"/>
              <w:left w:val="single" w:sz="12" w:space="0" w:color="auto"/>
              <w:bottom w:val="single" w:sz="12" w:space="0" w:color="auto"/>
              <w:right w:val="single" w:sz="6" w:space="0" w:color="auto"/>
            </w:tcBorders>
          </w:tcPr>
          <w:p w:rsidR="003917D7" w:rsidRDefault="003917D7" w:rsidP="003917D7">
            <w:pPr>
              <w:pStyle w:val="ListParagraph"/>
              <w:ind w:left="0"/>
              <w:jc w:val="center"/>
            </w:pPr>
            <w:r>
              <w:t>20</w:t>
            </w:r>
          </w:p>
        </w:tc>
        <w:tc>
          <w:tcPr>
            <w:tcW w:w="607" w:type="dxa"/>
            <w:tcBorders>
              <w:top w:val="single" w:sz="6" w:space="0" w:color="auto"/>
              <w:left w:val="single" w:sz="6" w:space="0" w:color="auto"/>
              <w:bottom w:val="single" w:sz="12" w:space="0" w:color="auto"/>
              <w:right w:val="single" w:sz="12" w:space="0" w:color="auto"/>
            </w:tcBorders>
          </w:tcPr>
          <w:p w:rsidR="003917D7" w:rsidRDefault="003917D7" w:rsidP="003917D7">
            <w:pPr>
              <w:pStyle w:val="ListParagraph"/>
              <w:ind w:left="0"/>
              <w:jc w:val="center"/>
            </w:pPr>
            <w:r>
              <w:t>30</w:t>
            </w:r>
          </w:p>
        </w:tc>
        <w:tc>
          <w:tcPr>
            <w:tcW w:w="584" w:type="dxa"/>
            <w:tcBorders>
              <w:top w:val="single" w:sz="6" w:space="0" w:color="auto"/>
              <w:left w:val="single" w:sz="12" w:space="0" w:color="auto"/>
              <w:bottom w:val="single" w:sz="12" w:space="0" w:color="auto"/>
              <w:right w:val="single" w:sz="6" w:space="0" w:color="auto"/>
            </w:tcBorders>
          </w:tcPr>
          <w:p w:rsidR="003917D7" w:rsidRDefault="003917D7" w:rsidP="003917D7">
            <w:pPr>
              <w:pStyle w:val="ListParagraph"/>
              <w:ind w:left="0"/>
              <w:jc w:val="center"/>
            </w:pPr>
            <w:r>
              <w:t>5</w:t>
            </w:r>
          </w:p>
        </w:tc>
        <w:tc>
          <w:tcPr>
            <w:tcW w:w="607" w:type="dxa"/>
            <w:tcBorders>
              <w:top w:val="single" w:sz="6" w:space="0" w:color="auto"/>
              <w:left w:val="single" w:sz="6" w:space="0" w:color="auto"/>
              <w:bottom w:val="single" w:sz="12" w:space="0" w:color="auto"/>
              <w:right w:val="single" w:sz="12" w:space="0" w:color="auto"/>
            </w:tcBorders>
          </w:tcPr>
          <w:p w:rsidR="003917D7" w:rsidRDefault="003917D7" w:rsidP="003917D7">
            <w:pPr>
              <w:pStyle w:val="ListParagraph"/>
              <w:ind w:left="0"/>
              <w:jc w:val="center"/>
            </w:pPr>
            <w:r>
              <w:t>10</w:t>
            </w:r>
          </w:p>
        </w:tc>
        <w:tc>
          <w:tcPr>
            <w:tcW w:w="582" w:type="dxa"/>
            <w:tcBorders>
              <w:top w:val="single" w:sz="6" w:space="0" w:color="auto"/>
              <w:left w:val="single" w:sz="12" w:space="0" w:color="auto"/>
              <w:bottom w:val="single" w:sz="12" w:space="0" w:color="auto"/>
              <w:right w:val="single" w:sz="6" w:space="0" w:color="auto"/>
            </w:tcBorders>
          </w:tcPr>
          <w:p w:rsidR="003917D7" w:rsidRDefault="003917D7" w:rsidP="003917D7">
            <w:pPr>
              <w:pStyle w:val="ListParagraph"/>
              <w:ind w:left="0"/>
              <w:jc w:val="center"/>
            </w:pPr>
            <w:r>
              <w:t>20</w:t>
            </w:r>
          </w:p>
        </w:tc>
        <w:tc>
          <w:tcPr>
            <w:tcW w:w="607" w:type="dxa"/>
            <w:tcBorders>
              <w:top w:val="single" w:sz="6" w:space="0" w:color="auto"/>
              <w:left w:val="single" w:sz="6" w:space="0" w:color="auto"/>
              <w:bottom w:val="single" w:sz="12" w:space="0" w:color="auto"/>
              <w:right w:val="single" w:sz="12" w:space="0" w:color="auto"/>
            </w:tcBorders>
          </w:tcPr>
          <w:p w:rsidR="003917D7" w:rsidRDefault="003917D7" w:rsidP="003917D7">
            <w:pPr>
              <w:pStyle w:val="ListParagraph"/>
              <w:ind w:left="0"/>
              <w:jc w:val="center"/>
            </w:pPr>
            <w:r>
              <w:t>30</w:t>
            </w:r>
          </w:p>
        </w:tc>
        <w:tc>
          <w:tcPr>
            <w:tcW w:w="580" w:type="dxa"/>
            <w:tcBorders>
              <w:top w:val="single" w:sz="6" w:space="0" w:color="auto"/>
              <w:left w:val="single" w:sz="12" w:space="0" w:color="auto"/>
              <w:bottom w:val="single" w:sz="12" w:space="0" w:color="auto"/>
              <w:right w:val="single" w:sz="6" w:space="0" w:color="auto"/>
            </w:tcBorders>
          </w:tcPr>
          <w:p w:rsidR="003917D7" w:rsidRDefault="003917D7" w:rsidP="003917D7">
            <w:pPr>
              <w:pStyle w:val="ListParagraph"/>
              <w:ind w:left="0"/>
              <w:jc w:val="center"/>
            </w:pPr>
            <w:r>
              <w:t>5</w:t>
            </w:r>
          </w:p>
        </w:tc>
        <w:tc>
          <w:tcPr>
            <w:tcW w:w="607" w:type="dxa"/>
            <w:tcBorders>
              <w:top w:val="single" w:sz="6" w:space="0" w:color="auto"/>
              <w:left w:val="single" w:sz="6" w:space="0" w:color="auto"/>
              <w:bottom w:val="single" w:sz="12" w:space="0" w:color="auto"/>
              <w:right w:val="single" w:sz="12" w:space="0" w:color="auto"/>
            </w:tcBorders>
          </w:tcPr>
          <w:p w:rsidR="003917D7" w:rsidRDefault="003917D7" w:rsidP="003917D7">
            <w:pPr>
              <w:pStyle w:val="ListParagraph"/>
              <w:ind w:left="0"/>
              <w:jc w:val="center"/>
            </w:pPr>
            <w:r>
              <w:t>10</w:t>
            </w:r>
          </w:p>
        </w:tc>
        <w:tc>
          <w:tcPr>
            <w:tcW w:w="574" w:type="dxa"/>
            <w:tcBorders>
              <w:top w:val="single" w:sz="6" w:space="0" w:color="auto"/>
              <w:left w:val="single" w:sz="12" w:space="0" w:color="auto"/>
              <w:bottom w:val="single" w:sz="12" w:space="0" w:color="auto"/>
              <w:right w:val="single" w:sz="6" w:space="0" w:color="auto"/>
            </w:tcBorders>
          </w:tcPr>
          <w:p w:rsidR="003917D7" w:rsidRDefault="003917D7" w:rsidP="003917D7">
            <w:pPr>
              <w:pStyle w:val="ListParagraph"/>
              <w:ind w:left="0"/>
              <w:jc w:val="center"/>
            </w:pPr>
            <w:r>
              <w:t>5</w:t>
            </w:r>
          </w:p>
        </w:tc>
        <w:tc>
          <w:tcPr>
            <w:tcW w:w="607" w:type="dxa"/>
            <w:tcBorders>
              <w:top w:val="single" w:sz="6" w:space="0" w:color="auto"/>
              <w:left w:val="single" w:sz="6" w:space="0" w:color="auto"/>
              <w:bottom w:val="single" w:sz="12" w:space="0" w:color="auto"/>
              <w:right w:val="single" w:sz="12" w:space="0" w:color="auto"/>
            </w:tcBorders>
          </w:tcPr>
          <w:p w:rsidR="003917D7" w:rsidRDefault="003917D7" w:rsidP="003917D7">
            <w:pPr>
              <w:pStyle w:val="ListParagraph"/>
              <w:ind w:left="0"/>
              <w:jc w:val="center"/>
            </w:pPr>
            <w:r>
              <w:t>10</w:t>
            </w:r>
          </w:p>
        </w:tc>
        <w:tc>
          <w:tcPr>
            <w:tcW w:w="563" w:type="dxa"/>
            <w:tcBorders>
              <w:top w:val="single" w:sz="6" w:space="0" w:color="auto"/>
              <w:left w:val="single" w:sz="12" w:space="0" w:color="auto"/>
              <w:bottom w:val="single" w:sz="12" w:space="0" w:color="auto"/>
              <w:right w:val="single" w:sz="6" w:space="0" w:color="auto"/>
            </w:tcBorders>
          </w:tcPr>
          <w:p w:rsidR="003917D7" w:rsidRDefault="003917D7" w:rsidP="003917D7">
            <w:pPr>
              <w:pStyle w:val="ListParagraph"/>
              <w:ind w:left="0"/>
              <w:jc w:val="center"/>
            </w:pPr>
            <w:r>
              <w:t>2</w:t>
            </w:r>
          </w:p>
        </w:tc>
        <w:tc>
          <w:tcPr>
            <w:tcW w:w="554" w:type="dxa"/>
            <w:tcBorders>
              <w:top w:val="single" w:sz="6" w:space="0" w:color="auto"/>
              <w:left w:val="single" w:sz="6" w:space="0" w:color="auto"/>
              <w:bottom w:val="single" w:sz="12" w:space="0" w:color="auto"/>
              <w:right w:val="single" w:sz="12" w:space="0" w:color="auto"/>
            </w:tcBorders>
          </w:tcPr>
          <w:p w:rsidR="003917D7" w:rsidRDefault="003917D7" w:rsidP="003917D7">
            <w:pPr>
              <w:pStyle w:val="ListParagraph"/>
              <w:ind w:left="0"/>
              <w:jc w:val="center"/>
            </w:pPr>
            <w:r>
              <w:t>3</w:t>
            </w:r>
          </w:p>
        </w:tc>
      </w:tr>
    </w:tbl>
    <w:p w:rsidR="002E7BDB" w:rsidRDefault="002E7BDB" w:rsidP="003917D7">
      <w:pPr>
        <w:pStyle w:val="ListParagraph"/>
        <w:ind w:left="2520"/>
      </w:pPr>
    </w:p>
    <w:p w:rsidR="00D1127C" w:rsidRDefault="00D1127C" w:rsidP="0035507D">
      <w:pPr>
        <w:pStyle w:val="ListParagraph"/>
        <w:numPr>
          <w:ilvl w:val="0"/>
          <w:numId w:val="3"/>
        </w:numPr>
      </w:pPr>
      <w:r>
        <w:t>RBC inventory should be stored in a manner that separates available irradiated from available non-irradiated RBCs.</w:t>
      </w:r>
      <w:r w:rsidR="002E7BDB">
        <w:t xml:space="preserve"> </w:t>
      </w:r>
    </w:p>
    <w:p w:rsidR="00C14207" w:rsidRDefault="00C14207" w:rsidP="00C14207"/>
    <w:p w:rsidR="00C14207" w:rsidRDefault="00C14207" w:rsidP="00C14207"/>
    <w:p w:rsidR="00C14207" w:rsidRDefault="00C14207" w:rsidP="00C14207"/>
    <w:p w:rsidR="00C14207" w:rsidRDefault="00C14207" w:rsidP="00C14207"/>
    <w:p w:rsidR="00C14207" w:rsidRDefault="00C14207" w:rsidP="00C14207"/>
    <w:p w:rsidR="00C14207" w:rsidRDefault="00C14207" w:rsidP="00C14207"/>
    <w:p w:rsidR="00C14207" w:rsidRDefault="00C14207" w:rsidP="00C14207"/>
    <w:p w:rsidR="00C14207" w:rsidRDefault="00C14207" w:rsidP="00C14207"/>
    <w:p w:rsidR="00C14207" w:rsidRDefault="00C14207" w:rsidP="00C14207"/>
    <w:sectPr w:rsidR="00C142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CE" w:rsidRDefault="006C0ACE" w:rsidP="006C0ACE">
      <w:pPr>
        <w:spacing w:after="0" w:line="240" w:lineRule="auto"/>
      </w:pPr>
      <w:r>
        <w:separator/>
      </w:r>
    </w:p>
  </w:endnote>
  <w:endnote w:type="continuationSeparator" w:id="0">
    <w:p w:rsidR="006C0ACE" w:rsidRDefault="006C0ACE" w:rsidP="006C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54" w:rsidRDefault="006F4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97187"/>
      <w:docPartObj>
        <w:docPartGallery w:val="Page Numbers (Bottom of Page)"/>
        <w:docPartUnique/>
      </w:docPartObj>
    </w:sdtPr>
    <w:sdtEndPr>
      <w:rPr>
        <w:noProof/>
      </w:rPr>
    </w:sdtEndPr>
    <w:sdtContent>
      <w:p w:rsidR="006F4D54" w:rsidRDefault="006F4D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F4D54" w:rsidRDefault="006F4D54" w:rsidP="006F4D54">
    <w:pPr>
      <w:pStyle w:val="Footer"/>
      <w:jc w:val="righ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54" w:rsidRDefault="006F4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CE" w:rsidRDefault="006C0ACE" w:rsidP="006C0ACE">
      <w:pPr>
        <w:spacing w:after="0" w:line="240" w:lineRule="auto"/>
      </w:pPr>
      <w:r>
        <w:separator/>
      </w:r>
    </w:p>
  </w:footnote>
  <w:footnote w:type="continuationSeparator" w:id="0">
    <w:p w:rsidR="006C0ACE" w:rsidRDefault="006C0ACE" w:rsidP="006C0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54" w:rsidRDefault="006F4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54" w:rsidRDefault="006F4D54" w:rsidP="006F4D54">
    <w:pPr>
      <w:pStyle w:val="Header"/>
      <w:jc w:val="center"/>
    </w:pPr>
  </w:p>
  <w:p w:rsidR="006C0ACE" w:rsidRPr="0067482E" w:rsidRDefault="006C0ACE" w:rsidP="0067482E">
    <w:pPr>
      <w:pStyle w:val="Header"/>
      <w:jc w:val="center"/>
      <w:rPr>
        <w:b/>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54" w:rsidRDefault="006F4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092A"/>
    <w:multiLevelType w:val="hybridMultilevel"/>
    <w:tmpl w:val="9F4244E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D898BC8A">
      <w:start w:val="1"/>
      <w:numFmt w:val="bullet"/>
      <w:lvlText w:val="-"/>
      <w:lvlJc w:val="left"/>
      <w:pPr>
        <w:ind w:left="2520" w:hanging="180"/>
      </w:pPr>
      <w:rPr>
        <w:rFonts w:ascii="Verdana" w:hAnsi="Verdana"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E06F58"/>
    <w:multiLevelType w:val="hybridMultilevel"/>
    <w:tmpl w:val="9C8A04B8"/>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D898BC8A">
      <w:start w:val="1"/>
      <w:numFmt w:val="bullet"/>
      <w:lvlText w:val="-"/>
      <w:lvlJc w:val="left"/>
      <w:pPr>
        <w:ind w:left="3240" w:hanging="180"/>
      </w:pPr>
      <w:rPr>
        <w:rFonts w:ascii="Verdana" w:hAnsi="Verdana"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996674B"/>
    <w:multiLevelType w:val="hybridMultilevel"/>
    <w:tmpl w:val="5C50037C"/>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47537B9"/>
    <w:multiLevelType w:val="hybridMultilevel"/>
    <w:tmpl w:val="D2E41EBC"/>
    <w:lvl w:ilvl="0" w:tplc="D898BC8A">
      <w:start w:val="1"/>
      <w:numFmt w:val="bullet"/>
      <w:lvlText w:val="-"/>
      <w:lvlJc w:val="left"/>
      <w:pPr>
        <w:ind w:left="2520" w:hanging="360"/>
      </w:pPr>
      <w:rPr>
        <w:rFonts w:ascii="Verdana" w:hAnsi="Verdan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CE"/>
    <w:rsid w:val="00067A0B"/>
    <w:rsid w:val="00185FA1"/>
    <w:rsid w:val="00255876"/>
    <w:rsid w:val="00297BE8"/>
    <w:rsid w:val="002C4FC0"/>
    <w:rsid w:val="002E4937"/>
    <w:rsid w:val="002E7BDB"/>
    <w:rsid w:val="0035507D"/>
    <w:rsid w:val="003917D7"/>
    <w:rsid w:val="00404258"/>
    <w:rsid w:val="00423B1A"/>
    <w:rsid w:val="00565F10"/>
    <w:rsid w:val="0067482E"/>
    <w:rsid w:val="00684C8A"/>
    <w:rsid w:val="006A336F"/>
    <w:rsid w:val="006C0ACE"/>
    <w:rsid w:val="006F4D54"/>
    <w:rsid w:val="00823023"/>
    <w:rsid w:val="008E3854"/>
    <w:rsid w:val="00A43CE6"/>
    <w:rsid w:val="00B911FE"/>
    <w:rsid w:val="00B9511C"/>
    <w:rsid w:val="00BE6C5F"/>
    <w:rsid w:val="00C14207"/>
    <w:rsid w:val="00D1127C"/>
    <w:rsid w:val="00D93A94"/>
    <w:rsid w:val="00F2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CE"/>
  </w:style>
  <w:style w:type="paragraph" w:styleId="Footer">
    <w:name w:val="footer"/>
    <w:basedOn w:val="Normal"/>
    <w:link w:val="FooterChar"/>
    <w:uiPriority w:val="99"/>
    <w:unhideWhenUsed/>
    <w:rsid w:val="006C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CE"/>
  </w:style>
  <w:style w:type="paragraph" w:styleId="BalloonText">
    <w:name w:val="Balloon Text"/>
    <w:basedOn w:val="Normal"/>
    <w:link w:val="BalloonTextChar"/>
    <w:uiPriority w:val="99"/>
    <w:semiHidden/>
    <w:unhideWhenUsed/>
    <w:rsid w:val="006C0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ACE"/>
    <w:rPr>
      <w:rFonts w:ascii="Tahoma" w:hAnsi="Tahoma" w:cs="Tahoma"/>
      <w:sz w:val="16"/>
      <w:szCs w:val="16"/>
    </w:rPr>
  </w:style>
  <w:style w:type="paragraph" w:styleId="ListParagraph">
    <w:name w:val="List Paragraph"/>
    <w:basedOn w:val="Normal"/>
    <w:uiPriority w:val="34"/>
    <w:qFormat/>
    <w:rsid w:val="0067482E"/>
    <w:pPr>
      <w:ind w:left="720"/>
      <w:contextualSpacing/>
    </w:pPr>
  </w:style>
  <w:style w:type="table" w:styleId="TableGrid">
    <w:name w:val="Table Grid"/>
    <w:basedOn w:val="TableNormal"/>
    <w:uiPriority w:val="59"/>
    <w:rsid w:val="0039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CE"/>
  </w:style>
  <w:style w:type="paragraph" w:styleId="Footer">
    <w:name w:val="footer"/>
    <w:basedOn w:val="Normal"/>
    <w:link w:val="FooterChar"/>
    <w:uiPriority w:val="99"/>
    <w:unhideWhenUsed/>
    <w:rsid w:val="006C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CE"/>
  </w:style>
  <w:style w:type="paragraph" w:styleId="BalloonText">
    <w:name w:val="Balloon Text"/>
    <w:basedOn w:val="Normal"/>
    <w:link w:val="BalloonTextChar"/>
    <w:uiPriority w:val="99"/>
    <w:semiHidden/>
    <w:unhideWhenUsed/>
    <w:rsid w:val="006C0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ACE"/>
    <w:rPr>
      <w:rFonts w:ascii="Tahoma" w:hAnsi="Tahoma" w:cs="Tahoma"/>
      <w:sz w:val="16"/>
      <w:szCs w:val="16"/>
    </w:rPr>
  </w:style>
  <w:style w:type="paragraph" w:styleId="ListParagraph">
    <w:name w:val="List Paragraph"/>
    <w:basedOn w:val="Normal"/>
    <w:uiPriority w:val="34"/>
    <w:qFormat/>
    <w:rsid w:val="0067482E"/>
    <w:pPr>
      <w:ind w:left="720"/>
      <w:contextualSpacing/>
    </w:pPr>
  </w:style>
  <w:style w:type="table" w:styleId="TableGrid">
    <w:name w:val="Table Grid"/>
    <w:basedOn w:val="TableNormal"/>
    <w:uiPriority w:val="59"/>
    <w:rsid w:val="0039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C9BA-0BD0-47D5-B692-2CB1312D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2</cp:revision>
  <cp:lastPrinted>2018-04-25T23:29:00Z</cp:lastPrinted>
  <dcterms:created xsi:type="dcterms:W3CDTF">2018-04-26T00:26:00Z</dcterms:created>
  <dcterms:modified xsi:type="dcterms:W3CDTF">2018-04-26T00:26:00Z</dcterms:modified>
</cp:coreProperties>
</file>