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B44CB1">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B44CB1">
              <w:rPr>
                <w:rFonts w:asciiTheme="minorHAnsi" w:hAnsiTheme="minorHAnsi"/>
              </w:rPr>
              <w:t>12/20/18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B44CB1">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B44CB1">
              <w:rPr>
                <w:color w:val="000000"/>
                <w:sz w:val="23"/>
                <w:szCs w:val="23"/>
              </w:rPr>
              <w:t>am accountable for Excellence</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B44CB1" w:rsidRPr="00B44CB1" w:rsidRDefault="00B44CB1" w:rsidP="00B44CB1">
            <w:pPr>
              <w:pStyle w:val="ListParagraph"/>
              <w:numPr>
                <w:ilvl w:val="0"/>
                <w:numId w:val="28"/>
              </w:numPr>
            </w:pPr>
            <w:r>
              <w:rPr>
                <w:b w:val="0"/>
              </w:rPr>
              <w:t xml:space="preserve">Harborview Hall opening </w:t>
            </w:r>
            <w:r w:rsidR="00C53E05">
              <w:rPr>
                <w:b w:val="0"/>
              </w:rPr>
              <w:t>12/14</w:t>
            </w:r>
            <w:r>
              <w:rPr>
                <w:b w:val="0"/>
              </w:rPr>
              <w:t xml:space="preserve"> – open from </w:t>
            </w:r>
            <w:r w:rsidR="00C53E05">
              <w:rPr>
                <w:b w:val="0"/>
              </w:rPr>
              <w:t xml:space="preserve">7pm-7am </w:t>
            </w:r>
            <w:r>
              <w:rPr>
                <w:b w:val="0"/>
              </w:rPr>
              <w:t>but intake line up will begin at 5pm</w:t>
            </w:r>
            <w:r w:rsidR="00C53E05">
              <w:rPr>
                <w:b w:val="0"/>
              </w:rPr>
              <w:t xml:space="preserve"> (**update – intake line is down in Pioneer Square not at HMC)</w:t>
            </w:r>
          </w:p>
          <w:p w:rsidR="00273944" w:rsidRPr="00B44CB1" w:rsidRDefault="00B44CB1" w:rsidP="00B44CB1">
            <w:pPr>
              <w:pStyle w:val="ListParagraph"/>
              <w:numPr>
                <w:ilvl w:val="0"/>
                <w:numId w:val="28"/>
              </w:numPr>
            </w:pPr>
            <w:r>
              <w:rPr>
                <w:b w:val="0"/>
              </w:rPr>
              <w:t>Security updates – additional lighting and cameras, Boren parking garage door closed</w:t>
            </w:r>
            <w:r w:rsidR="00C53E05">
              <w:rPr>
                <w:b w:val="0"/>
              </w:rPr>
              <w:t xml:space="preserve"> during non-busy hours</w:t>
            </w:r>
            <w:r>
              <w:rPr>
                <w:b w:val="0"/>
              </w:rPr>
              <w:t>, officers at building entrances, weapons screening in ED</w:t>
            </w:r>
            <w:r w:rsidR="00C53E05">
              <w:rPr>
                <w:b w:val="0"/>
              </w:rPr>
              <w:t>. Hospital is requesting employees use entrances other than the ED on weekends and off shifts.</w:t>
            </w:r>
            <w:r>
              <w:rPr>
                <w:b w:val="0"/>
              </w:rPr>
              <w:t xml:space="preserve"> </w:t>
            </w:r>
          </w:p>
          <w:p w:rsidR="00B44CB1" w:rsidRPr="00E15717" w:rsidRDefault="00B44CB1" w:rsidP="00B44CB1">
            <w:pPr>
              <w:pStyle w:val="ListParagraph"/>
              <w:numPr>
                <w:ilvl w:val="0"/>
                <w:numId w:val="28"/>
              </w:numPr>
            </w:pPr>
            <w:r>
              <w:rPr>
                <w:b w:val="0"/>
              </w:rPr>
              <w:t xml:space="preserve">Paid family and medical leave benefits in the form of partial wage replacement – this is </w:t>
            </w:r>
            <w:r w:rsidR="00E15717">
              <w:rPr>
                <w:b w:val="0"/>
              </w:rPr>
              <w:t>separate from FMLA and will be taken out of paycheck at 0.4% of gross wages beginning in July</w:t>
            </w:r>
            <w:r w:rsidR="00F13E8B">
              <w:rPr>
                <w:b w:val="0"/>
              </w:rPr>
              <w:t xml:space="preserve"> and benefits available for use 1/1/20</w:t>
            </w:r>
            <w:r w:rsidR="00C53E05">
              <w:rPr>
                <w:b w:val="0"/>
              </w:rPr>
              <w:t xml:space="preserve">. An email was sent out by UW HR, please </w:t>
            </w:r>
            <w:r w:rsidR="00F13E8B">
              <w:rPr>
                <w:b w:val="0"/>
              </w:rPr>
              <w:t>review and see paidleavewa.gov for more info.</w:t>
            </w:r>
          </w:p>
          <w:p w:rsidR="00E15717" w:rsidRPr="00E15717" w:rsidRDefault="00E15717" w:rsidP="00B44CB1">
            <w:pPr>
              <w:pStyle w:val="ListParagraph"/>
              <w:numPr>
                <w:ilvl w:val="0"/>
                <w:numId w:val="28"/>
              </w:numPr>
            </w:pPr>
            <w:r>
              <w:rPr>
                <w:b w:val="0"/>
              </w:rPr>
              <w:t>SR99 closure beginning 1/4/19</w:t>
            </w:r>
            <w:r w:rsidR="00F13E8B">
              <w:rPr>
                <w:b w:val="0"/>
              </w:rPr>
              <w:t xml:space="preserve"> and about 90,000 vehicles are being routed onto surface streets and I-5. See the flier in the break room for more information and helpful websites.</w:t>
            </w:r>
          </w:p>
          <w:p w:rsidR="00E15717" w:rsidRPr="00E15717" w:rsidRDefault="00E15717" w:rsidP="00B44CB1">
            <w:pPr>
              <w:pStyle w:val="ListParagraph"/>
              <w:numPr>
                <w:ilvl w:val="0"/>
                <w:numId w:val="28"/>
              </w:numPr>
            </w:pPr>
            <w:r>
              <w:rPr>
                <w:b w:val="0"/>
              </w:rPr>
              <w:t>ED construction taking over 8MB/APA so APA moves to 6CT</w:t>
            </w:r>
            <w:r w:rsidR="00F13E8B">
              <w:rPr>
                <w:b w:val="0"/>
              </w:rPr>
              <w:t>. Ensure you are sending products to the correct tube stations instead of using the posted cheat sheets.</w:t>
            </w:r>
          </w:p>
          <w:p w:rsidR="00E15717" w:rsidRPr="004A1FBA" w:rsidRDefault="00E15717" w:rsidP="00B44CB1">
            <w:pPr>
              <w:pStyle w:val="ListParagraph"/>
              <w:numPr>
                <w:ilvl w:val="0"/>
                <w:numId w:val="28"/>
              </w:numPr>
            </w:pPr>
            <w:r>
              <w:rPr>
                <w:b w:val="0"/>
              </w:rPr>
              <w:t xml:space="preserve">EPIC </w:t>
            </w:r>
            <w:r w:rsidR="002C6D07">
              <w:rPr>
                <w:b w:val="0"/>
              </w:rPr>
              <w:t>– single EHR. NWH 1</w:t>
            </w:r>
            <w:r w:rsidR="002C6D07" w:rsidRPr="002C6D07">
              <w:rPr>
                <w:b w:val="0"/>
                <w:vertAlign w:val="superscript"/>
              </w:rPr>
              <w:t>st</w:t>
            </w:r>
            <w:r w:rsidR="002C6D07">
              <w:rPr>
                <w:b w:val="0"/>
              </w:rPr>
              <w:t xml:space="preserve"> to go April 2020</w:t>
            </w:r>
            <w:r w:rsidR="00F13E8B">
              <w:rPr>
                <w:b w:val="0"/>
              </w:rPr>
              <w:t xml:space="preserve">. Right now, Lab is considered out of scope and is staying with </w:t>
            </w:r>
            <w:proofErr w:type="spellStart"/>
            <w:r w:rsidR="00F13E8B">
              <w:rPr>
                <w:b w:val="0"/>
              </w:rPr>
              <w:t>Sunquest</w:t>
            </w:r>
            <w:proofErr w:type="spellEnd"/>
            <w:r w:rsidR="00F13E8B">
              <w:rPr>
                <w:b w:val="0"/>
              </w:rPr>
              <w:t>. There is no EPIC blood bank module so we will either stick with SQ or move to another company such as HCLL. The OR will be using EPIC for all of their charting and have touch screens so blood products should be requested through there instead of verbally.</w:t>
            </w:r>
          </w:p>
          <w:p w:rsidR="004A1FBA" w:rsidRPr="00477B93" w:rsidRDefault="004A1FBA" w:rsidP="00B44CB1">
            <w:pPr>
              <w:pStyle w:val="ListParagraph"/>
              <w:numPr>
                <w:ilvl w:val="0"/>
                <w:numId w:val="28"/>
              </w:numPr>
            </w:pPr>
            <w:r>
              <w:rPr>
                <w:b w:val="0"/>
              </w:rPr>
              <w:t xml:space="preserve">For verbal orders to be valid they must include the ordering provider name, your name, the date and time, and number of units ordered.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D37E2C" w:rsidP="00556814">
            <w:pPr>
              <w:pStyle w:val="ListParagraph"/>
              <w:numPr>
                <w:ilvl w:val="0"/>
                <w:numId w:val="4"/>
              </w:numPr>
              <w:rPr>
                <w:b w:val="0"/>
              </w:rPr>
            </w:pPr>
            <w:r>
              <w:rPr>
                <w:b w:val="0"/>
              </w:rPr>
              <w:t>2 o</w:t>
            </w:r>
            <w:r w:rsidR="00A60061">
              <w:rPr>
                <w:b w:val="0"/>
              </w:rPr>
              <w:t xml:space="preserve">pen MLS 1/trainee position on </w:t>
            </w:r>
            <w:r w:rsidR="00890FE9">
              <w:rPr>
                <w:b w:val="0"/>
              </w:rPr>
              <w:t>nights</w:t>
            </w:r>
            <w:r w:rsidR="00C549CF">
              <w:rPr>
                <w:b w:val="0"/>
              </w:rPr>
              <w:t xml:space="preserve">, </w:t>
            </w:r>
            <w:r w:rsidR="00B44CB1">
              <w:rPr>
                <w:b w:val="0"/>
              </w:rPr>
              <w:t>2</w:t>
            </w:r>
            <w:r w:rsidR="006E56FA">
              <w:rPr>
                <w:b w:val="0"/>
              </w:rPr>
              <w:t xml:space="preserve"> open MLS1 on eves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r w:rsidR="00810AC5">
              <w:rPr>
                <w:b w:val="0"/>
              </w:rPr>
              <w:t xml:space="preserve">. </w:t>
            </w:r>
            <w:proofErr w:type="spellStart"/>
            <w:r w:rsidR="00810AC5">
              <w:rPr>
                <w:b w:val="0"/>
              </w:rPr>
              <w:t>Temptrak</w:t>
            </w:r>
            <w:proofErr w:type="spellEnd"/>
            <w:r w:rsidR="00810AC5">
              <w:rPr>
                <w:b w:val="0"/>
              </w:rPr>
              <w:t xml:space="preserve"> doesn’t always take 5 temperatures at 5 min intervals and this wasn’t caught before. Because we don’t have chart recorders, we need a way to ensure temps are being taken.</w:t>
            </w:r>
          </w:p>
          <w:p w:rsidR="006B1622" w:rsidRDefault="00191D49" w:rsidP="002D2663">
            <w:pPr>
              <w:pStyle w:val="ListParagraph"/>
              <w:numPr>
                <w:ilvl w:val="0"/>
                <w:numId w:val="4"/>
              </w:numPr>
              <w:rPr>
                <w:b w:val="0"/>
              </w:rPr>
            </w:pPr>
            <w:r>
              <w:rPr>
                <w:b w:val="0"/>
              </w:rPr>
              <w:t xml:space="preserve">Competencies- </w:t>
            </w:r>
            <w:r w:rsidR="00647270">
              <w:rPr>
                <w:b w:val="0"/>
              </w:rPr>
              <w:t>DOs and annual</w:t>
            </w:r>
            <w:r w:rsidR="00810AC5">
              <w:rPr>
                <w:b w:val="0"/>
              </w:rPr>
              <w:t xml:space="preserve"> were due Dec 15</w:t>
            </w:r>
            <w:r w:rsidR="00810AC5" w:rsidRPr="00810AC5">
              <w:rPr>
                <w:b w:val="0"/>
                <w:vertAlign w:val="superscript"/>
              </w:rPr>
              <w:t>th</w:t>
            </w:r>
            <w:r w:rsidR="00810AC5">
              <w:rPr>
                <w:b w:val="0"/>
              </w:rPr>
              <w:t>. Lots still outstanding</w:t>
            </w:r>
          </w:p>
          <w:p w:rsidR="008D02B2" w:rsidRPr="008D02B2" w:rsidRDefault="00362D07" w:rsidP="008D02B2">
            <w:pPr>
              <w:pStyle w:val="ListParagraph"/>
              <w:numPr>
                <w:ilvl w:val="0"/>
                <w:numId w:val="4"/>
              </w:numPr>
              <w:rPr>
                <w:b w:val="0"/>
              </w:rPr>
            </w:pPr>
            <w:r>
              <w:rPr>
                <w:b w:val="0"/>
              </w:rPr>
              <w:lastRenderedPageBreak/>
              <w:t>AABB inspection</w:t>
            </w:r>
            <w:r w:rsidR="00E15717">
              <w:rPr>
                <w:b w:val="0"/>
              </w:rPr>
              <w:t xml:space="preserve"> – looked for holes and gaps in documentation (maintenance)</w:t>
            </w:r>
            <w:r w:rsidR="002F2162">
              <w:rPr>
                <w:b w:val="0"/>
              </w:rPr>
              <w:t>, SOPs read on time</w:t>
            </w:r>
          </w:p>
          <w:p w:rsidR="00273944" w:rsidRDefault="00273944" w:rsidP="006E56FA">
            <w:pPr>
              <w:pStyle w:val="ListParagraph"/>
              <w:numPr>
                <w:ilvl w:val="0"/>
                <w:numId w:val="4"/>
              </w:numPr>
              <w:rPr>
                <w:b w:val="0"/>
              </w:rPr>
            </w:pPr>
            <w:r>
              <w:rPr>
                <w:b w:val="0"/>
              </w:rPr>
              <w:t>Breakroom cleaning</w:t>
            </w:r>
            <w:r w:rsidR="00810AC5">
              <w:rPr>
                <w:b w:val="0"/>
              </w:rPr>
              <w:t xml:space="preserve"> – please continue to do.</w:t>
            </w:r>
          </w:p>
          <w:p w:rsidR="00810AC5" w:rsidRDefault="00810AC5" w:rsidP="006E56FA">
            <w:pPr>
              <w:pStyle w:val="ListParagraph"/>
              <w:numPr>
                <w:ilvl w:val="0"/>
                <w:numId w:val="4"/>
              </w:numPr>
              <w:rPr>
                <w:b w:val="0"/>
              </w:rPr>
            </w:pPr>
            <w:r>
              <w:rPr>
                <w:b w:val="0"/>
              </w:rPr>
              <w:t>Trauma logs – SOP calls for a second check and documentation but this hasn’t been done. Start doing it – things to look at are making sure paperwork is complete (all boxes at top filled in), correct containers are issued/returned.</w:t>
            </w:r>
          </w:p>
          <w:p w:rsidR="008D02B2" w:rsidRPr="006E56FA" w:rsidRDefault="00810AC5" w:rsidP="006E56FA">
            <w:pPr>
              <w:pStyle w:val="ListParagraph"/>
              <w:numPr>
                <w:ilvl w:val="0"/>
                <w:numId w:val="4"/>
              </w:numPr>
              <w:rPr>
                <w:b w:val="0"/>
              </w:rPr>
            </w:pPr>
            <w:proofErr w:type="spellStart"/>
            <w:r>
              <w:rPr>
                <w:b w:val="0"/>
              </w:rPr>
              <w:t>Ultralows</w:t>
            </w:r>
            <w:proofErr w:type="spellEnd"/>
            <w:r>
              <w:rPr>
                <w:b w:val="0"/>
              </w:rPr>
              <w:t xml:space="preserve"> in the OR keep moving. Eventually they will be separate because when they redesigned the area they forgot to take into account the handles so the area is now too small.</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B44CB1" w:rsidP="00EA0C13">
            <w:pPr>
              <w:pStyle w:val="ListParagraph"/>
              <w:numPr>
                <w:ilvl w:val="0"/>
                <w:numId w:val="5"/>
              </w:numPr>
              <w:rPr>
                <w:b w:val="0"/>
              </w:rPr>
            </w:pPr>
            <w:r>
              <w:rPr>
                <w:b w:val="0"/>
              </w:rPr>
              <w:t>November</w:t>
            </w:r>
            <w:r w:rsidR="000813B4">
              <w:rPr>
                <w:b w:val="0"/>
              </w:rPr>
              <w:t xml:space="preserve"> </w:t>
            </w:r>
            <w:r w:rsidR="00752F51" w:rsidRPr="00A25F32">
              <w:rPr>
                <w:b w:val="0"/>
              </w:rPr>
              <w:t xml:space="preserve">utilization </w:t>
            </w:r>
            <w:r w:rsidR="00DA1C85" w:rsidRPr="00A25F32">
              <w:rPr>
                <w:b w:val="0"/>
              </w:rPr>
              <w:t>data</w:t>
            </w:r>
            <w:r w:rsidR="006E56FA">
              <w:rPr>
                <w:b w:val="0"/>
              </w:rPr>
              <w:t>, CT ratio 1.1</w:t>
            </w:r>
          </w:p>
          <w:p w:rsidR="00F9372F" w:rsidRDefault="002D2E25" w:rsidP="00B87C4C">
            <w:pPr>
              <w:pStyle w:val="ListParagraph"/>
              <w:numPr>
                <w:ilvl w:val="0"/>
                <w:numId w:val="3"/>
              </w:numPr>
              <w:ind w:left="1080"/>
              <w:rPr>
                <w:b w:val="0"/>
              </w:rPr>
            </w:pPr>
            <w:r w:rsidRPr="00F9372F">
              <w:rPr>
                <w:b w:val="0"/>
              </w:rPr>
              <w:t>RBC</w:t>
            </w:r>
            <w:r w:rsidR="005529DD">
              <w:rPr>
                <w:b w:val="0"/>
              </w:rPr>
              <w:t xml:space="preserve">- </w:t>
            </w:r>
            <w:r w:rsidR="00C86EDA">
              <w:rPr>
                <w:b w:val="0"/>
              </w:rPr>
              <w:t>6</w:t>
            </w:r>
            <w:r w:rsidR="005529DD">
              <w:rPr>
                <w:b w:val="0"/>
              </w:rPr>
              <w:t xml:space="preserve"> </w:t>
            </w:r>
            <w:r w:rsidR="00A60061">
              <w:rPr>
                <w:b w:val="0"/>
              </w:rPr>
              <w:t>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6E56FA">
              <w:rPr>
                <w:b w:val="0"/>
              </w:rPr>
              <w:t>0</w:t>
            </w:r>
            <w:r w:rsidR="005529DD">
              <w:rPr>
                <w:b w:val="0"/>
              </w:rPr>
              <w:t xml:space="preserve"> wasted, </w:t>
            </w:r>
            <w:r w:rsidR="00C86EDA">
              <w:rPr>
                <w:b w:val="0"/>
              </w:rPr>
              <w:t>3</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C86EDA">
              <w:rPr>
                <w:b w:val="0"/>
              </w:rPr>
              <w:t>2</w:t>
            </w:r>
            <w:r w:rsidR="005529DD">
              <w:rPr>
                <w:b w:val="0"/>
              </w:rPr>
              <w:t xml:space="preserve"> </w:t>
            </w:r>
            <w:r w:rsidR="000F012E">
              <w:rPr>
                <w:b w:val="0"/>
              </w:rPr>
              <w:t>wasted</w:t>
            </w:r>
            <w:r w:rsidR="00C86EDA">
              <w:rPr>
                <w:b w:val="0"/>
              </w:rPr>
              <w:t>, 10 outdated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6E56FA">
              <w:rPr>
                <w:b w:val="0"/>
              </w:rPr>
              <w:t>1</w:t>
            </w:r>
            <w:r w:rsidR="00EC4EFB">
              <w:rPr>
                <w:b w:val="0"/>
              </w:rPr>
              <w:t xml:space="preserve"> wasted</w:t>
            </w:r>
          </w:p>
          <w:p w:rsidR="00F9372F" w:rsidRDefault="00CC7967" w:rsidP="00324FF5">
            <w:pPr>
              <w:pStyle w:val="ListParagraph"/>
              <w:numPr>
                <w:ilvl w:val="0"/>
                <w:numId w:val="3"/>
              </w:numPr>
              <w:ind w:left="1080"/>
              <w:rPr>
                <w:b w:val="0"/>
              </w:rPr>
            </w:pPr>
            <w:r w:rsidRPr="00CC7967">
              <w:rPr>
                <w:b w:val="0"/>
              </w:rPr>
              <w:t xml:space="preserve">ALNW- </w:t>
            </w:r>
            <w:r w:rsidR="00C86EDA">
              <w:rPr>
                <w:b w:val="0"/>
              </w:rPr>
              <w:t>29</w:t>
            </w:r>
            <w:r w:rsidR="000F012E">
              <w:rPr>
                <w:b w:val="0"/>
              </w:rPr>
              <w:t xml:space="preserve"> </w:t>
            </w:r>
            <w:r w:rsidR="00EC4EFB">
              <w:rPr>
                <w:b w:val="0"/>
              </w:rPr>
              <w:t>blood products</w:t>
            </w:r>
            <w:r w:rsidR="00A60061">
              <w:rPr>
                <w:b w:val="0"/>
              </w:rPr>
              <w:t xml:space="preserve"> used</w:t>
            </w:r>
          </w:p>
          <w:p w:rsidR="00810AC5" w:rsidRPr="00810AC5" w:rsidRDefault="00810AC5" w:rsidP="00810AC5">
            <w:pPr>
              <w:pStyle w:val="ListParagraph"/>
              <w:numPr>
                <w:ilvl w:val="0"/>
                <w:numId w:val="5"/>
              </w:numPr>
              <w:rPr>
                <w:b w:val="0"/>
              </w:rPr>
            </w:pPr>
            <w:r w:rsidRPr="00810AC5">
              <w:rPr>
                <w:b w:val="0"/>
              </w:rPr>
              <w:t xml:space="preserve">Look for short dated platelets </w:t>
            </w:r>
            <w:r w:rsidR="004A1FBA">
              <w:rPr>
                <w:b w:val="0"/>
              </w:rPr>
              <w:t>on the shelf and contact UW by 3</w:t>
            </w:r>
            <w:r w:rsidRPr="00810AC5">
              <w:rPr>
                <w:b w:val="0"/>
              </w:rPr>
              <w:t xml:space="preserve">pm the day BEFORE they expire so they can have </w:t>
            </w:r>
            <w:r w:rsidR="004A1FBA">
              <w:rPr>
                <w:b w:val="0"/>
              </w:rPr>
              <w:t>their</w:t>
            </w:r>
            <w:r w:rsidRPr="00810AC5">
              <w:rPr>
                <w:b w:val="0"/>
              </w:rPr>
              <w:t xml:space="preserve"> courier come get them by 7pm. UW does a majority of their transfusions from 2-6am so sending them the day of</w:t>
            </w:r>
            <w:r>
              <w:rPr>
                <w:b w:val="0"/>
              </w:rPr>
              <w:t xml:space="preserve"> expiration</w:t>
            </w:r>
            <w:r w:rsidRPr="00810AC5">
              <w:rPr>
                <w:b w:val="0"/>
              </w:rPr>
              <w:t xml:space="preserve"> doesn’t guarantee usage</w:t>
            </w:r>
            <w:r>
              <w:rPr>
                <w:b w:val="0"/>
              </w:rPr>
              <w:t xml:space="preserve"> and they may not take them</w:t>
            </w:r>
            <w:r w:rsidRPr="00810AC5">
              <w:rPr>
                <w:b w:val="0"/>
              </w:rPr>
              <w:t>.</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6E56FA">
              <w:rPr>
                <w:b w:val="0"/>
              </w:rPr>
              <w:t>7</w:t>
            </w:r>
            <w:r w:rsidR="00C86EDA">
              <w:rPr>
                <w:b w:val="0"/>
              </w:rPr>
              <w:t>4</w:t>
            </w:r>
          </w:p>
          <w:p w:rsidR="00137880" w:rsidRDefault="00137880" w:rsidP="00AE0EAD">
            <w:pPr>
              <w:pStyle w:val="ListParagraph"/>
              <w:numPr>
                <w:ilvl w:val="0"/>
                <w:numId w:val="5"/>
              </w:numPr>
              <w:rPr>
                <w:b w:val="0"/>
              </w:rPr>
            </w:pPr>
            <w:r>
              <w:rPr>
                <w:b w:val="0"/>
              </w:rPr>
              <w:t xml:space="preserve">QA update- </w:t>
            </w:r>
          </w:p>
          <w:p w:rsidR="0007346D" w:rsidRDefault="00810AC5" w:rsidP="00EC4EFB">
            <w:pPr>
              <w:pStyle w:val="ListParagraph"/>
              <w:numPr>
                <w:ilvl w:val="0"/>
                <w:numId w:val="36"/>
              </w:numPr>
              <w:ind w:left="1080"/>
              <w:rPr>
                <w:b w:val="0"/>
              </w:rPr>
            </w:pPr>
            <w:r>
              <w:rPr>
                <w:b w:val="0"/>
              </w:rPr>
              <w:t>4 BPDRs: 2 for giving non-IRR products during an MTP to patients that required them, 1 for no label check performed on liquid plasma unit</w:t>
            </w:r>
            <w:r w:rsidR="00287337">
              <w:rPr>
                <w:b w:val="0"/>
              </w:rPr>
              <w:t>s</w:t>
            </w:r>
            <w:bookmarkStart w:id="0" w:name="_GoBack"/>
            <w:bookmarkEnd w:id="0"/>
            <w:r>
              <w:rPr>
                <w:b w:val="0"/>
              </w:rPr>
              <w:t xml:space="preserve"> that went back and forth to different ALNW </w:t>
            </w:r>
            <w:proofErr w:type="gramStart"/>
            <w:r>
              <w:rPr>
                <w:b w:val="0"/>
              </w:rPr>
              <w:t>sites,</w:t>
            </w:r>
            <w:proofErr w:type="gramEnd"/>
            <w:r>
              <w:rPr>
                <w:b w:val="0"/>
              </w:rPr>
              <w:t xml:space="preserve"> and 1 for when a platelet was requested and we issued an RBC.</w:t>
            </w:r>
          </w:p>
          <w:p w:rsidR="00810AC5" w:rsidRDefault="00810AC5" w:rsidP="00EC4EFB">
            <w:pPr>
              <w:pStyle w:val="ListParagraph"/>
              <w:numPr>
                <w:ilvl w:val="0"/>
                <w:numId w:val="36"/>
              </w:numPr>
              <w:ind w:left="1080"/>
              <w:rPr>
                <w:b w:val="0"/>
              </w:rPr>
            </w:pPr>
            <w:r>
              <w:rPr>
                <w:b w:val="0"/>
              </w:rPr>
              <w:t>Shift duties are being missed. If you are too busy, there is a section on the shift handoff for duties missed so the next shift can help complete them. Also, don’t check the boxes until you know tasks have been completed.</w:t>
            </w:r>
          </w:p>
          <w:p w:rsidR="00810AC5" w:rsidRDefault="00810AC5" w:rsidP="00EC4EFB">
            <w:pPr>
              <w:pStyle w:val="ListParagraph"/>
              <w:numPr>
                <w:ilvl w:val="0"/>
                <w:numId w:val="36"/>
              </w:numPr>
              <w:ind w:left="1080"/>
              <w:rPr>
                <w:b w:val="0"/>
              </w:rPr>
            </w:pPr>
            <w:r>
              <w:rPr>
                <w:b w:val="0"/>
              </w:rPr>
              <w:t>ALNW-watch expiration dates when giving out plasma. If a site has a normal switch out (see posted schedule) and they are getting a new cooler a few days before the posted switch out they don’t need the really long dated plasma, save that for the coolers that will be out for 7 days.</w:t>
            </w:r>
          </w:p>
          <w:p w:rsidR="00137086" w:rsidRPr="00744C6D" w:rsidRDefault="00137086" w:rsidP="00EC4EFB">
            <w:pPr>
              <w:pStyle w:val="ListParagraph"/>
              <w:numPr>
                <w:ilvl w:val="0"/>
                <w:numId w:val="36"/>
              </w:numPr>
              <w:ind w:left="1080"/>
              <w:rPr>
                <w:b w:val="0"/>
              </w:rPr>
            </w:pPr>
            <w:r>
              <w:rPr>
                <w:b w:val="0"/>
              </w:rPr>
              <w:t xml:space="preserve">When allocating and issuing units, scan both the unit number and the </w:t>
            </w:r>
            <w:proofErr w:type="spellStart"/>
            <w:r>
              <w:rPr>
                <w:b w:val="0"/>
              </w:rPr>
              <w:t>ecode</w:t>
            </w:r>
            <w:proofErr w:type="spellEnd"/>
            <w:r>
              <w:rPr>
                <w:b w:val="0"/>
              </w:rPr>
              <w:t xml:space="preserve"> – this will ensure the correct division/container is chosen</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6C4FED" w:rsidRDefault="002F2162" w:rsidP="00EC4EFB">
            <w:r>
              <w:t>November and December</w:t>
            </w:r>
            <w:r w:rsidR="006B7DC1">
              <w:t xml:space="preserve"> birthdays</w:t>
            </w:r>
          </w:p>
          <w:p w:rsidR="008D02B2" w:rsidRPr="00E745BB" w:rsidRDefault="002F2162" w:rsidP="008D02B2">
            <w:pPr>
              <w:pStyle w:val="ListParagraph"/>
              <w:numPr>
                <w:ilvl w:val="0"/>
                <w:numId w:val="38"/>
              </w:numPr>
            </w:pPr>
            <w:r>
              <w:t xml:space="preserve">Xuan, Leona, </w:t>
            </w:r>
            <w:proofErr w:type="spellStart"/>
            <w:r>
              <w:t>T</w:t>
            </w:r>
            <w:r>
              <w:rPr>
                <w:rFonts w:ascii="Calibri" w:hAnsi="Calibri"/>
              </w:rPr>
              <w:t>é</w:t>
            </w:r>
            <w:proofErr w:type="spellEnd"/>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1209C9"/>
    <w:multiLevelType w:val="hybridMultilevel"/>
    <w:tmpl w:val="2322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7"/>
  </w:num>
  <w:num w:numId="4">
    <w:abstractNumId w:val="11"/>
  </w:num>
  <w:num w:numId="5">
    <w:abstractNumId w:val="16"/>
  </w:num>
  <w:num w:numId="6">
    <w:abstractNumId w:val="18"/>
  </w:num>
  <w:num w:numId="7">
    <w:abstractNumId w:val="12"/>
  </w:num>
  <w:num w:numId="8">
    <w:abstractNumId w:val="8"/>
  </w:num>
  <w:num w:numId="9">
    <w:abstractNumId w:val="27"/>
  </w:num>
  <w:num w:numId="10">
    <w:abstractNumId w:val="10"/>
  </w:num>
  <w:num w:numId="11">
    <w:abstractNumId w:val="15"/>
  </w:num>
  <w:num w:numId="12">
    <w:abstractNumId w:val="2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6"/>
  </w:num>
  <w:num w:numId="17">
    <w:abstractNumId w:val="31"/>
  </w:num>
  <w:num w:numId="18">
    <w:abstractNumId w:val="30"/>
  </w:num>
  <w:num w:numId="19">
    <w:abstractNumId w:val="1"/>
  </w:num>
  <w:num w:numId="20">
    <w:abstractNumId w:val="0"/>
  </w:num>
  <w:num w:numId="21">
    <w:abstractNumId w:val="35"/>
  </w:num>
  <w:num w:numId="22">
    <w:abstractNumId w:val="4"/>
  </w:num>
  <w:num w:numId="23">
    <w:abstractNumId w:val="25"/>
  </w:num>
  <w:num w:numId="24">
    <w:abstractNumId w:val="33"/>
  </w:num>
  <w:num w:numId="25">
    <w:abstractNumId w:val="24"/>
  </w:num>
  <w:num w:numId="26">
    <w:abstractNumId w:val="36"/>
  </w:num>
  <w:num w:numId="27">
    <w:abstractNumId w:val="22"/>
  </w:num>
  <w:num w:numId="28">
    <w:abstractNumId w:val="21"/>
  </w:num>
  <w:num w:numId="29">
    <w:abstractNumId w:val="34"/>
  </w:num>
  <w:num w:numId="30">
    <w:abstractNumId w:val="32"/>
  </w:num>
  <w:num w:numId="31">
    <w:abstractNumId w:val="13"/>
  </w:num>
  <w:num w:numId="32">
    <w:abstractNumId w:val="23"/>
  </w:num>
  <w:num w:numId="33">
    <w:abstractNumId w:val="19"/>
  </w:num>
  <w:num w:numId="34">
    <w:abstractNumId w:val="5"/>
  </w:num>
  <w:num w:numId="35">
    <w:abstractNumId w:val="6"/>
  </w:num>
  <w:num w:numId="36">
    <w:abstractNumId w:val="2"/>
  </w:num>
  <w:num w:numId="37">
    <w:abstractNumId w:val="29"/>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758E0"/>
    <w:rsid w:val="000813B4"/>
    <w:rsid w:val="000848CA"/>
    <w:rsid w:val="00092487"/>
    <w:rsid w:val="000C1CA2"/>
    <w:rsid w:val="000D0BC4"/>
    <w:rsid w:val="000E30B7"/>
    <w:rsid w:val="000F012E"/>
    <w:rsid w:val="000F354E"/>
    <w:rsid w:val="00104C97"/>
    <w:rsid w:val="001075CB"/>
    <w:rsid w:val="00121F7B"/>
    <w:rsid w:val="00130499"/>
    <w:rsid w:val="00137086"/>
    <w:rsid w:val="00137880"/>
    <w:rsid w:val="00146580"/>
    <w:rsid w:val="00191D49"/>
    <w:rsid w:val="001C3473"/>
    <w:rsid w:val="001D7417"/>
    <w:rsid w:val="001E2CFD"/>
    <w:rsid w:val="001E337B"/>
    <w:rsid w:val="001E5E7F"/>
    <w:rsid w:val="00202A12"/>
    <w:rsid w:val="002341E8"/>
    <w:rsid w:val="00242536"/>
    <w:rsid w:val="00245D36"/>
    <w:rsid w:val="00246310"/>
    <w:rsid w:val="002500D3"/>
    <w:rsid w:val="002562C8"/>
    <w:rsid w:val="00261222"/>
    <w:rsid w:val="00273944"/>
    <w:rsid w:val="00287337"/>
    <w:rsid w:val="002A7799"/>
    <w:rsid w:val="002C6D07"/>
    <w:rsid w:val="002D165D"/>
    <w:rsid w:val="002D2663"/>
    <w:rsid w:val="002D2E25"/>
    <w:rsid w:val="002D46C6"/>
    <w:rsid w:val="002E322B"/>
    <w:rsid w:val="002F2162"/>
    <w:rsid w:val="00324FF5"/>
    <w:rsid w:val="00337DA8"/>
    <w:rsid w:val="003415A1"/>
    <w:rsid w:val="00347AE1"/>
    <w:rsid w:val="0036146E"/>
    <w:rsid w:val="003622E0"/>
    <w:rsid w:val="00362D07"/>
    <w:rsid w:val="00372B99"/>
    <w:rsid w:val="003864C4"/>
    <w:rsid w:val="00396184"/>
    <w:rsid w:val="003B0639"/>
    <w:rsid w:val="003B17D0"/>
    <w:rsid w:val="003D69DD"/>
    <w:rsid w:val="00415824"/>
    <w:rsid w:val="004322B2"/>
    <w:rsid w:val="00434B05"/>
    <w:rsid w:val="00434BA3"/>
    <w:rsid w:val="00441104"/>
    <w:rsid w:val="00450B01"/>
    <w:rsid w:val="00463068"/>
    <w:rsid w:val="00466D22"/>
    <w:rsid w:val="00477B93"/>
    <w:rsid w:val="00485032"/>
    <w:rsid w:val="004929E6"/>
    <w:rsid w:val="004A1FBA"/>
    <w:rsid w:val="004B38B3"/>
    <w:rsid w:val="004C41DB"/>
    <w:rsid w:val="004D30F8"/>
    <w:rsid w:val="005529DD"/>
    <w:rsid w:val="0055368C"/>
    <w:rsid w:val="00556814"/>
    <w:rsid w:val="00563088"/>
    <w:rsid w:val="00564538"/>
    <w:rsid w:val="00571D9D"/>
    <w:rsid w:val="00585596"/>
    <w:rsid w:val="00593B0F"/>
    <w:rsid w:val="005C6A48"/>
    <w:rsid w:val="005E6EA2"/>
    <w:rsid w:val="005F0F3B"/>
    <w:rsid w:val="00625EF4"/>
    <w:rsid w:val="006301A0"/>
    <w:rsid w:val="00635CD8"/>
    <w:rsid w:val="00636398"/>
    <w:rsid w:val="00647270"/>
    <w:rsid w:val="006579D4"/>
    <w:rsid w:val="006636F2"/>
    <w:rsid w:val="0066685A"/>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0AC5"/>
    <w:rsid w:val="00813991"/>
    <w:rsid w:val="00813E05"/>
    <w:rsid w:val="0082115F"/>
    <w:rsid w:val="00825124"/>
    <w:rsid w:val="00825D98"/>
    <w:rsid w:val="008641AE"/>
    <w:rsid w:val="00865ECF"/>
    <w:rsid w:val="00866010"/>
    <w:rsid w:val="00867525"/>
    <w:rsid w:val="00873159"/>
    <w:rsid w:val="00874C4D"/>
    <w:rsid w:val="00877D60"/>
    <w:rsid w:val="00880BCD"/>
    <w:rsid w:val="00890FE9"/>
    <w:rsid w:val="008B5F7A"/>
    <w:rsid w:val="008C1727"/>
    <w:rsid w:val="008C674E"/>
    <w:rsid w:val="008C7DC5"/>
    <w:rsid w:val="008D02B2"/>
    <w:rsid w:val="008F7D6D"/>
    <w:rsid w:val="00915AD8"/>
    <w:rsid w:val="00916B89"/>
    <w:rsid w:val="00924350"/>
    <w:rsid w:val="00971500"/>
    <w:rsid w:val="0097676E"/>
    <w:rsid w:val="00976BB2"/>
    <w:rsid w:val="009A0F4A"/>
    <w:rsid w:val="009A5E33"/>
    <w:rsid w:val="009B1DB1"/>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C6FB3"/>
    <w:rsid w:val="00AE0EAD"/>
    <w:rsid w:val="00AF345C"/>
    <w:rsid w:val="00B01383"/>
    <w:rsid w:val="00B02718"/>
    <w:rsid w:val="00B10B7A"/>
    <w:rsid w:val="00B16FEE"/>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3E05"/>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15717"/>
    <w:rsid w:val="00E20E54"/>
    <w:rsid w:val="00E32C71"/>
    <w:rsid w:val="00E33A9C"/>
    <w:rsid w:val="00E3421F"/>
    <w:rsid w:val="00E745BB"/>
    <w:rsid w:val="00EA0C13"/>
    <w:rsid w:val="00EA2606"/>
    <w:rsid w:val="00EA6BB8"/>
    <w:rsid w:val="00EB575A"/>
    <w:rsid w:val="00EB7C03"/>
    <w:rsid w:val="00EC4EFB"/>
    <w:rsid w:val="00ED5200"/>
    <w:rsid w:val="00ED7397"/>
    <w:rsid w:val="00EE5A48"/>
    <w:rsid w:val="00F13E8B"/>
    <w:rsid w:val="00F14AB0"/>
    <w:rsid w:val="00F26B01"/>
    <w:rsid w:val="00F3589D"/>
    <w:rsid w:val="00F414F0"/>
    <w:rsid w:val="00F45978"/>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0D49-C3C7-4C2D-8EC6-F5A26FE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2018-10-18T13:53:00Z</cp:lastPrinted>
  <dcterms:created xsi:type="dcterms:W3CDTF">2018-12-28T16:33:00Z</dcterms:created>
  <dcterms:modified xsi:type="dcterms:W3CDTF">2018-12-28T18:46:00Z</dcterms:modified>
</cp:coreProperties>
</file>