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59" w:rsidRDefault="00A83959" w:rsidP="00A8395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A83959" w:rsidRDefault="00A83959" w:rsidP="00A83959">
      <w:pPr>
        <w:rPr>
          <w:rFonts w:ascii="Arial" w:hAnsi="Arial" w:cs="Arial"/>
          <w:sz w:val="22"/>
          <w:szCs w:val="22"/>
        </w:rPr>
      </w:pPr>
      <w:proofErr w:type="gramStart"/>
      <w:r w:rsidRPr="00EC6CB4">
        <w:rPr>
          <w:rFonts w:ascii="Arial" w:hAnsi="Arial" w:cs="Arial"/>
          <w:sz w:val="22"/>
          <w:szCs w:val="22"/>
        </w:rPr>
        <w:t xml:space="preserve">To describe the process for sending </w:t>
      </w:r>
      <w:r w:rsidR="00576C1E">
        <w:rPr>
          <w:rFonts w:ascii="Arial" w:hAnsi="Arial" w:cs="Arial"/>
          <w:sz w:val="22"/>
          <w:szCs w:val="22"/>
        </w:rPr>
        <w:t xml:space="preserve">and resulting </w:t>
      </w:r>
      <w:r w:rsidRPr="00EC6CB4">
        <w:rPr>
          <w:rFonts w:ascii="Arial" w:hAnsi="Arial" w:cs="Arial"/>
          <w:sz w:val="22"/>
          <w:szCs w:val="22"/>
        </w:rPr>
        <w:t xml:space="preserve">patient testing to the </w:t>
      </w:r>
      <w:r w:rsidR="0015172F">
        <w:rPr>
          <w:rFonts w:ascii="Arial" w:hAnsi="Arial" w:cs="Arial"/>
          <w:sz w:val="22"/>
          <w:szCs w:val="22"/>
        </w:rPr>
        <w:t>reference laboratories.</w:t>
      </w:r>
      <w:proofErr w:type="gramEnd"/>
      <w:r w:rsidR="0015172F">
        <w:rPr>
          <w:rFonts w:ascii="Arial" w:hAnsi="Arial" w:cs="Arial"/>
          <w:sz w:val="22"/>
          <w:szCs w:val="22"/>
        </w:rPr>
        <w:t xml:space="preserve"> </w:t>
      </w:r>
    </w:p>
    <w:p w:rsidR="00576C1E" w:rsidRDefault="00576C1E" w:rsidP="00A83959">
      <w:pPr>
        <w:rPr>
          <w:rFonts w:ascii="Arial" w:hAnsi="Arial" w:cs="Arial"/>
          <w:b/>
          <w:sz w:val="22"/>
          <w:szCs w:val="22"/>
        </w:rPr>
      </w:pPr>
    </w:p>
    <w:p w:rsidR="0015172F" w:rsidRPr="0015172F" w:rsidRDefault="0015172F" w:rsidP="00A83959">
      <w:pPr>
        <w:rPr>
          <w:rFonts w:ascii="Arial" w:hAnsi="Arial" w:cs="Arial"/>
          <w:b/>
          <w:sz w:val="22"/>
          <w:szCs w:val="22"/>
        </w:rPr>
      </w:pPr>
      <w:r w:rsidRPr="0015172F">
        <w:rPr>
          <w:rFonts w:ascii="Arial" w:hAnsi="Arial" w:cs="Arial"/>
          <w:b/>
          <w:sz w:val="22"/>
          <w:szCs w:val="22"/>
        </w:rPr>
        <w:t>Policy</w:t>
      </w:r>
    </w:p>
    <w:p w:rsidR="0015172F" w:rsidRDefault="0015172F" w:rsidP="00A839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HMC Transfusion Services Laboratory</w:t>
      </w:r>
      <w:r w:rsidR="00576C1E">
        <w:rPr>
          <w:rFonts w:ascii="Arial" w:hAnsi="Arial" w:cs="Arial"/>
          <w:sz w:val="22"/>
          <w:szCs w:val="22"/>
        </w:rPr>
        <w:t xml:space="preserve"> (TSL)</w:t>
      </w:r>
      <w:r>
        <w:rPr>
          <w:rFonts w:ascii="Arial" w:hAnsi="Arial" w:cs="Arial"/>
          <w:sz w:val="22"/>
          <w:szCs w:val="22"/>
        </w:rPr>
        <w:t xml:space="preserve"> will use </w:t>
      </w:r>
      <w:proofErr w:type="spellStart"/>
      <w:r>
        <w:rPr>
          <w:rFonts w:ascii="Arial" w:hAnsi="Arial" w:cs="Arial"/>
          <w:sz w:val="22"/>
          <w:szCs w:val="22"/>
        </w:rPr>
        <w:t>Bloodworks</w:t>
      </w:r>
      <w:proofErr w:type="spellEnd"/>
      <w:r>
        <w:rPr>
          <w:rFonts w:ascii="Arial" w:hAnsi="Arial" w:cs="Arial"/>
          <w:sz w:val="22"/>
          <w:szCs w:val="22"/>
        </w:rPr>
        <w:t xml:space="preserve"> Northwest (BWNW) as the primary reference laboratory. </w:t>
      </w:r>
      <w:r w:rsidR="00576C1E">
        <w:rPr>
          <w:rFonts w:ascii="Arial" w:hAnsi="Arial" w:cs="Arial"/>
          <w:sz w:val="22"/>
          <w:szCs w:val="22"/>
        </w:rPr>
        <w:t>Reference testing can be sent to additional outside facilities at the request of TSL Medical Director</w:t>
      </w:r>
      <w:r w:rsidR="0097113A">
        <w:rPr>
          <w:rFonts w:ascii="Arial" w:hAnsi="Arial" w:cs="Arial"/>
          <w:sz w:val="22"/>
          <w:szCs w:val="22"/>
        </w:rPr>
        <w:t>(s)</w:t>
      </w:r>
      <w:r w:rsidR="00576C1E">
        <w:rPr>
          <w:rFonts w:ascii="Arial" w:hAnsi="Arial" w:cs="Arial"/>
          <w:sz w:val="22"/>
          <w:szCs w:val="22"/>
        </w:rPr>
        <w:t>.</w:t>
      </w:r>
      <w:r w:rsidR="00284F60">
        <w:rPr>
          <w:rFonts w:ascii="Arial" w:hAnsi="Arial" w:cs="Arial"/>
          <w:sz w:val="22"/>
          <w:szCs w:val="22"/>
        </w:rPr>
        <w:t xml:space="preserve"> </w:t>
      </w:r>
      <w:r w:rsidR="00284F60" w:rsidRPr="00284F60">
        <w:rPr>
          <w:rFonts w:ascii="Arial" w:hAnsi="Arial" w:cs="Arial"/>
          <w:sz w:val="22"/>
          <w:szCs w:val="22"/>
          <w:highlight w:val="yellow"/>
        </w:rPr>
        <w:t>Patients suspected of being on Anti-CD 38</w:t>
      </w:r>
      <w:r w:rsidR="00284F60">
        <w:rPr>
          <w:rFonts w:ascii="Arial" w:hAnsi="Arial" w:cs="Arial"/>
          <w:sz w:val="22"/>
          <w:szCs w:val="22"/>
          <w:highlight w:val="yellow"/>
        </w:rPr>
        <w:t xml:space="preserve"> or similar</w:t>
      </w:r>
      <w:r w:rsidR="00284F60" w:rsidRPr="00284F60">
        <w:rPr>
          <w:rFonts w:ascii="Arial" w:hAnsi="Arial" w:cs="Arial"/>
          <w:sz w:val="22"/>
          <w:szCs w:val="22"/>
          <w:highlight w:val="yellow"/>
        </w:rPr>
        <w:t xml:space="preserve"> drugs</w:t>
      </w:r>
      <w:r w:rsidR="00CF5D34">
        <w:rPr>
          <w:rFonts w:ascii="Arial" w:hAnsi="Arial" w:cs="Arial"/>
          <w:sz w:val="22"/>
          <w:szCs w:val="22"/>
          <w:highlight w:val="yellow"/>
        </w:rPr>
        <w:t xml:space="preserve"> (aka </w:t>
      </w:r>
      <w:proofErr w:type="spellStart"/>
      <w:r w:rsidR="00CF5D34">
        <w:rPr>
          <w:rFonts w:ascii="Arial" w:hAnsi="Arial" w:cs="Arial"/>
          <w:sz w:val="22"/>
          <w:szCs w:val="22"/>
          <w:highlight w:val="yellow"/>
        </w:rPr>
        <w:t>Daratumumab</w:t>
      </w:r>
      <w:proofErr w:type="spellEnd"/>
      <w:r w:rsidR="00CF5D34">
        <w:rPr>
          <w:rFonts w:ascii="Arial" w:hAnsi="Arial" w:cs="Arial"/>
          <w:sz w:val="22"/>
          <w:szCs w:val="22"/>
          <w:highlight w:val="yellow"/>
        </w:rPr>
        <w:t>)</w:t>
      </w:r>
      <w:r w:rsidR="00284F60" w:rsidRPr="00284F60">
        <w:rPr>
          <w:rFonts w:ascii="Arial" w:hAnsi="Arial" w:cs="Arial"/>
          <w:sz w:val="22"/>
          <w:szCs w:val="22"/>
          <w:highlight w:val="yellow"/>
        </w:rPr>
        <w:t xml:space="preserve"> will be sent to UW TSL for DTT treatment and testing.</w:t>
      </w:r>
    </w:p>
    <w:p w:rsidR="00A83959" w:rsidRDefault="00A83959" w:rsidP="00A83959">
      <w:pPr>
        <w:rPr>
          <w:rFonts w:ascii="Arial" w:hAnsi="Arial" w:cs="Arial"/>
          <w:sz w:val="22"/>
          <w:szCs w:val="22"/>
        </w:rPr>
      </w:pPr>
    </w:p>
    <w:p w:rsidR="00A83959" w:rsidRPr="00A83959" w:rsidRDefault="00A83959" w:rsidP="00A8395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7"/>
        <w:gridCol w:w="7522"/>
        <w:gridCol w:w="2429"/>
      </w:tblGrid>
      <w:tr w:rsidR="00A83959" w:rsidRPr="00EC6CB4" w:rsidTr="00B93B2C">
        <w:tc>
          <w:tcPr>
            <w:tcW w:w="362" w:type="pct"/>
          </w:tcPr>
          <w:p w:rsidR="00A83959" w:rsidRPr="00EC6CB4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506" w:type="pct"/>
          </w:tcPr>
          <w:p w:rsidR="00A83959" w:rsidRPr="00EC6CB4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132" w:type="pct"/>
          </w:tcPr>
          <w:p w:rsidR="00A83959" w:rsidRPr="00EC6CB4" w:rsidRDefault="00A83959" w:rsidP="00F150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29367D" w:rsidRPr="00EC6CB4" w:rsidTr="0029367D">
        <w:tc>
          <w:tcPr>
            <w:tcW w:w="5000" w:type="pct"/>
            <w:gridSpan w:val="3"/>
          </w:tcPr>
          <w:p w:rsidR="0029367D" w:rsidRPr="00EC6CB4" w:rsidRDefault="0029367D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Processing Immunohematology Reference Lab (IRL) </w:t>
            </w:r>
          </w:p>
        </w:tc>
      </w:tr>
      <w:tr w:rsidR="001A62F8" w:rsidRPr="00EC6CB4" w:rsidTr="001A62F8">
        <w:tc>
          <w:tcPr>
            <w:tcW w:w="5000" w:type="pct"/>
            <w:gridSpan w:val="3"/>
          </w:tcPr>
          <w:p w:rsidR="001A62F8" w:rsidRPr="00EC6CB4" w:rsidRDefault="001A62F8" w:rsidP="00F15048">
            <w:p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SENDING OUT</w:t>
            </w:r>
          </w:p>
        </w:tc>
      </w:tr>
      <w:tr w:rsidR="00A83959" w:rsidRPr="00EC6CB4" w:rsidTr="00B93B2C">
        <w:tc>
          <w:tcPr>
            <w:tcW w:w="362" w:type="pct"/>
          </w:tcPr>
          <w:p w:rsidR="00A83959" w:rsidRPr="001A62F8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  <w:r w:rsidRPr="001A62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06" w:type="pct"/>
          </w:tcPr>
          <w:p w:rsidR="00A83959" w:rsidRPr="001A62F8" w:rsidRDefault="00A83959" w:rsidP="001A62F8">
            <w:pPr>
              <w:rPr>
                <w:rFonts w:ascii="Arial" w:hAnsi="Arial" w:cs="Arial"/>
                <w:sz w:val="22"/>
                <w:szCs w:val="22"/>
              </w:rPr>
            </w:pPr>
            <w:r w:rsidRPr="001A62F8">
              <w:rPr>
                <w:rFonts w:ascii="Arial" w:hAnsi="Arial" w:cs="Arial"/>
                <w:sz w:val="22"/>
                <w:szCs w:val="22"/>
              </w:rPr>
              <w:t xml:space="preserve">Most often, samples are referred to </w:t>
            </w:r>
            <w:r w:rsidR="0015172F" w:rsidRPr="001A62F8">
              <w:rPr>
                <w:rFonts w:ascii="Arial" w:hAnsi="Arial" w:cs="Arial"/>
                <w:sz w:val="22"/>
                <w:szCs w:val="22"/>
              </w:rPr>
              <w:t>BWNW</w:t>
            </w:r>
            <w:r w:rsidRPr="001A62F8">
              <w:rPr>
                <w:rFonts w:ascii="Arial" w:hAnsi="Arial" w:cs="Arial"/>
                <w:sz w:val="22"/>
                <w:szCs w:val="22"/>
              </w:rPr>
              <w:t xml:space="preserve"> IRL for further antibody identification testing after HMC TSL has performed preliminary testing.</w:t>
            </w:r>
          </w:p>
          <w:p w:rsidR="001A62F8" w:rsidRDefault="00A83959" w:rsidP="001A62F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Or</w:t>
            </w:r>
            <w:r w:rsidR="001A62F8">
              <w:rPr>
                <w:rFonts w:ascii="Arial" w:hAnsi="Arial" w:cs="Arial"/>
                <w:sz w:val="22"/>
                <w:szCs w:val="22"/>
              </w:rPr>
              <w:t>der is entered in Order Entry.</w:t>
            </w:r>
          </w:p>
          <w:p w:rsidR="00A83959" w:rsidRPr="001A62F8" w:rsidRDefault="00A83959" w:rsidP="001A62F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A62F8">
              <w:rPr>
                <w:rFonts w:ascii="Arial" w:hAnsi="Arial" w:cs="Arial"/>
                <w:sz w:val="22"/>
                <w:szCs w:val="22"/>
              </w:rPr>
              <w:t>TS Medical Director is the ordering physician for send out orders.</w:t>
            </w:r>
          </w:p>
          <w:p w:rsidR="00A83959" w:rsidRPr="00EC6CB4" w:rsidRDefault="00A83959" w:rsidP="001A62F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Testing is done in BOP, but further test</w:t>
            </w:r>
            <w:r w:rsidR="002D02F4">
              <w:rPr>
                <w:rFonts w:ascii="Arial" w:hAnsi="Arial" w:cs="Arial"/>
                <w:sz w:val="22"/>
                <w:szCs w:val="22"/>
              </w:rPr>
              <w:t>ing is required at BWNW</w:t>
            </w:r>
            <w:r w:rsidRPr="00EC6C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2" w:type="pct"/>
          </w:tcPr>
          <w:p w:rsidR="00A83959" w:rsidRPr="00EC6CB4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3959" w:rsidRPr="00EC6CB4" w:rsidTr="00B93B2C">
        <w:tc>
          <w:tcPr>
            <w:tcW w:w="362" w:type="pct"/>
          </w:tcPr>
          <w:p w:rsidR="00A83959" w:rsidRPr="001A62F8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  <w:r w:rsidRPr="001A62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06" w:type="pct"/>
          </w:tcPr>
          <w:p w:rsidR="00A83959" w:rsidRPr="001A62F8" w:rsidRDefault="00A83959" w:rsidP="001A62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62F8">
              <w:rPr>
                <w:rFonts w:ascii="Arial" w:hAnsi="Arial" w:cs="Arial"/>
                <w:sz w:val="22"/>
                <w:szCs w:val="22"/>
              </w:rPr>
              <w:t>If ABID results were completed at HMC TSL, result as usual.</w:t>
            </w:r>
          </w:p>
          <w:p w:rsidR="00A83959" w:rsidRPr="00EC6CB4" w:rsidRDefault="00A83959" w:rsidP="001A62F8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 xml:space="preserve">Tab down and add SOREF to the ABID results. </w:t>
            </w:r>
          </w:p>
          <w:p w:rsidR="00A83959" w:rsidRPr="001A62F8" w:rsidRDefault="00A83959" w:rsidP="001A62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62F8">
              <w:rPr>
                <w:rFonts w:ascii="Arial" w:hAnsi="Arial" w:cs="Arial"/>
                <w:sz w:val="22"/>
                <w:szCs w:val="22"/>
              </w:rPr>
              <w:t>If no results were finalized by HMC, result ABID as SOREF.</w:t>
            </w:r>
          </w:p>
          <w:p w:rsidR="00A83959" w:rsidRPr="00EC6CB4" w:rsidRDefault="00A83959" w:rsidP="001A62F8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 xml:space="preserve">This will signify that the sample has been sent to </w:t>
            </w:r>
            <w:r w:rsidR="0015172F">
              <w:rPr>
                <w:rFonts w:ascii="Arial" w:hAnsi="Arial" w:cs="Arial"/>
                <w:sz w:val="22"/>
                <w:szCs w:val="22"/>
              </w:rPr>
              <w:t>BWNW</w:t>
            </w:r>
            <w:r w:rsidRPr="00EC6CB4">
              <w:rPr>
                <w:rFonts w:ascii="Arial" w:hAnsi="Arial" w:cs="Arial"/>
                <w:sz w:val="22"/>
                <w:szCs w:val="22"/>
              </w:rPr>
              <w:t xml:space="preserve"> IRL.</w:t>
            </w:r>
          </w:p>
        </w:tc>
        <w:tc>
          <w:tcPr>
            <w:tcW w:w="1132" w:type="pct"/>
          </w:tcPr>
          <w:p w:rsidR="00A83959" w:rsidRPr="00EC6CB4" w:rsidRDefault="0015172F" w:rsidP="001517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A83959" w:rsidRPr="00EC6CB4">
              <w:rPr>
                <w:rFonts w:ascii="Arial" w:hAnsi="Arial" w:cs="Arial"/>
                <w:sz w:val="22"/>
                <w:szCs w:val="22"/>
              </w:rPr>
              <w:t>Blood Order Processing</w:t>
            </w:r>
          </w:p>
        </w:tc>
      </w:tr>
      <w:tr w:rsidR="00A83959" w:rsidRPr="00EC6CB4" w:rsidTr="00B93B2C">
        <w:tc>
          <w:tcPr>
            <w:tcW w:w="362" w:type="pct"/>
          </w:tcPr>
          <w:p w:rsidR="00A83959" w:rsidRPr="001A62F8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  <w:r w:rsidRPr="001A62F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06" w:type="pct"/>
          </w:tcPr>
          <w:p w:rsidR="00A83959" w:rsidRPr="001A62F8" w:rsidRDefault="00A83959" w:rsidP="001A62F8">
            <w:pPr>
              <w:rPr>
                <w:rFonts w:ascii="Arial" w:hAnsi="Arial" w:cs="Arial"/>
                <w:sz w:val="22"/>
                <w:szCs w:val="22"/>
              </w:rPr>
            </w:pPr>
            <w:r w:rsidRPr="001A62F8"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 w:rsidR="0015172F" w:rsidRPr="001A62F8">
              <w:rPr>
                <w:rFonts w:ascii="Arial" w:hAnsi="Arial" w:cs="Arial"/>
                <w:sz w:val="22"/>
                <w:szCs w:val="22"/>
              </w:rPr>
              <w:t>BWNW</w:t>
            </w:r>
            <w:r w:rsidRPr="001A62F8">
              <w:rPr>
                <w:rFonts w:ascii="Arial" w:hAnsi="Arial" w:cs="Arial"/>
                <w:sz w:val="22"/>
                <w:szCs w:val="22"/>
              </w:rPr>
              <w:t xml:space="preserve"> testing form and IRL Consultation forms and arrange transport by calling appropriate transportation.</w:t>
            </w:r>
          </w:p>
          <w:p w:rsidR="00A83959" w:rsidRDefault="00A83959" w:rsidP="001A62F8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 xml:space="preserve">Call </w:t>
            </w:r>
            <w:r w:rsidR="0015172F">
              <w:rPr>
                <w:rFonts w:ascii="Arial" w:hAnsi="Arial" w:cs="Arial"/>
                <w:sz w:val="22"/>
                <w:szCs w:val="22"/>
              </w:rPr>
              <w:t>BWNW</w:t>
            </w:r>
            <w:r w:rsidRPr="00EC6CB4">
              <w:rPr>
                <w:rFonts w:ascii="Arial" w:hAnsi="Arial" w:cs="Arial"/>
                <w:sz w:val="22"/>
                <w:szCs w:val="22"/>
              </w:rPr>
              <w:t xml:space="preserve"> reference lab to alert them to expect the sample.</w:t>
            </w:r>
          </w:p>
          <w:p w:rsidR="00F4150A" w:rsidRPr="00F4150A" w:rsidRDefault="00F4150A" w:rsidP="001A62F8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  <w:r w:rsidRPr="00F4150A">
              <w:rPr>
                <w:rFonts w:ascii="Arial" w:hAnsi="Arial" w:cs="Arial"/>
                <w:i/>
                <w:sz w:val="22"/>
                <w:szCs w:val="22"/>
              </w:rPr>
              <w:t>Note: If original sample is needed for phenotyping, aliquot into a tube and keep the original tube at HMC TSL.</w:t>
            </w:r>
          </w:p>
        </w:tc>
        <w:tc>
          <w:tcPr>
            <w:tcW w:w="1132" w:type="pct"/>
          </w:tcPr>
          <w:p w:rsidR="00A83959" w:rsidRDefault="00B93B2C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Immunohematology Consultation Request</w:t>
            </w:r>
          </w:p>
          <w:p w:rsidR="00B93B2C" w:rsidRDefault="00B93B2C" w:rsidP="00F15048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B2C" w:rsidRDefault="00B93B2C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Request for Testing Transfusion Services</w:t>
            </w:r>
          </w:p>
          <w:p w:rsidR="00D72F05" w:rsidRDefault="00D72F05" w:rsidP="00F15048">
            <w:pPr>
              <w:rPr>
                <w:rFonts w:ascii="Arial" w:hAnsi="Arial" w:cs="Arial"/>
                <w:sz w:val="22"/>
                <w:szCs w:val="22"/>
              </w:rPr>
            </w:pPr>
          </w:p>
          <w:p w:rsidR="00D72F05" w:rsidRPr="00EC6CB4" w:rsidRDefault="00D72F05" w:rsidP="00F15048">
            <w:pPr>
              <w:rPr>
                <w:rFonts w:ascii="Arial" w:hAnsi="Arial" w:cs="Arial"/>
                <w:sz w:val="22"/>
                <w:szCs w:val="22"/>
              </w:rPr>
            </w:pPr>
            <w:r w:rsidRPr="00D72F05">
              <w:rPr>
                <w:rFonts w:ascii="Arial" w:hAnsi="Arial" w:cs="Arial"/>
                <w:sz w:val="22"/>
                <w:szCs w:val="22"/>
                <w:highlight w:val="yellow"/>
              </w:rPr>
              <w:t>Department of Laboratory Medicine Specimen Transport Plan</w:t>
            </w:r>
          </w:p>
        </w:tc>
      </w:tr>
      <w:tr w:rsidR="00A83959" w:rsidRPr="00EC6CB4" w:rsidTr="00B93B2C">
        <w:tc>
          <w:tcPr>
            <w:tcW w:w="362" w:type="pct"/>
          </w:tcPr>
          <w:p w:rsidR="00A83959" w:rsidRPr="001A62F8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  <w:r w:rsidRPr="001A62F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06" w:type="pct"/>
          </w:tcPr>
          <w:p w:rsidR="00A83959" w:rsidRPr="001A62F8" w:rsidRDefault="00A83959" w:rsidP="001A62F8">
            <w:pPr>
              <w:rPr>
                <w:rFonts w:ascii="Arial" w:hAnsi="Arial" w:cs="Arial"/>
                <w:sz w:val="22"/>
                <w:szCs w:val="22"/>
              </w:rPr>
            </w:pPr>
            <w:r w:rsidRPr="001A62F8">
              <w:rPr>
                <w:rFonts w:ascii="Arial" w:hAnsi="Arial" w:cs="Arial"/>
                <w:sz w:val="22"/>
                <w:szCs w:val="22"/>
              </w:rPr>
              <w:t>Send copies of preliminary testing (panel sheets, AG typing, etc.)</w:t>
            </w:r>
          </w:p>
        </w:tc>
        <w:tc>
          <w:tcPr>
            <w:tcW w:w="1132" w:type="pct"/>
          </w:tcPr>
          <w:p w:rsidR="00A83959" w:rsidRPr="00EC6CB4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2F4" w:rsidRPr="002D02F4" w:rsidTr="00B93B2C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F4" w:rsidRPr="002D02F4" w:rsidRDefault="002D02F4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F4" w:rsidRPr="001A62F8" w:rsidRDefault="002D02F4" w:rsidP="001A62F8">
            <w:pPr>
              <w:rPr>
                <w:rFonts w:ascii="Arial" w:hAnsi="Arial" w:cs="Arial"/>
                <w:sz w:val="22"/>
                <w:szCs w:val="22"/>
              </w:rPr>
            </w:pPr>
            <w:r w:rsidRPr="001A62F8">
              <w:rPr>
                <w:rFonts w:ascii="Arial" w:hAnsi="Arial" w:cs="Arial"/>
                <w:sz w:val="22"/>
                <w:szCs w:val="22"/>
              </w:rPr>
              <w:t>Document send out on the Antibody Identification worksheet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2F4" w:rsidRPr="002D02F4" w:rsidRDefault="002D02F4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2F8" w:rsidRPr="00EC6CB4" w:rsidTr="001A62F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F8" w:rsidRPr="00EC6CB4" w:rsidRDefault="001A62F8" w:rsidP="00F15048">
            <w:p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MONITORING RESOLUTION PROGRESS</w:t>
            </w:r>
          </w:p>
        </w:tc>
      </w:tr>
      <w:tr w:rsidR="00A83959" w:rsidRPr="00EC6CB4" w:rsidTr="00B93B2C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959" w:rsidRPr="001A62F8" w:rsidRDefault="002D02F4" w:rsidP="00F15048">
            <w:pPr>
              <w:rPr>
                <w:rFonts w:ascii="Arial" w:hAnsi="Arial" w:cs="Arial"/>
                <w:sz w:val="22"/>
                <w:szCs w:val="22"/>
              </w:rPr>
            </w:pPr>
            <w:r w:rsidRPr="001A62F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959" w:rsidRPr="001A62F8" w:rsidRDefault="00A83959" w:rsidP="001A62F8">
            <w:pPr>
              <w:rPr>
                <w:rFonts w:ascii="Arial" w:hAnsi="Arial" w:cs="Arial"/>
                <w:sz w:val="22"/>
                <w:szCs w:val="22"/>
              </w:rPr>
            </w:pPr>
            <w:r w:rsidRPr="001A62F8">
              <w:rPr>
                <w:rFonts w:ascii="Arial" w:hAnsi="Arial" w:cs="Arial"/>
                <w:sz w:val="22"/>
                <w:szCs w:val="22"/>
              </w:rPr>
              <w:t>Place TSL copy of the</w:t>
            </w:r>
            <w:r w:rsidR="00AA2A34" w:rsidRPr="001A62F8">
              <w:rPr>
                <w:rFonts w:ascii="Arial" w:hAnsi="Arial" w:cs="Arial"/>
                <w:sz w:val="22"/>
                <w:szCs w:val="22"/>
              </w:rPr>
              <w:t xml:space="preserve"> BWNW testing</w:t>
            </w:r>
            <w:r w:rsidRPr="001A62F8">
              <w:rPr>
                <w:rFonts w:ascii="Arial" w:hAnsi="Arial" w:cs="Arial"/>
                <w:sz w:val="22"/>
                <w:szCs w:val="22"/>
              </w:rPr>
              <w:t xml:space="preserve"> form in the hanging file </w:t>
            </w:r>
            <w:r w:rsidR="002D02F4" w:rsidRPr="001A62F8">
              <w:rPr>
                <w:rFonts w:ascii="Arial" w:hAnsi="Arial" w:cs="Arial"/>
                <w:sz w:val="22"/>
                <w:szCs w:val="22"/>
              </w:rPr>
              <w:t>by Bench A</w:t>
            </w:r>
          </w:p>
          <w:p w:rsidR="00A83959" w:rsidRPr="00EC6CB4" w:rsidRDefault="00A83959" w:rsidP="001A62F8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Every shift should che</w:t>
            </w:r>
            <w:r w:rsidR="00AA2A34">
              <w:rPr>
                <w:rFonts w:ascii="Arial" w:hAnsi="Arial" w:cs="Arial"/>
                <w:sz w:val="22"/>
                <w:szCs w:val="22"/>
              </w:rPr>
              <w:t>ck the fax machine and/or call BWNW</w:t>
            </w:r>
            <w:r w:rsidRPr="00EC6CB4">
              <w:rPr>
                <w:rFonts w:ascii="Arial" w:hAnsi="Arial" w:cs="Arial"/>
                <w:sz w:val="22"/>
                <w:szCs w:val="22"/>
              </w:rPr>
              <w:t xml:space="preserve"> asking for progress on the workup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959" w:rsidRPr="00EC6CB4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105D" w:rsidRDefault="00E6105D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7"/>
        <w:gridCol w:w="7522"/>
        <w:gridCol w:w="2429"/>
      </w:tblGrid>
      <w:tr w:rsidR="001A62F8" w:rsidRPr="00EC6CB4" w:rsidTr="001A62F8">
        <w:tc>
          <w:tcPr>
            <w:tcW w:w="5000" w:type="pct"/>
            <w:gridSpan w:val="3"/>
          </w:tcPr>
          <w:p w:rsidR="001A62F8" w:rsidRPr="00EC6CB4" w:rsidRDefault="001A62F8" w:rsidP="00F15048">
            <w:p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lastRenderedPageBreak/>
              <w:t>RESULTING</w:t>
            </w:r>
          </w:p>
        </w:tc>
      </w:tr>
      <w:tr w:rsidR="00A83959" w:rsidRPr="00EC6CB4" w:rsidTr="00B93B2C">
        <w:tc>
          <w:tcPr>
            <w:tcW w:w="362" w:type="pct"/>
          </w:tcPr>
          <w:p w:rsidR="00A83959" w:rsidRPr="00EC6CB4" w:rsidRDefault="002D02F4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06" w:type="pct"/>
          </w:tcPr>
          <w:p w:rsidR="00A83959" w:rsidRPr="00EC6CB4" w:rsidRDefault="00A83959" w:rsidP="00F15048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>Preliminary Report</w:t>
            </w:r>
          </w:p>
          <w:p w:rsidR="00A83959" w:rsidRPr="00EC6CB4" w:rsidRDefault="0015172F" w:rsidP="001A62F8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BWNW</w:t>
            </w:r>
            <w:r w:rsidR="00A83959" w:rsidRPr="00EC6CB4">
              <w:rPr>
                <w:rFonts w:ascii="Arial" w:hAnsi="Arial" w:cs="Arial"/>
                <w:sz w:val="22"/>
                <w:szCs w:val="22"/>
              </w:rPr>
              <w:t xml:space="preserve"> IRL will fax the prel</w:t>
            </w:r>
            <w:r w:rsidR="001A62F8">
              <w:rPr>
                <w:rFonts w:ascii="Arial" w:hAnsi="Arial" w:cs="Arial"/>
                <w:sz w:val="22"/>
                <w:szCs w:val="22"/>
              </w:rPr>
              <w:t>iminary report when completed.</w:t>
            </w:r>
          </w:p>
          <w:p w:rsidR="00A83959" w:rsidRPr="00EC6CB4" w:rsidRDefault="00A83959" w:rsidP="001A62F8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Enter the results directly into the BAD file</w:t>
            </w:r>
            <w:r w:rsidR="002D02F4">
              <w:rPr>
                <w:rFonts w:ascii="Arial" w:hAnsi="Arial" w:cs="Arial"/>
                <w:sz w:val="22"/>
                <w:szCs w:val="22"/>
              </w:rPr>
              <w:t xml:space="preserve"> or using PB in BOP</w:t>
            </w:r>
            <w:r w:rsidRPr="00EC6CB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83959" w:rsidRPr="00A83959" w:rsidRDefault="001A62F8" w:rsidP="001A62F8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Antigen typing</w:t>
            </w:r>
          </w:p>
          <w:p w:rsidR="00A83959" w:rsidRPr="00A83959" w:rsidRDefault="00A83959" w:rsidP="001A62F8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A83959">
              <w:rPr>
                <w:rFonts w:ascii="Arial" w:hAnsi="Arial" w:cs="Arial"/>
                <w:sz w:val="22"/>
                <w:szCs w:val="22"/>
              </w:rPr>
              <w:t>Antibody Identification results</w:t>
            </w:r>
          </w:p>
          <w:p w:rsidR="006E50B4" w:rsidRDefault="00A83959" w:rsidP="00D72F05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A83959">
              <w:rPr>
                <w:rFonts w:ascii="Arial" w:hAnsi="Arial" w:cs="Arial"/>
                <w:sz w:val="22"/>
                <w:szCs w:val="22"/>
              </w:rPr>
              <w:t>Comments, if indicated</w:t>
            </w:r>
          </w:p>
          <w:p w:rsidR="00E6105D" w:rsidRPr="00EC6CB4" w:rsidRDefault="00E6105D" w:rsidP="00E6105D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Review the BAD file entry:</w:t>
            </w:r>
          </w:p>
          <w:p w:rsidR="00E6105D" w:rsidRPr="00A83959" w:rsidRDefault="00E6105D" w:rsidP="00E6105D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A83959">
              <w:rPr>
                <w:rFonts w:ascii="Arial" w:hAnsi="Arial" w:cs="Arial"/>
                <w:sz w:val="22"/>
                <w:szCs w:val="22"/>
              </w:rPr>
              <w:t>Print BAD file report</w:t>
            </w:r>
          </w:p>
          <w:p w:rsidR="00E6105D" w:rsidRPr="00A83959" w:rsidRDefault="00E6105D" w:rsidP="00E6105D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A83959">
              <w:rPr>
                <w:rFonts w:ascii="Arial" w:hAnsi="Arial" w:cs="Arial"/>
                <w:sz w:val="22"/>
                <w:szCs w:val="22"/>
              </w:rPr>
              <w:t>2</w:t>
            </w:r>
            <w:r w:rsidRPr="00A83959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MLS tech</w:t>
            </w:r>
            <w:r w:rsidRPr="00A83959">
              <w:rPr>
                <w:rFonts w:ascii="Arial" w:hAnsi="Arial" w:cs="Arial"/>
                <w:sz w:val="22"/>
                <w:szCs w:val="22"/>
              </w:rPr>
              <w:t xml:space="preserve"> compares entry to preliminary report</w:t>
            </w:r>
          </w:p>
          <w:p w:rsidR="00E6105D" w:rsidRPr="00A83959" w:rsidRDefault="00E6105D" w:rsidP="00E6105D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A83959">
              <w:rPr>
                <w:rFonts w:ascii="Arial" w:hAnsi="Arial" w:cs="Arial"/>
                <w:sz w:val="22"/>
                <w:szCs w:val="22"/>
              </w:rPr>
              <w:t>2</w:t>
            </w:r>
            <w:r w:rsidRPr="00A83959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A83959">
              <w:rPr>
                <w:rFonts w:ascii="Arial" w:hAnsi="Arial" w:cs="Arial"/>
                <w:sz w:val="22"/>
                <w:szCs w:val="22"/>
              </w:rPr>
              <w:t xml:space="preserve"> corrects any entry errors, signs, dates and staples the BAD file print out to the preliminary report</w:t>
            </w:r>
          </w:p>
          <w:p w:rsidR="00E6105D" w:rsidRDefault="00E6105D" w:rsidP="00E6105D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Distribute the preliminary report:</w:t>
            </w:r>
          </w:p>
          <w:p w:rsidR="00E6105D" w:rsidRDefault="00E6105D" w:rsidP="00E6105D">
            <w:pPr>
              <w:pStyle w:val="ListParagraph"/>
              <w:numPr>
                <w:ilvl w:val="0"/>
                <w:numId w:val="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Patient’s antibody folder (Review BAD file report attached)</w:t>
            </w:r>
          </w:p>
          <w:p w:rsidR="00E6105D" w:rsidRDefault="00E6105D" w:rsidP="00E6105D">
            <w:pPr>
              <w:pStyle w:val="ListParagraph"/>
              <w:numPr>
                <w:ilvl w:val="0"/>
                <w:numId w:val="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Director’s mailbox</w:t>
            </w:r>
          </w:p>
          <w:p w:rsidR="00E6105D" w:rsidRPr="00E6105D" w:rsidRDefault="00E6105D" w:rsidP="00E6105D">
            <w:pPr>
              <w:rPr>
                <w:rFonts w:ascii="Arial" w:hAnsi="Arial" w:cs="Arial"/>
                <w:sz w:val="22"/>
                <w:szCs w:val="22"/>
              </w:rPr>
            </w:pPr>
            <w:r w:rsidRPr="0097113A">
              <w:rPr>
                <w:rFonts w:ascii="Arial" w:hAnsi="Arial" w:cs="Arial"/>
                <w:sz w:val="22"/>
                <w:szCs w:val="22"/>
              </w:rPr>
              <w:t>Document on the Antibody Identification Worksheet</w:t>
            </w:r>
          </w:p>
        </w:tc>
        <w:tc>
          <w:tcPr>
            <w:tcW w:w="1132" w:type="pct"/>
          </w:tcPr>
          <w:p w:rsidR="002D02F4" w:rsidRDefault="002D02F4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Blood Order Processing</w:t>
            </w:r>
          </w:p>
          <w:p w:rsidR="00E6105D" w:rsidRDefault="00E6105D" w:rsidP="00F15048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05D" w:rsidRPr="00EC6CB4" w:rsidRDefault="00E6105D" w:rsidP="00F15048">
            <w:pPr>
              <w:rPr>
                <w:rFonts w:ascii="Arial" w:hAnsi="Arial" w:cs="Arial"/>
                <w:sz w:val="22"/>
                <w:szCs w:val="22"/>
              </w:rPr>
            </w:pPr>
            <w:r w:rsidRPr="0097113A">
              <w:rPr>
                <w:rFonts w:ascii="Arial" w:hAnsi="Arial" w:cs="Arial"/>
                <w:sz w:val="22"/>
                <w:szCs w:val="22"/>
              </w:rPr>
              <w:t>SQ Blood Order Processing Test Result Guide</w:t>
            </w:r>
          </w:p>
        </w:tc>
      </w:tr>
      <w:tr w:rsidR="00A83959" w:rsidRPr="009F35CD" w:rsidTr="00B93B2C">
        <w:tc>
          <w:tcPr>
            <w:tcW w:w="362" w:type="pct"/>
          </w:tcPr>
          <w:p w:rsidR="00A83959" w:rsidRPr="00EC6CB4" w:rsidRDefault="002D02F4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06" w:type="pct"/>
          </w:tcPr>
          <w:p w:rsidR="00A83959" w:rsidRPr="00EC6CB4" w:rsidRDefault="00A83959" w:rsidP="00F15048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C6CB4">
              <w:rPr>
                <w:rFonts w:ascii="Arial" w:hAnsi="Arial" w:cs="Arial"/>
                <w:b/>
                <w:sz w:val="22"/>
                <w:szCs w:val="22"/>
              </w:rPr>
              <w:t xml:space="preserve">Final Report </w:t>
            </w:r>
          </w:p>
          <w:p w:rsidR="00A83959" w:rsidRPr="00EC6CB4" w:rsidRDefault="0015172F" w:rsidP="001A62F8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BWNW</w:t>
            </w:r>
            <w:r w:rsidR="00A83959" w:rsidRPr="00EC6CB4">
              <w:rPr>
                <w:rFonts w:ascii="Arial" w:hAnsi="Arial" w:cs="Arial"/>
                <w:sz w:val="22"/>
                <w:szCs w:val="22"/>
              </w:rPr>
              <w:t xml:space="preserve"> IRL will fax the final report when it has been reviewed by a supervisor.</w:t>
            </w:r>
          </w:p>
          <w:p w:rsidR="00A83959" w:rsidRPr="00EC6CB4" w:rsidRDefault="00A83959" w:rsidP="001A62F8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Compare to the patient’s BAD file:</w:t>
            </w:r>
          </w:p>
          <w:p w:rsidR="00A83959" w:rsidRPr="00EC6CB4" w:rsidRDefault="00A83959" w:rsidP="00A8395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Review antigen typing and antibody identification entry</w:t>
            </w:r>
          </w:p>
          <w:p w:rsidR="00A83959" w:rsidRPr="00EC6CB4" w:rsidRDefault="00A83959" w:rsidP="00A8395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 xml:space="preserve">Correct any entry errors made by </w:t>
            </w:r>
            <w:r w:rsidR="0015172F">
              <w:rPr>
                <w:rFonts w:ascii="Arial" w:hAnsi="Arial" w:cs="Arial"/>
                <w:sz w:val="22"/>
                <w:szCs w:val="22"/>
              </w:rPr>
              <w:t>TSL or changed results from BWNW</w:t>
            </w:r>
            <w:r w:rsidRPr="00EC6CB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C6CB4">
              <w:rPr>
                <w:rFonts w:ascii="Arial" w:hAnsi="Arial" w:cs="Arial"/>
                <w:i/>
                <w:sz w:val="22"/>
                <w:szCs w:val="22"/>
              </w:rPr>
              <w:t xml:space="preserve">An amended </w:t>
            </w:r>
            <w:r w:rsidR="0015172F">
              <w:rPr>
                <w:rFonts w:ascii="Arial" w:hAnsi="Arial" w:cs="Arial"/>
                <w:i/>
                <w:sz w:val="22"/>
                <w:szCs w:val="22"/>
              </w:rPr>
              <w:t>report may be required from BWNW</w:t>
            </w:r>
            <w:r w:rsidRPr="00EC6CB4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A83959" w:rsidRPr="00EC6CB4" w:rsidRDefault="00A83959" w:rsidP="00A8395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Document any corrections with a BAD file printout and a QIM.</w:t>
            </w:r>
          </w:p>
          <w:p w:rsidR="00A83959" w:rsidRPr="00EC6CB4" w:rsidRDefault="00A83959" w:rsidP="001A62F8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Distribute the final report:</w:t>
            </w:r>
          </w:p>
          <w:p w:rsidR="00A83959" w:rsidRPr="00EC6CB4" w:rsidRDefault="00A83959" w:rsidP="00A8395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 xml:space="preserve">Patient’s antibody chart (include </w:t>
            </w:r>
            <w:r w:rsidR="00AA2A34">
              <w:rPr>
                <w:rFonts w:ascii="Arial" w:hAnsi="Arial" w:cs="Arial"/>
                <w:sz w:val="22"/>
                <w:szCs w:val="22"/>
              </w:rPr>
              <w:t>BWNW</w:t>
            </w:r>
            <w:r w:rsidRPr="00EC6CB4">
              <w:rPr>
                <w:rFonts w:ascii="Arial" w:hAnsi="Arial" w:cs="Arial"/>
                <w:sz w:val="22"/>
                <w:szCs w:val="22"/>
              </w:rPr>
              <w:t xml:space="preserve"> testing form from hanging file)</w:t>
            </w:r>
          </w:p>
          <w:p w:rsidR="00A83959" w:rsidRPr="00EC6CB4" w:rsidRDefault="00A83959" w:rsidP="00A8395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Medical Director’s mailbox</w:t>
            </w:r>
          </w:p>
          <w:p w:rsidR="00A83959" w:rsidRPr="00EC6CB4" w:rsidRDefault="002D02F4" w:rsidP="00A8395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Compliance Analyst</w:t>
            </w:r>
            <w:r w:rsidR="00A83959" w:rsidRPr="00EC6CB4">
              <w:rPr>
                <w:rFonts w:ascii="Arial" w:hAnsi="Arial" w:cs="Arial"/>
                <w:sz w:val="22"/>
                <w:szCs w:val="22"/>
              </w:rPr>
              <w:t xml:space="preserve"> desk. </w:t>
            </w:r>
            <w:r w:rsidR="00A83959" w:rsidRPr="00EC6CB4">
              <w:rPr>
                <w:rFonts w:ascii="Arial" w:hAnsi="Arial" w:cs="Arial"/>
                <w:i/>
                <w:sz w:val="22"/>
                <w:szCs w:val="22"/>
              </w:rPr>
              <w:t>Report will be sent to the CAST group for charge entry and scanning into ORCA.</w:t>
            </w:r>
          </w:p>
          <w:p w:rsidR="00A83959" w:rsidRDefault="00A83959" w:rsidP="001A62F8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C6CB4">
              <w:rPr>
                <w:rFonts w:ascii="Arial" w:hAnsi="Arial" w:cs="Arial"/>
                <w:sz w:val="22"/>
                <w:szCs w:val="22"/>
              </w:rPr>
              <w:t>Document on the Antibody Identification Worksheet.</w:t>
            </w:r>
          </w:p>
          <w:p w:rsidR="0097113A" w:rsidRPr="00EC6CB4" w:rsidRDefault="0097113A" w:rsidP="001A62F8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Submit all reference testing request paperwork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to the compliance analyst once the final report is in</w:t>
            </w:r>
          </w:p>
        </w:tc>
        <w:tc>
          <w:tcPr>
            <w:tcW w:w="1132" w:type="pct"/>
          </w:tcPr>
          <w:p w:rsidR="00A83959" w:rsidRPr="009F35CD" w:rsidRDefault="00A83959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B2C" w:rsidRPr="009F35CD" w:rsidTr="00B93B2C">
        <w:tc>
          <w:tcPr>
            <w:tcW w:w="362" w:type="pct"/>
          </w:tcPr>
          <w:p w:rsidR="00B93B2C" w:rsidRPr="00EC6CB4" w:rsidRDefault="0097113A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06" w:type="pct"/>
          </w:tcPr>
          <w:p w:rsidR="00B93B2C" w:rsidRDefault="00B93B2C" w:rsidP="00F15048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Processing </w:t>
            </w:r>
            <w:r w:rsidR="00016D91">
              <w:rPr>
                <w:rFonts w:ascii="Arial" w:hAnsi="Arial" w:cs="Arial"/>
                <w:b/>
                <w:sz w:val="22"/>
                <w:szCs w:val="22"/>
              </w:rPr>
              <w:t>Requests for HLA and Platelet Immunology</w:t>
            </w:r>
          </w:p>
          <w:p w:rsidR="00C43DD7" w:rsidRDefault="00C43DD7" w:rsidP="001A62F8">
            <w:pPr>
              <w:pStyle w:val="ListParagraph"/>
              <w:numPr>
                <w:ilvl w:val="0"/>
                <w:numId w:val="1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Physicians should contact BWNW for testing and sample requirements</w:t>
            </w:r>
          </w:p>
          <w:p w:rsidR="00C43DD7" w:rsidRDefault="00C43DD7" w:rsidP="001A62F8">
            <w:pPr>
              <w:pStyle w:val="ListParagraph"/>
              <w:numPr>
                <w:ilvl w:val="0"/>
                <w:numId w:val="1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Medical Director approval required if request is made by TSL</w:t>
            </w:r>
          </w:p>
          <w:p w:rsidR="0097113A" w:rsidRDefault="00C43DD7" w:rsidP="001A62F8">
            <w:pPr>
              <w:pStyle w:val="ListParagraph"/>
              <w:numPr>
                <w:ilvl w:val="0"/>
                <w:numId w:val="1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SPS reference handles send out and resulting</w:t>
            </w:r>
          </w:p>
          <w:p w:rsidR="00C43DD7" w:rsidRPr="00C43DD7" w:rsidRDefault="0097113A" w:rsidP="001A62F8">
            <w:pPr>
              <w:pStyle w:val="ListParagraph"/>
              <w:numPr>
                <w:ilvl w:val="0"/>
                <w:numId w:val="1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 same process as above step 7 and 8</w:t>
            </w:r>
            <w:r w:rsidR="00C43D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2" w:type="pct"/>
          </w:tcPr>
          <w:p w:rsidR="00B93B2C" w:rsidRPr="009F35CD" w:rsidRDefault="00B93B2C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6D91" w:rsidRPr="00C43DD7" w:rsidTr="00B93B2C">
        <w:tc>
          <w:tcPr>
            <w:tcW w:w="362" w:type="pct"/>
          </w:tcPr>
          <w:p w:rsidR="00016D91" w:rsidRPr="00C43DD7" w:rsidRDefault="0097113A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06" w:type="pct"/>
          </w:tcPr>
          <w:p w:rsidR="00016D91" w:rsidRPr="00C43DD7" w:rsidRDefault="00016D91" w:rsidP="00F15048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43DD7">
              <w:rPr>
                <w:rFonts w:ascii="Arial" w:hAnsi="Arial" w:cs="Arial"/>
                <w:b/>
                <w:sz w:val="22"/>
                <w:szCs w:val="22"/>
              </w:rPr>
              <w:t>Genomics Testing Requests</w:t>
            </w:r>
          </w:p>
          <w:p w:rsidR="00016D91" w:rsidRPr="00C43DD7" w:rsidRDefault="00016D91" w:rsidP="001A62F8">
            <w:pPr>
              <w:pStyle w:val="ListParagraph"/>
              <w:numPr>
                <w:ilvl w:val="0"/>
                <w:numId w:val="1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43DD7">
              <w:rPr>
                <w:rFonts w:ascii="Arial" w:hAnsi="Arial" w:cs="Arial"/>
                <w:sz w:val="22"/>
                <w:szCs w:val="22"/>
              </w:rPr>
              <w:t>Needs TSL Medical Director appro</w:t>
            </w:r>
            <w:r w:rsidR="00C43DD7" w:rsidRPr="00C43DD7">
              <w:rPr>
                <w:rFonts w:ascii="Arial" w:hAnsi="Arial" w:cs="Arial"/>
                <w:sz w:val="22"/>
                <w:szCs w:val="22"/>
              </w:rPr>
              <w:t xml:space="preserve">val </w:t>
            </w:r>
          </w:p>
          <w:p w:rsidR="00C43DD7" w:rsidRPr="00C43DD7" w:rsidRDefault="00C43DD7" w:rsidP="001A62F8">
            <w:pPr>
              <w:pStyle w:val="ListParagraph"/>
              <w:numPr>
                <w:ilvl w:val="0"/>
                <w:numId w:val="1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43DD7">
              <w:rPr>
                <w:rFonts w:ascii="Arial" w:hAnsi="Arial" w:cs="Arial"/>
                <w:sz w:val="22"/>
                <w:szCs w:val="22"/>
              </w:rPr>
              <w:t>Contact BWNW for sample requirements and paperwork</w:t>
            </w:r>
          </w:p>
          <w:p w:rsidR="00C43DD7" w:rsidRPr="00C43DD7" w:rsidRDefault="0097113A" w:rsidP="001A62F8">
            <w:pPr>
              <w:pStyle w:val="ListParagraph"/>
              <w:numPr>
                <w:ilvl w:val="0"/>
                <w:numId w:val="1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 same process as above step 7 and 8</w:t>
            </w:r>
          </w:p>
        </w:tc>
        <w:tc>
          <w:tcPr>
            <w:tcW w:w="1132" w:type="pct"/>
          </w:tcPr>
          <w:p w:rsidR="00016D91" w:rsidRPr="00C43DD7" w:rsidRDefault="00016D91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3DD7" w:rsidRPr="00C43DD7" w:rsidTr="00B93B2C">
        <w:tc>
          <w:tcPr>
            <w:tcW w:w="362" w:type="pct"/>
          </w:tcPr>
          <w:p w:rsidR="00C43DD7" w:rsidRPr="00C43DD7" w:rsidRDefault="0097113A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506" w:type="pct"/>
          </w:tcPr>
          <w:p w:rsidR="00C43DD7" w:rsidRDefault="00C43DD7" w:rsidP="00F15048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Send out to facilities other than BWNW</w:t>
            </w:r>
            <w:r w:rsidR="0029367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9367D" w:rsidRPr="0029367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and UW TSL</w:t>
            </w:r>
          </w:p>
          <w:p w:rsidR="00C43DD7" w:rsidRDefault="00C43DD7" w:rsidP="001A62F8">
            <w:pPr>
              <w:pStyle w:val="ListParagraph"/>
              <w:numPr>
                <w:ilvl w:val="0"/>
                <w:numId w:val="1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TSL Medical Director request and approval</w:t>
            </w:r>
          </w:p>
          <w:p w:rsidR="00C43DD7" w:rsidRDefault="00C43DD7" w:rsidP="001A62F8">
            <w:pPr>
              <w:pStyle w:val="ListParagraph"/>
              <w:numPr>
                <w:ilvl w:val="0"/>
                <w:numId w:val="1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facility and determine appropriate sample requirements</w:t>
            </w:r>
          </w:p>
          <w:p w:rsidR="00C43DD7" w:rsidRDefault="00C43DD7" w:rsidP="001A62F8">
            <w:pPr>
              <w:pStyle w:val="ListParagraph"/>
              <w:numPr>
                <w:ilvl w:val="0"/>
                <w:numId w:val="1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Follow up on test results </w:t>
            </w:r>
          </w:p>
          <w:p w:rsidR="006E50B4" w:rsidRPr="00C43DD7" w:rsidRDefault="00C43DD7" w:rsidP="00D72F05">
            <w:pPr>
              <w:pStyle w:val="ListParagraph"/>
              <w:numPr>
                <w:ilvl w:val="0"/>
                <w:numId w:val="1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Submit paperwork to Compliance analyst for billing resolution</w:t>
            </w:r>
          </w:p>
        </w:tc>
        <w:tc>
          <w:tcPr>
            <w:tcW w:w="1132" w:type="pct"/>
          </w:tcPr>
          <w:p w:rsidR="00C43DD7" w:rsidRPr="00C43DD7" w:rsidRDefault="00C43DD7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105D" w:rsidRDefault="00E6105D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7"/>
        <w:gridCol w:w="7522"/>
        <w:gridCol w:w="2429"/>
      </w:tblGrid>
      <w:tr w:rsidR="00E6105D" w:rsidRPr="0097113A" w:rsidTr="00DB60B5">
        <w:tc>
          <w:tcPr>
            <w:tcW w:w="362" w:type="pct"/>
          </w:tcPr>
          <w:p w:rsidR="00E6105D" w:rsidRPr="0097113A" w:rsidRDefault="00E6105D" w:rsidP="00DB60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113A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506" w:type="pct"/>
          </w:tcPr>
          <w:p w:rsidR="00E6105D" w:rsidRPr="0097113A" w:rsidRDefault="00E6105D" w:rsidP="00DB60B5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97113A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132" w:type="pct"/>
          </w:tcPr>
          <w:p w:rsidR="00E6105D" w:rsidRPr="0097113A" w:rsidRDefault="00E6105D" w:rsidP="00DB60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113A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9367D" w:rsidRPr="009F35CD" w:rsidTr="0029367D">
        <w:tc>
          <w:tcPr>
            <w:tcW w:w="5000" w:type="pct"/>
            <w:gridSpan w:val="3"/>
          </w:tcPr>
          <w:p w:rsidR="0029367D" w:rsidRPr="009F35CD" w:rsidRDefault="0029367D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Billing Reconciliation</w:t>
            </w:r>
          </w:p>
        </w:tc>
      </w:tr>
      <w:tr w:rsidR="00AA2A34" w:rsidRPr="00576C1E" w:rsidTr="00B93B2C">
        <w:tc>
          <w:tcPr>
            <w:tcW w:w="362" w:type="pct"/>
          </w:tcPr>
          <w:p w:rsidR="00AA2A34" w:rsidRPr="00576C1E" w:rsidRDefault="0097113A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06" w:type="pct"/>
          </w:tcPr>
          <w:p w:rsidR="00AA2A34" w:rsidRPr="00576C1E" w:rsidRDefault="00AA2A34" w:rsidP="00F1504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76C1E">
              <w:rPr>
                <w:rFonts w:ascii="Arial" w:hAnsi="Arial" w:cs="Arial"/>
                <w:sz w:val="22"/>
                <w:szCs w:val="22"/>
              </w:rPr>
              <w:t xml:space="preserve">QA Compliance Analyst reconciles billing for </w:t>
            </w:r>
            <w:r w:rsidR="002D02F4"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Pr="00576C1E">
              <w:rPr>
                <w:rFonts w:ascii="Arial" w:hAnsi="Arial" w:cs="Arial"/>
                <w:sz w:val="22"/>
                <w:szCs w:val="22"/>
              </w:rPr>
              <w:t>testing performed at outside facilities</w:t>
            </w:r>
          </w:p>
          <w:p w:rsidR="00576C1E" w:rsidRPr="00576C1E" w:rsidRDefault="00576C1E" w:rsidP="001A62F8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76C1E">
              <w:rPr>
                <w:rFonts w:ascii="Arial" w:hAnsi="Arial" w:cs="Arial"/>
                <w:sz w:val="22"/>
                <w:szCs w:val="22"/>
              </w:rPr>
              <w:t>Sends billing charges reports to CAST team for subsequent billing adjustment</w:t>
            </w:r>
          </w:p>
          <w:p w:rsidR="006E50B4" w:rsidRPr="00576C1E" w:rsidRDefault="002D02F4" w:rsidP="00E6105D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Sends final report to Medical Records to be filed in patients chart (ORCA)</w:t>
            </w:r>
          </w:p>
        </w:tc>
        <w:tc>
          <w:tcPr>
            <w:tcW w:w="1132" w:type="pct"/>
          </w:tcPr>
          <w:p w:rsidR="00AA2A34" w:rsidRPr="00576C1E" w:rsidRDefault="00AA2A34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67D" w:rsidRPr="009F35CD" w:rsidTr="0029367D">
        <w:tc>
          <w:tcPr>
            <w:tcW w:w="5000" w:type="pct"/>
            <w:gridSpan w:val="3"/>
          </w:tcPr>
          <w:p w:rsidR="0029367D" w:rsidRPr="009F35CD" w:rsidRDefault="0029367D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Reference Testing Results in ORCA</w:t>
            </w:r>
          </w:p>
        </w:tc>
      </w:tr>
      <w:tr w:rsidR="00576C1E" w:rsidRPr="00576C1E" w:rsidTr="00B93B2C">
        <w:tc>
          <w:tcPr>
            <w:tcW w:w="362" w:type="pct"/>
          </w:tcPr>
          <w:p w:rsidR="00576C1E" w:rsidRPr="00576C1E" w:rsidRDefault="0097113A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06" w:type="pct"/>
          </w:tcPr>
          <w:p w:rsidR="002D02F4" w:rsidRDefault="002D02F4" w:rsidP="002D02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Medical Director(s) is responsible for the following;</w:t>
            </w:r>
          </w:p>
          <w:p w:rsidR="002D02F4" w:rsidRDefault="002D02F4" w:rsidP="001A62F8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Medicine Consult in ORCA</w:t>
            </w:r>
          </w:p>
          <w:p w:rsidR="002D02F4" w:rsidRDefault="002D02F4" w:rsidP="002D02F4">
            <w:pPr>
              <w:rPr>
                <w:rFonts w:ascii="Arial" w:hAnsi="Arial" w:cs="Arial"/>
                <w:sz w:val="22"/>
                <w:szCs w:val="22"/>
              </w:rPr>
            </w:pPr>
          </w:p>
          <w:p w:rsidR="002D02F4" w:rsidRDefault="002D02F4" w:rsidP="002D02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 or designee is responsible for the following;</w:t>
            </w:r>
          </w:p>
          <w:p w:rsidR="002D02F4" w:rsidRPr="002D02F4" w:rsidRDefault="00F4150A" w:rsidP="001A62F8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Reviewing the preliminary and final report</w:t>
            </w:r>
          </w:p>
        </w:tc>
        <w:tc>
          <w:tcPr>
            <w:tcW w:w="1132" w:type="pct"/>
          </w:tcPr>
          <w:p w:rsidR="00576C1E" w:rsidRPr="00576C1E" w:rsidRDefault="00576C1E" w:rsidP="00F150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67D" w:rsidRPr="006E50B4" w:rsidTr="0029367D">
        <w:tc>
          <w:tcPr>
            <w:tcW w:w="5000" w:type="pct"/>
            <w:gridSpan w:val="3"/>
          </w:tcPr>
          <w:p w:rsidR="0029367D" w:rsidRPr="006E50B4" w:rsidRDefault="0029367D" w:rsidP="00F1504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6E50B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Sending samples to UW TSL</w:t>
            </w:r>
          </w:p>
        </w:tc>
      </w:tr>
      <w:tr w:rsidR="0000770D" w:rsidRPr="006E50B4" w:rsidTr="00B93B2C">
        <w:tc>
          <w:tcPr>
            <w:tcW w:w="362" w:type="pct"/>
          </w:tcPr>
          <w:p w:rsidR="0000770D" w:rsidRDefault="0000770D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06" w:type="pct"/>
          </w:tcPr>
          <w:p w:rsidR="0000770D" w:rsidRPr="006E50B4" w:rsidRDefault="0000770D" w:rsidP="002D02F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E50B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Complete testing performed at HMC TSL in </w:t>
            </w:r>
            <w:proofErr w:type="spellStart"/>
            <w:r w:rsidRPr="006E50B4">
              <w:rPr>
                <w:rFonts w:ascii="Arial" w:hAnsi="Arial" w:cs="Arial"/>
                <w:sz w:val="22"/>
                <w:szCs w:val="22"/>
                <w:highlight w:val="yellow"/>
              </w:rPr>
              <w:t>Sunquest</w:t>
            </w:r>
            <w:proofErr w:type="spellEnd"/>
            <w:r w:rsidRPr="006E50B4">
              <w:rPr>
                <w:rFonts w:ascii="Arial" w:hAnsi="Arial" w:cs="Arial"/>
                <w:sz w:val="22"/>
                <w:szCs w:val="22"/>
                <w:highlight w:val="yellow"/>
              </w:rPr>
              <w:t>. Add “DTT” test code on to TSCR</w:t>
            </w:r>
            <w:r w:rsidR="006E50B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order</w:t>
            </w:r>
            <w:r w:rsidRPr="006E50B4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1132" w:type="pct"/>
          </w:tcPr>
          <w:p w:rsidR="0000770D" w:rsidRPr="006E50B4" w:rsidRDefault="0000770D" w:rsidP="00F1504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0770D" w:rsidRPr="006E50B4" w:rsidTr="00B93B2C">
        <w:tc>
          <w:tcPr>
            <w:tcW w:w="362" w:type="pct"/>
          </w:tcPr>
          <w:p w:rsidR="0000770D" w:rsidRDefault="0000770D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06" w:type="pct"/>
          </w:tcPr>
          <w:p w:rsidR="0000770D" w:rsidRPr="006E50B4" w:rsidRDefault="0000770D" w:rsidP="006E50B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E50B4">
              <w:rPr>
                <w:rFonts w:ascii="Arial" w:hAnsi="Arial" w:cs="Arial"/>
                <w:sz w:val="22"/>
                <w:szCs w:val="22"/>
                <w:highlight w:val="yellow"/>
              </w:rPr>
              <w:t>Keep or</w:t>
            </w:r>
            <w:r w:rsidR="006E50B4" w:rsidRPr="006E50B4">
              <w:rPr>
                <w:rFonts w:ascii="Arial" w:hAnsi="Arial" w:cs="Arial"/>
                <w:sz w:val="22"/>
                <w:szCs w:val="22"/>
                <w:highlight w:val="yellow"/>
              </w:rPr>
              <w:t>iginal sample at HMC, aliquot ≥1.5ml plasma</w:t>
            </w:r>
            <w:r w:rsidRPr="006E50B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. Request additional sample </w:t>
            </w:r>
            <w:r w:rsidR="006E50B4" w:rsidRPr="006E50B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collected </w:t>
            </w:r>
            <w:r w:rsidRPr="006E50B4">
              <w:rPr>
                <w:rFonts w:ascii="Arial" w:hAnsi="Arial" w:cs="Arial"/>
                <w:sz w:val="22"/>
                <w:szCs w:val="22"/>
                <w:highlight w:val="yellow"/>
              </w:rPr>
              <w:t>if</w:t>
            </w:r>
            <w:r w:rsidR="006E50B4" w:rsidRPr="006E50B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there is &lt;1.5ml</w:t>
            </w:r>
            <w:r w:rsidRPr="006E50B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to send.</w:t>
            </w:r>
          </w:p>
          <w:p w:rsidR="006E50B4" w:rsidRPr="006E50B4" w:rsidRDefault="006E50B4" w:rsidP="006E50B4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E50B4">
              <w:rPr>
                <w:rFonts w:ascii="Arial" w:hAnsi="Arial" w:cs="Arial"/>
                <w:sz w:val="22"/>
                <w:szCs w:val="22"/>
                <w:highlight w:val="yellow"/>
              </w:rPr>
              <w:t>If additional sample is needed. Order and perform ABSCR to verify reaction before sending.</w:t>
            </w:r>
          </w:p>
        </w:tc>
        <w:tc>
          <w:tcPr>
            <w:tcW w:w="1132" w:type="pct"/>
          </w:tcPr>
          <w:p w:rsidR="0000770D" w:rsidRPr="006E50B4" w:rsidRDefault="00D72F05" w:rsidP="00F1504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72F05">
              <w:rPr>
                <w:rFonts w:ascii="Arial" w:hAnsi="Arial" w:cs="Arial"/>
                <w:sz w:val="22"/>
                <w:szCs w:val="22"/>
                <w:highlight w:val="yellow"/>
              </w:rPr>
              <w:t>Department of Laboratory Medicine Specimen Transport Plan</w:t>
            </w:r>
          </w:p>
        </w:tc>
      </w:tr>
      <w:tr w:rsidR="0029367D" w:rsidRPr="006E50B4" w:rsidTr="00B93B2C">
        <w:tc>
          <w:tcPr>
            <w:tcW w:w="362" w:type="pct"/>
          </w:tcPr>
          <w:p w:rsidR="0029367D" w:rsidRDefault="0029367D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0770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06" w:type="pct"/>
          </w:tcPr>
          <w:p w:rsidR="0029367D" w:rsidRPr="006E50B4" w:rsidRDefault="0029367D" w:rsidP="002D02F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E50B4">
              <w:rPr>
                <w:rFonts w:ascii="Arial" w:hAnsi="Arial" w:cs="Arial"/>
                <w:sz w:val="22"/>
                <w:szCs w:val="22"/>
                <w:highlight w:val="yellow"/>
              </w:rPr>
              <w:t>Contact MLS Lead at UW TSL and inform them there is a sample for DTT testing. Request one of their couriers to pick up sample.</w:t>
            </w:r>
          </w:p>
        </w:tc>
        <w:tc>
          <w:tcPr>
            <w:tcW w:w="1132" w:type="pct"/>
          </w:tcPr>
          <w:p w:rsidR="0029367D" w:rsidRPr="006E50B4" w:rsidRDefault="0029367D" w:rsidP="00F1504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29367D" w:rsidRPr="006E50B4" w:rsidTr="00B93B2C">
        <w:tc>
          <w:tcPr>
            <w:tcW w:w="362" w:type="pct"/>
          </w:tcPr>
          <w:p w:rsidR="0029367D" w:rsidRDefault="0029367D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0770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06" w:type="pct"/>
          </w:tcPr>
          <w:p w:rsidR="0029367D" w:rsidRPr="006E50B4" w:rsidRDefault="0000770D" w:rsidP="002D02F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E50B4">
              <w:rPr>
                <w:rFonts w:ascii="Arial" w:hAnsi="Arial" w:cs="Arial"/>
                <w:sz w:val="22"/>
                <w:szCs w:val="22"/>
                <w:highlight w:val="yellow"/>
              </w:rPr>
              <w:t>Send copies of preliminary testing with sample.</w:t>
            </w:r>
          </w:p>
        </w:tc>
        <w:tc>
          <w:tcPr>
            <w:tcW w:w="1132" w:type="pct"/>
          </w:tcPr>
          <w:p w:rsidR="0029367D" w:rsidRPr="006E50B4" w:rsidRDefault="0029367D" w:rsidP="00F1504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29367D" w:rsidRPr="006E50B4" w:rsidTr="00B93B2C">
        <w:tc>
          <w:tcPr>
            <w:tcW w:w="362" w:type="pct"/>
          </w:tcPr>
          <w:p w:rsidR="0029367D" w:rsidRDefault="0000770D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06" w:type="pct"/>
          </w:tcPr>
          <w:p w:rsidR="0029367D" w:rsidRPr="006E50B4" w:rsidRDefault="0000770D" w:rsidP="002D02F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E50B4">
              <w:rPr>
                <w:rFonts w:ascii="Arial" w:hAnsi="Arial" w:cs="Arial"/>
                <w:sz w:val="22"/>
                <w:szCs w:val="22"/>
                <w:highlight w:val="yellow"/>
              </w:rPr>
              <w:t>Document send out on the Antibody Identification worksheet</w:t>
            </w:r>
          </w:p>
        </w:tc>
        <w:tc>
          <w:tcPr>
            <w:tcW w:w="1132" w:type="pct"/>
          </w:tcPr>
          <w:p w:rsidR="0029367D" w:rsidRPr="006E50B4" w:rsidRDefault="0029367D" w:rsidP="00F1504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0770D" w:rsidRPr="006E50B4" w:rsidTr="00B93B2C">
        <w:tc>
          <w:tcPr>
            <w:tcW w:w="362" w:type="pct"/>
          </w:tcPr>
          <w:p w:rsidR="0000770D" w:rsidRDefault="0000770D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06" w:type="pct"/>
          </w:tcPr>
          <w:p w:rsidR="0000770D" w:rsidRPr="006E50B4" w:rsidRDefault="0000770D" w:rsidP="002D02F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E50B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UW TSL will perform testing and result in </w:t>
            </w:r>
            <w:proofErr w:type="spellStart"/>
            <w:r w:rsidRPr="006E50B4">
              <w:rPr>
                <w:rFonts w:ascii="Arial" w:hAnsi="Arial" w:cs="Arial"/>
                <w:sz w:val="22"/>
                <w:szCs w:val="22"/>
                <w:highlight w:val="yellow"/>
              </w:rPr>
              <w:t>Sunquest</w:t>
            </w:r>
            <w:proofErr w:type="spellEnd"/>
            <w:r w:rsidR="006E50B4" w:rsidRPr="006E50B4">
              <w:rPr>
                <w:rFonts w:ascii="Arial" w:hAnsi="Arial" w:cs="Arial"/>
                <w:sz w:val="22"/>
                <w:szCs w:val="22"/>
                <w:highlight w:val="yellow"/>
              </w:rPr>
              <w:t>. B</w:t>
            </w:r>
            <w:r w:rsidRPr="006E50B4">
              <w:rPr>
                <w:rFonts w:ascii="Arial" w:hAnsi="Arial" w:cs="Arial"/>
                <w:sz w:val="22"/>
                <w:szCs w:val="22"/>
                <w:highlight w:val="yellow"/>
              </w:rPr>
              <w:t>illing is</w:t>
            </w:r>
            <w:r w:rsidR="00C52A8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automatically</w:t>
            </w:r>
            <w:r w:rsidRPr="006E50B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attached to the test code.</w:t>
            </w:r>
          </w:p>
        </w:tc>
        <w:tc>
          <w:tcPr>
            <w:tcW w:w="1132" w:type="pct"/>
          </w:tcPr>
          <w:p w:rsidR="0000770D" w:rsidRPr="006E50B4" w:rsidRDefault="0000770D" w:rsidP="00F1504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0770D" w:rsidRPr="006E50B4" w:rsidTr="00B93B2C">
        <w:tc>
          <w:tcPr>
            <w:tcW w:w="362" w:type="pct"/>
          </w:tcPr>
          <w:p w:rsidR="0000770D" w:rsidRDefault="0000770D" w:rsidP="00F1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06" w:type="pct"/>
          </w:tcPr>
          <w:p w:rsidR="0000770D" w:rsidRPr="006E50B4" w:rsidRDefault="0000770D" w:rsidP="002D02F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E50B4">
              <w:rPr>
                <w:rFonts w:ascii="Arial" w:hAnsi="Arial" w:cs="Arial"/>
                <w:sz w:val="22"/>
                <w:szCs w:val="22"/>
                <w:highlight w:val="yellow"/>
              </w:rPr>
              <w:t>Forward results to Medical Director for final consult.</w:t>
            </w:r>
          </w:p>
        </w:tc>
        <w:tc>
          <w:tcPr>
            <w:tcW w:w="1132" w:type="pct"/>
          </w:tcPr>
          <w:p w:rsidR="0000770D" w:rsidRPr="006E50B4" w:rsidRDefault="0000770D" w:rsidP="00F1504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:rsidR="00A83959" w:rsidRPr="00EC6CB4" w:rsidRDefault="00A83959" w:rsidP="00A83959">
      <w:pPr>
        <w:ind w:left="360"/>
        <w:rPr>
          <w:rFonts w:ascii="Arial" w:hAnsi="Arial" w:cs="Arial"/>
          <w:b/>
          <w:sz w:val="22"/>
          <w:szCs w:val="22"/>
        </w:rPr>
      </w:pPr>
    </w:p>
    <w:p w:rsidR="003735F1" w:rsidRDefault="003735F1">
      <w:pPr>
        <w:rPr>
          <w:rFonts w:ascii="Arial" w:hAnsi="Arial" w:cs="Arial"/>
          <w:b/>
          <w:sz w:val="22"/>
          <w:szCs w:val="22"/>
        </w:rPr>
      </w:pPr>
    </w:p>
    <w:p w:rsidR="009D0337" w:rsidRDefault="0097113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References </w:t>
      </w:r>
    </w:p>
    <w:p w:rsidR="0097113A" w:rsidRDefault="0097113A">
      <w:pPr>
        <w:rPr>
          <w:rFonts w:ascii="Arial" w:hAnsi="Arial" w:cs="Arial"/>
          <w:sz w:val="22"/>
          <w:szCs w:val="22"/>
        </w:rPr>
      </w:pPr>
      <w:proofErr w:type="spellStart"/>
      <w:r w:rsidRPr="0097113A">
        <w:rPr>
          <w:rFonts w:ascii="Arial" w:hAnsi="Arial" w:cs="Arial"/>
          <w:sz w:val="22"/>
          <w:szCs w:val="22"/>
        </w:rPr>
        <w:t>Bloodworks</w:t>
      </w:r>
      <w:proofErr w:type="spellEnd"/>
      <w:r w:rsidRPr="0097113A">
        <w:rPr>
          <w:rFonts w:ascii="Arial" w:hAnsi="Arial" w:cs="Arial"/>
          <w:sz w:val="22"/>
          <w:szCs w:val="22"/>
        </w:rPr>
        <w:t xml:space="preserve"> Northwest website </w:t>
      </w:r>
      <w:hyperlink r:id="rId9" w:history="1">
        <w:r w:rsidRPr="0097113A">
          <w:rPr>
            <w:rStyle w:val="Hyperlink"/>
            <w:rFonts w:ascii="Arial" w:hAnsi="Arial" w:cs="Arial"/>
            <w:sz w:val="22"/>
            <w:szCs w:val="22"/>
          </w:rPr>
          <w:t>http://www.bloodworksnw.org/home/index.htm</w:t>
        </w:r>
      </w:hyperlink>
    </w:p>
    <w:p w:rsidR="009551F8" w:rsidRPr="006E7B0D" w:rsidRDefault="009551F8">
      <w:pPr>
        <w:rPr>
          <w:sz w:val="22"/>
          <w:szCs w:val="22"/>
        </w:rPr>
      </w:pPr>
    </w:p>
    <w:sectPr w:rsidR="009551F8" w:rsidRPr="006E7B0D" w:rsidSect="003735F1">
      <w:headerReference w:type="default" r:id="rId10"/>
      <w:footerReference w:type="default" r:id="rId11"/>
      <w:headerReference w:type="first" r:id="rId12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E53A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E53A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Pr="00B82064" w:rsidRDefault="00A83959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Reference Lab Send-</w:t>
    </w:r>
    <w:r w:rsidR="00F95CF6">
      <w:rPr>
        <w:b/>
        <w:sz w:val="22"/>
        <w:szCs w:val="22"/>
      </w:rPr>
      <w:t>O</w:t>
    </w:r>
    <w:r>
      <w:rPr>
        <w:b/>
        <w:sz w:val="22"/>
        <w:szCs w:val="22"/>
      </w:rPr>
      <w:t>ut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400159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F95CF6">
            <w:rPr>
              <w:rFonts w:ascii="Arial" w:hAnsi="Arial" w:cs="Arial"/>
              <w:b/>
              <w:sz w:val="22"/>
              <w:szCs w:val="22"/>
            </w:rPr>
            <w:t>April 5,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1A62F8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5010-</w:t>
          </w:r>
          <w:r w:rsidRPr="001A62F8">
            <w:rPr>
              <w:rFonts w:ascii="Arial" w:hAnsi="Arial" w:cs="Arial"/>
              <w:b/>
              <w:sz w:val="22"/>
              <w:szCs w:val="22"/>
              <w:highlight w:val="yellow"/>
            </w:rPr>
            <w:t>5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1A62F8" w:rsidRPr="001A62F8" w:rsidRDefault="001A62F8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1A62F8">
            <w:rPr>
              <w:rFonts w:ascii="Arial" w:hAnsi="Arial" w:cs="Arial"/>
              <w:b/>
              <w:sz w:val="22"/>
              <w:szCs w:val="22"/>
              <w:highlight w:val="yellow"/>
            </w:rPr>
            <w:t>6/4/19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B93B2C" w:rsidRPr="009D0337" w:rsidRDefault="00B93B2C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F95CF6">
            <w:rPr>
              <w:rFonts w:ascii="Arial" w:hAnsi="Arial" w:cs="Arial"/>
              <w:b/>
              <w:sz w:val="28"/>
              <w:szCs w:val="28"/>
            </w:rPr>
            <w:t>Reference Lab Send-Out Process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F12"/>
    <w:multiLevelType w:val="hybridMultilevel"/>
    <w:tmpl w:val="28C80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930BA"/>
    <w:multiLevelType w:val="hybridMultilevel"/>
    <w:tmpl w:val="36B42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7B43C1"/>
    <w:multiLevelType w:val="hybridMultilevel"/>
    <w:tmpl w:val="89724E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F12B4"/>
    <w:multiLevelType w:val="hybridMultilevel"/>
    <w:tmpl w:val="78B2D3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04D41F8"/>
    <w:multiLevelType w:val="hybridMultilevel"/>
    <w:tmpl w:val="AF9A57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06235"/>
    <w:multiLevelType w:val="hybridMultilevel"/>
    <w:tmpl w:val="E0C48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E51618"/>
    <w:multiLevelType w:val="hybridMultilevel"/>
    <w:tmpl w:val="77E63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3A2CAD"/>
    <w:multiLevelType w:val="hybridMultilevel"/>
    <w:tmpl w:val="449EE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C74CD"/>
    <w:multiLevelType w:val="hybridMultilevel"/>
    <w:tmpl w:val="9F9CC5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97386"/>
    <w:multiLevelType w:val="hybridMultilevel"/>
    <w:tmpl w:val="6F78D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4936DF"/>
    <w:multiLevelType w:val="hybridMultilevel"/>
    <w:tmpl w:val="6472C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9F74D9"/>
    <w:multiLevelType w:val="hybridMultilevel"/>
    <w:tmpl w:val="4F807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64759F"/>
    <w:multiLevelType w:val="hybridMultilevel"/>
    <w:tmpl w:val="BEF2C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E074615"/>
    <w:multiLevelType w:val="hybridMultilevel"/>
    <w:tmpl w:val="A172F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240AC1"/>
    <w:multiLevelType w:val="hybridMultilevel"/>
    <w:tmpl w:val="8FFC2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  <w:num w:numId="13">
    <w:abstractNumId w:val="15"/>
  </w:num>
  <w:num w:numId="14">
    <w:abstractNumId w:val="13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0770D"/>
    <w:rsid w:val="00016D91"/>
    <w:rsid w:val="001065F9"/>
    <w:rsid w:val="0015172F"/>
    <w:rsid w:val="001A62F8"/>
    <w:rsid w:val="001A731F"/>
    <w:rsid w:val="00260E4A"/>
    <w:rsid w:val="00284F60"/>
    <w:rsid w:val="0029367D"/>
    <w:rsid w:val="002D02F4"/>
    <w:rsid w:val="002E20F0"/>
    <w:rsid w:val="0032078A"/>
    <w:rsid w:val="003735F1"/>
    <w:rsid w:val="003816DA"/>
    <w:rsid w:val="00400159"/>
    <w:rsid w:val="004D16C5"/>
    <w:rsid w:val="00576C1E"/>
    <w:rsid w:val="005B6E10"/>
    <w:rsid w:val="006720F8"/>
    <w:rsid w:val="006E50B4"/>
    <w:rsid w:val="006E7B0D"/>
    <w:rsid w:val="00750D94"/>
    <w:rsid w:val="007763E7"/>
    <w:rsid w:val="007E53AE"/>
    <w:rsid w:val="008660E7"/>
    <w:rsid w:val="008F4BFB"/>
    <w:rsid w:val="00903F57"/>
    <w:rsid w:val="009551F8"/>
    <w:rsid w:val="0097113A"/>
    <w:rsid w:val="009D0337"/>
    <w:rsid w:val="00A83959"/>
    <w:rsid w:val="00AA2A34"/>
    <w:rsid w:val="00B82064"/>
    <w:rsid w:val="00B872FD"/>
    <w:rsid w:val="00B93B2C"/>
    <w:rsid w:val="00C43DD7"/>
    <w:rsid w:val="00C52A80"/>
    <w:rsid w:val="00C6184B"/>
    <w:rsid w:val="00C93C1C"/>
    <w:rsid w:val="00CF5D34"/>
    <w:rsid w:val="00D3281B"/>
    <w:rsid w:val="00D72F05"/>
    <w:rsid w:val="00E240C7"/>
    <w:rsid w:val="00E6105D"/>
    <w:rsid w:val="00F4150A"/>
    <w:rsid w:val="00F61281"/>
    <w:rsid w:val="00F95CF6"/>
    <w:rsid w:val="00FE3C07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83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9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11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83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9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11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loodworksnw.org/home/index.ht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A081B-33E2-45BF-B805-D27F2E98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852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Erin Tuott</cp:lastModifiedBy>
  <cp:revision>9</cp:revision>
  <cp:lastPrinted>2019-05-20T20:03:00Z</cp:lastPrinted>
  <dcterms:created xsi:type="dcterms:W3CDTF">2019-05-10T23:48:00Z</dcterms:created>
  <dcterms:modified xsi:type="dcterms:W3CDTF">2019-05-20T21:43:00Z</dcterms:modified>
</cp:coreProperties>
</file>