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340D8B" w:rsidRDefault="003B0CA8" w:rsidP="004A6064">
      <w:pPr>
        <w:pStyle w:val="Header"/>
        <w:tabs>
          <w:tab w:val="clear" w:pos="4320"/>
          <w:tab w:val="clear" w:pos="8640"/>
        </w:tabs>
        <w:spacing w:line="260" w:lineRule="exact"/>
        <w:ind w:left="-36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4A6064" w:rsidRPr="004A6064" w:rsidRDefault="004A6064" w:rsidP="00DF5D0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4A6064">
        <w:rPr>
          <w:rFonts w:ascii="Arial" w:hAnsi="Arial" w:cs="Arial"/>
          <w:b/>
          <w:bCs/>
          <w:kern w:val="0"/>
          <w:sz w:val="22"/>
          <w:szCs w:val="22"/>
        </w:rPr>
        <w:t>Purpose:</w:t>
      </w:r>
    </w:p>
    <w:p w:rsidR="00042196" w:rsidRPr="00FB3AB8" w:rsidRDefault="003B0CA8" w:rsidP="00DF5D0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kern w:val="0"/>
          <w:sz w:val="22"/>
          <w:szCs w:val="22"/>
        </w:rPr>
      </w:pPr>
      <w:r w:rsidRPr="00340D8B">
        <w:rPr>
          <w:rFonts w:ascii="Arial" w:hAnsi="Arial" w:cs="Arial"/>
          <w:bCs/>
          <w:kern w:val="0"/>
          <w:sz w:val="22"/>
          <w:szCs w:val="22"/>
        </w:rPr>
        <w:t>This procedure pro</w:t>
      </w:r>
      <w:r w:rsidR="00603F7B" w:rsidRPr="00340D8B">
        <w:rPr>
          <w:rFonts w:ascii="Arial" w:hAnsi="Arial" w:cs="Arial"/>
          <w:bCs/>
          <w:kern w:val="0"/>
          <w:sz w:val="22"/>
          <w:szCs w:val="22"/>
        </w:rPr>
        <w:t>vides ins</w:t>
      </w:r>
      <w:r w:rsidR="004F20BC">
        <w:rPr>
          <w:rFonts w:ascii="Arial" w:hAnsi="Arial" w:cs="Arial"/>
          <w:bCs/>
          <w:kern w:val="0"/>
          <w:sz w:val="22"/>
          <w:szCs w:val="22"/>
        </w:rPr>
        <w:t>tructions for using the Blood Product Testing (BPT) function in Sunquest,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to </w:t>
      </w:r>
      <w:r w:rsidR="008E6DF2">
        <w:rPr>
          <w:rFonts w:ascii="Arial" w:hAnsi="Arial" w:cs="Arial"/>
          <w:bCs/>
          <w:kern w:val="0"/>
          <w:sz w:val="22"/>
          <w:szCs w:val="22"/>
        </w:rPr>
        <w:t xml:space="preserve">retest blood types </w:t>
      </w:r>
      <w:r w:rsidR="008E6DF2" w:rsidRPr="00FB3AB8">
        <w:rPr>
          <w:rFonts w:ascii="Arial" w:hAnsi="Arial" w:cs="Arial"/>
          <w:bCs/>
          <w:kern w:val="0"/>
          <w:sz w:val="22"/>
          <w:szCs w:val="22"/>
        </w:rPr>
        <w:t>for</w:t>
      </w:r>
      <w:r w:rsidR="00A20BC1" w:rsidRPr="00FB3AB8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8E6DF2" w:rsidRPr="00FB3AB8">
        <w:rPr>
          <w:rFonts w:ascii="Arial" w:hAnsi="Arial" w:cs="Arial"/>
          <w:bCs/>
          <w:kern w:val="0"/>
          <w:sz w:val="22"/>
          <w:szCs w:val="22"/>
        </w:rPr>
        <w:t xml:space="preserve">red </w:t>
      </w:r>
      <w:r w:rsidR="004F20BC" w:rsidRPr="00FB3AB8">
        <w:rPr>
          <w:rFonts w:ascii="Arial" w:hAnsi="Arial" w:cs="Arial"/>
          <w:bCs/>
          <w:kern w:val="0"/>
          <w:sz w:val="22"/>
          <w:szCs w:val="22"/>
        </w:rPr>
        <w:t>blood</w:t>
      </w:r>
      <w:r w:rsidR="008E6DF2" w:rsidRPr="00FB3AB8">
        <w:rPr>
          <w:rFonts w:ascii="Arial" w:hAnsi="Arial" w:cs="Arial"/>
          <w:bCs/>
          <w:kern w:val="0"/>
          <w:sz w:val="22"/>
          <w:szCs w:val="22"/>
        </w:rPr>
        <w:t xml:space="preserve"> cell</w:t>
      </w:r>
      <w:r w:rsidR="00AA7578" w:rsidRPr="00FB3AB8">
        <w:rPr>
          <w:rFonts w:ascii="Arial" w:hAnsi="Arial" w:cs="Arial"/>
          <w:bCs/>
          <w:kern w:val="0"/>
          <w:sz w:val="22"/>
          <w:szCs w:val="22"/>
        </w:rPr>
        <w:t xml:space="preserve"> and granulocyte product</w:t>
      </w:r>
      <w:r w:rsidR="002844C7" w:rsidRPr="00FB3AB8">
        <w:rPr>
          <w:rFonts w:ascii="Arial" w:hAnsi="Arial" w:cs="Arial"/>
          <w:bCs/>
          <w:kern w:val="0"/>
          <w:sz w:val="22"/>
          <w:szCs w:val="22"/>
        </w:rPr>
        <w:t>s</w:t>
      </w:r>
      <w:r w:rsidR="00A20BC1" w:rsidRPr="00FB3AB8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E4C9C" w:rsidRPr="00FB3AB8">
        <w:rPr>
          <w:rFonts w:ascii="Arial" w:hAnsi="Arial" w:cs="Arial"/>
          <w:bCs/>
          <w:kern w:val="0"/>
          <w:sz w:val="22"/>
          <w:szCs w:val="22"/>
        </w:rPr>
        <w:t xml:space="preserve">coming </w:t>
      </w:r>
      <w:r w:rsidR="00A20BC1" w:rsidRPr="00FB3AB8">
        <w:rPr>
          <w:rFonts w:ascii="Arial" w:hAnsi="Arial" w:cs="Arial"/>
          <w:bCs/>
          <w:kern w:val="0"/>
          <w:sz w:val="22"/>
          <w:szCs w:val="22"/>
        </w:rPr>
        <w:t>into Transfusion Service</w:t>
      </w:r>
      <w:r w:rsidR="004F20BC" w:rsidRPr="00FB3AB8">
        <w:rPr>
          <w:rFonts w:ascii="Arial" w:hAnsi="Arial" w:cs="Arial"/>
          <w:bCs/>
          <w:kern w:val="0"/>
          <w:sz w:val="22"/>
          <w:szCs w:val="22"/>
        </w:rPr>
        <w:t xml:space="preserve"> inventory</w:t>
      </w:r>
      <w:r w:rsidR="00A20BC1" w:rsidRPr="00FB3AB8">
        <w:rPr>
          <w:rFonts w:ascii="Arial" w:hAnsi="Arial" w:cs="Arial"/>
          <w:bCs/>
          <w:kern w:val="0"/>
          <w:sz w:val="22"/>
          <w:szCs w:val="22"/>
        </w:rPr>
        <w:t>, converting units from unprocessed to available inventory.</w:t>
      </w:r>
      <w:r w:rsidR="008E6DF2" w:rsidRPr="00FB3AB8">
        <w:rPr>
          <w:rFonts w:ascii="Arial" w:hAnsi="Arial" w:cs="Arial"/>
          <w:bCs/>
          <w:kern w:val="0"/>
          <w:sz w:val="22"/>
          <w:szCs w:val="22"/>
        </w:rPr>
        <w:t xml:space="preserve"> This SOP is to be used in conjunction with “</w:t>
      </w:r>
      <w:proofErr w:type="spellStart"/>
      <w:r w:rsidR="008D18FA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8D18FA">
        <w:rPr>
          <w:rFonts w:ascii="Arial" w:hAnsi="Arial" w:cs="Arial"/>
          <w:bCs/>
          <w:kern w:val="0"/>
          <w:sz w:val="22"/>
          <w:szCs w:val="22"/>
        </w:rPr>
        <w:t xml:space="preserve">: </w:t>
      </w:r>
      <w:r w:rsidR="008E6DF2" w:rsidRPr="00FB3AB8">
        <w:rPr>
          <w:rFonts w:ascii="Arial" w:hAnsi="Arial" w:cs="Arial"/>
          <w:bCs/>
          <w:kern w:val="0"/>
          <w:sz w:val="22"/>
          <w:szCs w:val="22"/>
        </w:rPr>
        <w:t>Blood Product Entry”.</w:t>
      </w:r>
    </w:p>
    <w:p w:rsidR="00042196" w:rsidRPr="00FB3AB8" w:rsidRDefault="00042196" w:rsidP="00DF5D0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</w:p>
    <w:p w:rsidR="00BC68FF" w:rsidRPr="00FB3AB8" w:rsidRDefault="006D428D" w:rsidP="004A6064">
      <w:pPr>
        <w:pStyle w:val="Header"/>
        <w:tabs>
          <w:tab w:val="clear" w:pos="4320"/>
          <w:tab w:val="clear" w:pos="8640"/>
        </w:tabs>
        <w:spacing w:line="260" w:lineRule="exact"/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FB3AB8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560"/>
        <w:gridCol w:w="1800"/>
      </w:tblGrid>
      <w:tr w:rsidR="00E2710B" w:rsidRPr="00FB3AB8" w:rsidTr="006730CC">
        <w:tc>
          <w:tcPr>
            <w:tcW w:w="720" w:type="dxa"/>
          </w:tcPr>
          <w:p w:rsidR="00E2710B" w:rsidRPr="00FB3AB8" w:rsidRDefault="00672A6A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7560" w:type="dxa"/>
          </w:tcPr>
          <w:p w:rsidR="00E2710B" w:rsidRPr="00FB3AB8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1800" w:type="dxa"/>
          </w:tcPr>
          <w:p w:rsidR="00E2710B" w:rsidRPr="00FB3AB8" w:rsidRDefault="001C6AF3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E2710B" w:rsidRPr="00FB3AB8" w:rsidTr="00155DCF">
        <w:trPr>
          <w:trHeight w:val="586"/>
        </w:trPr>
        <w:tc>
          <w:tcPr>
            <w:tcW w:w="720" w:type="dxa"/>
          </w:tcPr>
          <w:p w:rsidR="00E2710B" w:rsidRPr="00FB3AB8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E2710B" w:rsidRPr="00FB3AB8" w:rsidRDefault="002844C7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units into inventory </w:t>
            </w:r>
          </w:p>
        </w:tc>
        <w:tc>
          <w:tcPr>
            <w:tcW w:w="1800" w:type="dxa"/>
          </w:tcPr>
          <w:p w:rsidR="001C6AF3" w:rsidRPr="00FB3AB8" w:rsidRDefault="008D18FA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: </w:t>
            </w:r>
            <w:r w:rsidR="001C6AF3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Entry</w:t>
            </w:r>
          </w:p>
        </w:tc>
      </w:tr>
      <w:tr w:rsidR="00E2710B" w:rsidRPr="00FB3AB8" w:rsidTr="00155DCF">
        <w:trPr>
          <w:trHeight w:val="1342"/>
        </w:trPr>
        <w:tc>
          <w:tcPr>
            <w:tcW w:w="720" w:type="dxa"/>
          </w:tcPr>
          <w:p w:rsidR="00E2710B" w:rsidRPr="00FB3AB8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2844C7" w:rsidRPr="00FB3AB8" w:rsidRDefault="002844C7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Place units into correct storage locations</w:t>
            </w:r>
          </w:p>
          <w:p w:rsidR="00672A6A" w:rsidRPr="00FB3AB8" w:rsidRDefault="00EE4C9C" w:rsidP="00BD588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</w:t>
            </w:r>
            <w:r w:rsidR="00AA7578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red blood cells 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products in refrigerator on specified unprocessed shelves.</w:t>
            </w:r>
          </w:p>
          <w:p w:rsidR="00AA7578" w:rsidRPr="00FB3AB8" w:rsidRDefault="00AA7578" w:rsidP="00BD588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Granulocytes will be placed at room temperature on the platelet incubator #1 with no agitation </w:t>
            </w:r>
          </w:p>
        </w:tc>
        <w:tc>
          <w:tcPr>
            <w:tcW w:w="1800" w:type="dxa"/>
          </w:tcPr>
          <w:p w:rsidR="00E2710B" w:rsidRPr="00FB3AB8" w:rsidRDefault="00672A6A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Storage Policy</w:t>
            </w:r>
          </w:p>
        </w:tc>
      </w:tr>
      <w:tr w:rsidR="00E2710B" w:rsidRPr="00FB3AB8" w:rsidTr="004A6064">
        <w:trPr>
          <w:trHeight w:val="2863"/>
        </w:trPr>
        <w:tc>
          <w:tcPr>
            <w:tcW w:w="720" w:type="dxa"/>
          </w:tcPr>
          <w:p w:rsidR="00E2710B" w:rsidRPr="00FB3AB8" w:rsidRDefault="00846D02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:rsidR="001C6AF3" w:rsidRPr="00FB3AB8" w:rsidRDefault="00EE4C9C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In small batches remove products from refrigerator</w:t>
            </w:r>
            <w:r w:rsidR="001C6AF3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1C6AF3" w:rsidRPr="00FB3AB8" w:rsidRDefault="001C6AF3" w:rsidP="00BD588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Remove</w:t>
            </w:r>
            <w:r w:rsidR="00EE4C9C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segments. </w:t>
            </w:r>
          </w:p>
          <w:p w:rsidR="001C6AF3" w:rsidRPr="00FB3AB8" w:rsidRDefault="00EE4C9C" w:rsidP="00BD588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  <w:r w:rsidR="001C6AF3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segments for retention</w:t>
            </w:r>
          </w:p>
          <w:p w:rsidR="001C6AF3" w:rsidRPr="00FB3AB8" w:rsidRDefault="001C6AF3" w:rsidP="00BD588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144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Label with Unit number sticker</w:t>
            </w:r>
          </w:p>
          <w:p w:rsidR="001C6AF3" w:rsidRPr="00FB3AB8" w:rsidRDefault="001C6AF3" w:rsidP="00BD588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144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Place in dated storage bag for retention.</w:t>
            </w:r>
          </w:p>
          <w:p w:rsidR="001C6AF3" w:rsidRPr="00FB3AB8" w:rsidRDefault="002844C7" w:rsidP="00BD588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1 segment for the ABORH </w:t>
            </w:r>
            <w:proofErr w:type="gramStart"/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retype</w:t>
            </w:r>
            <w:proofErr w:type="gramEnd"/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E2710B" w:rsidRPr="00FB3AB8" w:rsidRDefault="001C6AF3" w:rsidP="00BD588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60" w:lineRule="exact"/>
              <w:ind w:left="144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Label with Unit number, </w:t>
            </w:r>
            <w:r w:rsidR="00EE4C9C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adding a 1 or 2 if necessary for container type.</w:t>
            </w:r>
          </w:p>
          <w:p w:rsidR="001C6AF3" w:rsidRPr="00FB3AB8" w:rsidRDefault="001C6AF3" w:rsidP="00BD58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</w:t>
            </w:r>
            <w:r w:rsidR="00505A15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red cell 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units back into the refrigerator</w:t>
            </w:r>
            <w:r w:rsidR="00672A6A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672A6A" w:rsidRPr="00FB3AB8" w:rsidRDefault="00AA7578" w:rsidP="00BD588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Granulocytes- pull one segment for type confirmation and retain one segment for storage</w:t>
            </w:r>
          </w:p>
        </w:tc>
        <w:tc>
          <w:tcPr>
            <w:tcW w:w="1800" w:type="dxa"/>
          </w:tcPr>
          <w:p w:rsidR="00B22C3A" w:rsidRPr="00FB3AB8" w:rsidRDefault="00672A6A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Sample </w:t>
            </w:r>
            <w:r w:rsidR="00505A15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and Unit Segment 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Management Process</w:t>
            </w:r>
          </w:p>
        </w:tc>
      </w:tr>
      <w:tr w:rsidR="00E2710B" w:rsidRPr="000D7CBB" w:rsidTr="006730CC">
        <w:tc>
          <w:tcPr>
            <w:tcW w:w="720" w:type="dxa"/>
          </w:tcPr>
          <w:p w:rsidR="00E2710B" w:rsidRPr="00FB3AB8" w:rsidRDefault="006730CC" w:rsidP="00EE4C9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7560" w:type="dxa"/>
          </w:tcPr>
          <w:p w:rsidR="006730CC" w:rsidRPr="00FB3AB8" w:rsidRDefault="00505A15" w:rsidP="006730C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Type Confirmations on Tango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Only use for red cell products</w:t>
            </w:r>
          </w:p>
          <w:p w:rsidR="00672A6A" w:rsidRPr="00FB3AB8" w:rsidRDefault="006730CC" w:rsidP="00F33BF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If both container 1 and container 2 products are received</w:t>
            </w:r>
            <w:r w:rsidR="006B04D1" w:rsidRPr="006B04D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</w:t>
            </w:r>
            <w:r w:rsidR="00F33BF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perform</w:t>
            </w:r>
            <w:r w:rsidRPr="006B04D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the recheck of </w:t>
            </w:r>
            <w:r w:rsidR="006B04D1" w:rsidRPr="006B04D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both </w:t>
            </w:r>
            <w:r w:rsidRPr="006B04D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container</w:t>
            </w:r>
            <w:r w:rsidR="006B04D1" w:rsidRPr="006B04D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s</w:t>
            </w:r>
            <w:r w:rsidR="006B04D1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by hand.</w:t>
            </w:r>
          </w:p>
        </w:tc>
        <w:tc>
          <w:tcPr>
            <w:tcW w:w="1800" w:type="dxa"/>
          </w:tcPr>
          <w:p w:rsidR="0096783A" w:rsidRPr="001C6AF3" w:rsidRDefault="002844C7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Tango Sample requirements and preparation</w:t>
            </w:r>
          </w:p>
        </w:tc>
      </w:tr>
      <w:tr w:rsidR="006D428D" w:rsidRPr="000D7CBB" w:rsidTr="006730CC">
        <w:tc>
          <w:tcPr>
            <w:tcW w:w="720" w:type="dxa"/>
          </w:tcPr>
          <w:p w:rsidR="006D428D" w:rsidRPr="000D7CBB" w:rsidRDefault="00505A15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:rsidR="007238E6" w:rsidRPr="00FB3AB8" w:rsidRDefault="00672A6A" w:rsidP="006B04D1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Blood Bank Instruments </w:t>
            </w:r>
            <w:r w:rsidR="006730CC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function;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v</w:t>
            </w:r>
            <w:r w:rsidR="00155566"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alidate results as they come off the Tango</w:t>
            </w:r>
          </w:p>
        </w:tc>
        <w:tc>
          <w:tcPr>
            <w:tcW w:w="1800" w:type="dxa"/>
          </w:tcPr>
          <w:p w:rsidR="006B04D1" w:rsidRDefault="0034406E" w:rsidP="00972D5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Tango accepting and Clearing Results in SQ</w:t>
            </w:r>
          </w:p>
          <w:p w:rsidR="00DF5D00" w:rsidRPr="00FB3AB8" w:rsidRDefault="00DF5D00" w:rsidP="00972D5F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505A15" w:rsidRPr="000D7CBB" w:rsidTr="006730CC">
        <w:tc>
          <w:tcPr>
            <w:tcW w:w="720" w:type="dxa"/>
          </w:tcPr>
          <w:p w:rsidR="00505A15" w:rsidRPr="00672A6A" w:rsidRDefault="00505A15" w:rsidP="00BD588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72A6A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0" w:type="dxa"/>
          </w:tcPr>
          <w:p w:rsidR="00505A15" w:rsidRPr="00FB3AB8" w:rsidRDefault="00505A15" w:rsidP="00BD588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1800" w:type="dxa"/>
          </w:tcPr>
          <w:p w:rsidR="00505A15" w:rsidRPr="00FB3AB8" w:rsidRDefault="00505A15" w:rsidP="00BD588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505A15" w:rsidRPr="000D7CBB" w:rsidTr="006730CC">
        <w:tc>
          <w:tcPr>
            <w:tcW w:w="720" w:type="dxa"/>
          </w:tcPr>
          <w:p w:rsidR="00505A15" w:rsidRPr="000D7CBB" w:rsidRDefault="00505A15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560" w:type="dxa"/>
          </w:tcPr>
          <w:p w:rsidR="00505A15" w:rsidRPr="00FB3AB8" w:rsidRDefault="00505A15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Type Confirmations—Manual Tube Method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Manual testi</w:t>
            </w:r>
            <w:r w:rsidR="008D18FA">
              <w:rPr>
                <w:rFonts w:ascii="Arial" w:hAnsi="Arial" w:cs="Arial"/>
                <w:bCs/>
                <w:kern w:val="0"/>
                <w:sz w:val="22"/>
                <w:szCs w:val="22"/>
              </w:rPr>
              <w:t>ng can be performed on red cell</w:t>
            </w: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and granulocyte products</w:t>
            </w:r>
          </w:p>
        </w:tc>
        <w:tc>
          <w:tcPr>
            <w:tcW w:w="1800" w:type="dxa"/>
          </w:tcPr>
          <w:p w:rsidR="00505A15" w:rsidRPr="00FB3AB8" w:rsidRDefault="00505A15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 Type Confirmation Using Tube Method </w:t>
            </w:r>
          </w:p>
        </w:tc>
      </w:tr>
      <w:tr w:rsidR="00505A15" w:rsidRPr="000D7CBB" w:rsidTr="006730CC">
        <w:tc>
          <w:tcPr>
            <w:tcW w:w="720" w:type="dxa"/>
          </w:tcPr>
          <w:p w:rsidR="00505A15" w:rsidRPr="000D7CBB" w:rsidRDefault="00505A15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7560" w:type="dxa"/>
          </w:tcPr>
          <w:p w:rsidR="00505A15" w:rsidRPr="00FB3AB8" w:rsidRDefault="00505A15" w:rsidP="00505A1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results in BPT, using the Worklist Mode. 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Scan in the unit number 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Click on “Add” button on screen, to create list, or use the Worklist number generated upon entry of units into inventory. 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When list is complete, click on “Continue” button on screen.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The first unit number will appear in the testing area of the screen.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Confirm unit number in gray header before entering results.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Use the Home key to get to the grid for entering ABO/RH results. 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All reaction fields in the grid must be resulted.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Use ND (not done) for any tests not performed.</w:t>
            </w:r>
          </w:p>
          <w:p w:rsidR="00505A15" w:rsidRPr="00FB3AB8" w:rsidRDefault="00505A15" w:rsidP="00BD588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ND for the Rh on all positive units, as Rh confirmation is not done on Rh Pos units. </w:t>
            </w:r>
          </w:p>
        </w:tc>
        <w:tc>
          <w:tcPr>
            <w:tcW w:w="1800" w:type="dxa"/>
          </w:tcPr>
          <w:p w:rsidR="00505A15" w:rsidRDefault="00505A15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Blood Product Entry in </w:t>
            </w:r>
            <w:proofErr w:type="spellStart"/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Sunquest</w:t>
            </w:r>
            <w:proofErr w:type="spellEnd"/>
          </w:p>
          <w:p w:rsidR="00C92193" w:rsidRDefault="00C92193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C92193" w:rsidRPr="00FB3AB8" w:rsidRDefault="00DF5D00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F5D00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Unit Type Confirmation Using Tube Method</w:t>
            </w:r>
          </w:p>
        </w:tc>
      </w:tr>
      <w:tr w:rsidR="00505A15" w:rsidRPr="000D7CBB" w:rsidTr="006730CC">
        <w:tc>
          <w:tcPr>
            <w:tcW w:w="720" w:type="dxa"/>
          </w:tcPr>
          <w:p w:rsidR="00505A15" w:rsidRDefault="00505A15" w:rsidP="00505A1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7560" w:type="dxa"/>
          </w:tcPr>
          <w:p w:rsidR="00505A15" w:rsidRDefault="00505A15" w:rsidP="00505A1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Enter single results that did not cross over from Tango to Sunquest</w:t>
            </w:r>
          </w:p>
          <w:p w:rsidR="00505A15" w:rsidRDefault="00505A15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Using the Journal Worksheet from the Tango manually enter the results.</w:t>
            </w:r>
          </w:p>
          <w:p w:rsidR="002177F9" w:rsidRDefault="002177F9" w:rsidP="00BD58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2177F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Enter ND for any tests not performed</w:t>
            </w:r>
          </w:p>
          <w:p w:rsidR="002177F9" w:rsidRPr="002177F9" w:rsidRDefault="00505A15" w:rsidP="002177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Add a test to the unit by tabbing to the field under ABORH and </w:t>
            </w:r>
            <w:proofErr w:type="gramStart"/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>entering ;BBCS</w:t>
            </w:r>
            <w:proofErr w:type="gramEnd"/>
            <w:r w:rsidRPr="00FB3A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(Blood Bank Comment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Suppressed) to leave a notation that the test came from Tango results.</w:t>
            </w:r>
          </w:p>
        </w:tc>
        <w:tc>
          <w:tcPr>
            <w:tcW w:w="1800" w:type="dxa"/>
          </w:tcPr>
          <w:p w:rsidR="00505A15" w:rsidRDefault="00D5486D" w:rsidP="00B82CE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D5486D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Tango Accepting and Clearing results in SQ</w:t>
            </w:r>
            <w:bookmarkStart w:id="0" w:name="_GoBack"/>
            <w:bookmarkEnd w:id="0"/>
          </w:p>
        </w:tc>
      </w:tr>
      <w:tr w:rsidR="00505A15" w:rsidRPr="000D7CBB" w:rsidTr="006730CC">
        <w:tc>
          <w:tcPr>
            <w:tcW w:w="720" w:type="dxa"/>
          </w:tcPr>
          <w:p w:rsidR="00505A15" w:rsidRDefault="00505A15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7560" w:type="dxa"/>
          </w:tcPr>
          <w:p w:rsidR="00505A15" w:rsidRDefault="00505A15" w:rsidP="00505A1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Ensure all units have been properly typed and ready for placement into inventory.</w:t>
            </w:r>
          </w:p>
          <w:p w:rsidR="00505A15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the Blood Bank Inventory/Supplier Search function. </w:t>
            </w:r>
          </w:p>
          <w:p w:rsidR="00505A15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H for HID and RBCG for Component Type. </w:t>
            </w:r>
          </w:p>
          <w:p w:rsidR="00505A15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In Search Mode select Unprocessed and click on “Search”</w:t>
            </w:r>
          </w:p>
          <w:p w:rsidR="00505A15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If no units are located in the unprocessed inventory, testing is completed.</w:t>
            </w:r>
          </w:p>
          <w:p w:rsidR="00505A15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If there are units remaining in unprocessed inventory, reconcile the worklist to make sure all tested units have been resulted.</w:t>
            </w:r>
          </w:p>
          <w:p w:rsidR="00505A15" w:rsidRPr="002844C7" w:rsidRDefault="00505A15" w:rsidP="00BD588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Remove units from the unprocessed inventory area in the refrigerator, and place them in the available inventory area.</w:t>
            </w:r>
          </w:p>
        </w:tc>
        <w:tc>
          <w:tcPr>
            <w:tcW w:w="1800" w:type="dxa"/>
          </w:tcPr>
          <w:p w:rsidR="00505A15" w:rsidRDefault="00505A15" w:rsidP="002844C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Storage Policy</w:t>
            </w:r>
          </w:p>
        </w:tc>
      </w:tr>
    </w:tbl>
    <w:p w:rsidR="00C95D70" w:rsidRDefault="00C95D70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4F20BC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4F20BC" w:rsidRPr="004F20BC" w:rsidRDefault="004F20BC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proofErr w:type="gramStart"/>
      <w:r w:rsidRPr="004F20BC">
        <w:rPr>
          <w:rFonts w:ascii="Arial" w:hAnsi="Arial" w:cs="Arial"/>
          <w:kern w:val="0"/>
          <w:sz w:val="22"/>
          <w:szCs w:val="22"/>
        </w:rPr>
        <w:t>AABB Standards for Blood Banks and Transfusion Services, Current Edition.</w:t>
      </w:r>
      <w:proofErr w:type="gramEnd"/>
    </w:p>
    <w:p w:rsidR="006B04D1" w:rsidRDefault="006B04D1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4F20BC" w:rsidRPr="004F20BC" w:rsidRDefault="004F20BC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4F20BC">
        <w:rPr>
          <w:rFonts w:ascii="Arial" w:hAnsi="Arial" w:cs="Arial"/>
          <w:kern w:val="0"/>
          <w:sz w:val="22"/>
          <w:szCs w:val="22"/>
        </w:rPr>
        <w:t>Blood Bank User Guide, Misys Laboratory</w:t>
      </w:r>
      <w:r w:rsidR="007F2377">
        <w:rPr>
          <w:rFonts w:ascii="Arial" w:hAnsi="Arial" w:cs="Arial"/>
          <w:kern w:val="0"/>
          <w:sz w:val="22"/>
          <w:szCs w:val="22"/>
        </w:rPr>
        <w:t xml:space="preserve"> version </w:t>
      </w:r>
      <w:r w:rsidR="006B04D1" w:rsidRPr="006B04D1">
        <w:rPr>
          <w:rFonts w:ascii="Arial" w:hAnsi="Arial" w:cs="Arial"/>
          <w:kern w:val="0"/>
          <w:sz w:val="22"/>
          <w:szCs w:val="22"/>
          <w:highlight w:val="yellow"/>
        </w:rPr>
        <w:t>8.1</w:t>
      </w:r>
    </w:p>
    <w:sectPr w:rsidR="004F20BC" w:rsidRPr="004F20BC" w:rsidSect="002844C7">
      <w:headerReference w:type="default" r:id="rId9"/>
      <w:footerReference w:type="default" r:id="rId10"/>
      <w:headerReference w:type="first" r:id="rId11"/>
      <w:pgSz w:w="12240" w:h="15840"/>
      <w:pgMar w:top="107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4F" w:rsidRDefault="00B3054F" w:rsidP="00E539F9">
      <w:r>
        <w:separator/>
      </w:r>
    </w:p>
  </w:endnote>
  <w:endnote w:type="continuationSeparator" w:id="0">
    <w:p w:rsidR="00B3054F" w:rsidRDefault="00B3054F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6" w:rsidRPr="008D18FA" w:rsidRDefault="00B82CE6">
    <w:pPr>
      <w:pStyle w:val="Footer"/>
      <w:jc w:val="right"/>
      <w:rPr>
        <w:rFonts w:ascii="Arial" w:hAnsi="Arial" w:cs="Arial"/>
        <w:sz w:val="22"/>
      </w:rPr>
    </w:pPr>
    <w:r w:rsidRPr="008D18FA">
      <w:rPr>
        <w:rFonts w:ascii="Arial" w:hAnsi="Arial" w:cs="Arial"/>
        <w:sz w:val="22"/>
      </w:rPr>
      <w:t xml:space="preserve">Page </w:t>
    </w:r>
    <w:r w:rsidRPr="008D18FA">
      <w:rPr>
        <w:rFonts w:ascii="Arial" w:hAnsi="Arial" w:cs="Arial"/>
        <w:sz w:val="22"/>
      </w:rPr>
      <w:fldChar w:fldCharType="begin"/>
    </w:r>
    <w:r w:rsidRPr="008D18FA">
      <w:rPr>
        <w:rFonts w:ascii="Arial" w:hAnsi="Arial" w:cs="Arial"/>
        <w:sz w:val="22"/>
      </w:rPr>
      <w:instrText xml:space="preserve"> PAGE </w:instrText>
    </w:r>
    <w:r w:rsidRPr="008D18FA">
      <w:rPr>
        <w:rFonts w:ascii="Arial" w:hAnsi="Arial" w:cs="Arial"/>
        <w:sz w:val="22"/>
      </w:rPr>
      <w:fldChar w:fldCharType="separate"/>
    </w:r>
    <w:r w:rsidR="00DF5D00">
      <w:rPr>
        <w:rFonts w:ascii="Arial" w:hAnsi="Arial" w:cs="Arial"/>
        <w:noProof/>
        <w:sz w:val="22"/>
      </w:rPr>
      <w:t>2</w:t>
    </w:r>
    <w:r w:rsidRPr="008D18FA">
      <w:rPr>
        <w:rFonts w:ascii="Arial" w:hAnsi="Arial" w:cs="Arial"/>
        <w:sz w:val="22"/>
      </w:rPr>
      <w:fldChar w:fldCharType="end"/>
    </w:r>
    <w:r w:rsidRPr="008D18FA">
      <w:rPr>
        <w:rFonts w:ascii="Arial" w:hAnsi="Arial" w:cs="Arial"/>
        <w:sz w:val="22"/>
      </w:rPr>
      <w:t xml:space="preserve"> of </w:t>
    </w:r>
    <w:r w:rsidR="002177F9" w:rsidRPr="008D18FA">
      <w:rPr>
        <w:rFonts w:ascii="Arial" w:hAnsi="Arial" w:cs="Arial"/>
        <w:sz w:val="22"/>
      </w:rPr>
      <w:fldChar w:fldCharType="begin"/>
    </w:r>
    <w:r w:rsidR="002177F9" w:rsidRPr="008D18FA">
      <w:rPr>
        <w:rFonts w:ascii="Arial" w:hAnsi="Arial" w:cs="Arial"/>
        <w:sz w:val="22"/>
      </w:rPr>
      <w:instrText xml:space="preserve"> NUMPAGES  </w:instrText>
    </w:r>
    <w:r w:rsidR="002177F9" w:rsidRPr="008D18FA">
      <w:rPr>
        <w:rFonts w:ascii="Arial" w:hAnsi="Arial" w:cs="Arial"/>
        <w:sz w:val="22"/>
      </w:rPr>
      <w:fldChar w:fldCharType="separate"/>
    </w:r>
    <w:r w:rsidR="00DF5D00">
      <w:rPr>
        <w:rFonts w:ascii="Arial" w:hAnsi="Arial" w:cs="Arial"/>
        <w:noProof/>
        <w:sz w:val="22"/>
      </w:rPr>
      <w:t>2</w:t>
    </w:r>
    <w:r w:rsidR="002177F9" w:rsidRPr="008D18FA">
      <w:rPr>
        <w:rFonts w:ascii="Arial" w:hAnsi="Arial" w:cs="Arial"/>
        <w:noProof/>
        <w:sz w:val="22"/>
      </w:rPr>
      <w:fldChar w:fldCharType="end"/>
    </w:r>
  </w:p>
  <w:p w:rsidR="00B82CE6" w:rsidRPr="008D18FA" w:rsidRDefault="00B82CE6">
    <w:pPr>
      <w:pStyle w:val="Footer"/>
      <w:rPr>
        <w:rFonts w:ascii="Arial" w:hAnsi="Arial" w:cs="Arial"/>
        <w:sz w:val="22"/>
      </w:rPr>
    </w:pPr>
    <w:r w:rsidRPr="008D18FA">
      <w:rPr>
        <w:rFonts w:ascii="Arial" w:hAnsi="Arial" w:cs="Arial"/>
        <w:sz w:val="22"/>
      </w:rPr>
      <w:t>Transfusion Services Laboratory</w:t>
    </w:r>
  </w:p>
  <w:p w:rsidR="00B82CE6" w:rsidRPr="008D18FA" w:rsidRDefault="00B82CE6">
    <w:pPr>
      <w:pStyle w:val="Footer"/>
      <w:rPr>
        <w:rFonts w:ascii="Arial" w:hAnsi="Arial" w:cs="Arial"/>
        <w:sz w:val="22"/>
      </w:rPr>
    </w:pPr>
    <w:r w:rsidRPr="008D18FA">
      <w:rPr>
        <w:rFonts w:ascii="Arial" w:hAnsi="Arial" w:cs="Arial"/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4F" w:rsidRDefault="00B3054F" w:rsidP="00E539F9">
      <w:r>
        <w:separator/>
      </w:r>
    </w:p>
  </w:footnote>
  <w:footnote w:type="continuationSeparator" w:id="0">
    <w:p w:rsidR="00B3054F" w:rsidRDefault="00B3054F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6" w:rsidRPr="002844C7" w:rsidRDefault="00B82CE6">
    <w:pPr>
      <w:pStyle w:val="Header"/>
      <w:rPr>
        <w:rFonts w:ascii="Arial" w:hAnsi="Arial" w:cs="Arial"/>
        <w:b/>
        <w:sz w:val="22"/>
        <w:szCs w:val="22"/>
      </w:rPr>
    </w:pPr>
    <w:r w:rsidRPr="002844C7">
      <w:rPr>
        <w:rFonts w:ascii="Arial" w:hAnsi="Arial" w:cs="Arial"/>
        <w:b/>
        <w:sz w:val="22"/>
        <w:szCs w:val="22"/>
      </w:rPr>
      <w:t>Blood Product Testing</w:t>
    </w:r>
    <w:r w:rsidR="00691772" w:rsidRPr="002844C7">
      <w:rPr>
        <w:rFonts w:ascii="Arial" w:hAnsi="Arial" w:cs="Arial"/>
        <w:b/>
        <w:sz w:val="22"/>
        <w:szCs w:val="22"/>
      </w:rPr>
      <w:t xml:space="preserve">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6" w:rsidRPr="00340D8B" w:rsidRDefault="003041A0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6275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CE6" w:rsidRPr="00340D8B" w:rsidRDefault="00B82CE6" w:rsidP="00340D8B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B82CE6" w:rsidRPr="000D7CBB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Harborview Medical Center</w:t>
          </w:r>
        </w:p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325 9</w:t>
          </w:r>
          <w:r w:rsidRPr="008E18F5">
            <w:rPr>
              <w:rFonts w:ascii="Arial" w:eastAsia="Times New Roman" w:hAnsi="Arial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Transfusion Services Laboratory</w:t>
          </w:r>
        </w:p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B82CE6" w:rsidRPr="008E18F5" w:rsidRDefault="00B82CE6" w:rsidP="008E18F5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8E18F5">
            <w:rPr>
              <w:rFonts w:ascii="Arial" w:eastAsia="Times New Roman" w:hAnsi="Arial" w:cs="Arial"/>
              <w:sz w:val="22"/>
              <w:szCs w:val="22"/>
              <w:lang w:bidi="ar-SA"/>
            </w:rPr>
            <w:t xml:space="preserve"> </w:t>
          </w:r>
          <w:r w:rsidR="004F0539">
            <w:rPr>
              <w:rFonts w:ascii="Arial" w:eastAsia="Times New Roman" w:hAnsi="Arial" w:cs="Arial"/>
              <w:sz w:val="22"/>
              <w:szCs w:val="22"/>
              <w:lang w:bidi="ar-SA"/>
            </w:rPr>
            <w:t>August 15,</w:t>
          </w:r>
          <w:r w:rsidRPr="008E18F5">
            <w:rPr>
              <w:rFonts w:ascii="Arial" w:eastAsia="Times New Roman" w:hAnsi="Arial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B82CE6" w:rsidRPr="008E18F5" w:rsidRDefault="00B82CE6" w:rsidP="00340D8B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Number: </w:t>
          </w:r>
        </w:p>
        <w:p w:rsidR="00B82CE6" w:rsidRPr="007616E6" w:rsidRDefault="006F2EE5" w:rsidP="00236974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5817</w:t>
          </w:r>
          <w:r w:rsidR="006B04D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-3</w:t>
          </w:r>
        </w:p>
      </w:tc>
    </w:tr>
    <w:tr w:rsidR="00B82CE6" w:rsidRPr="000D7CBB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CE6" w:rsidRPr="008E18F5" w:rsidRDefault="00B82CE6" w:rsidP="00340D8B">
          <w:pPr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82CE6" w:rsidRPr="008E18F5" w:rsidRDefault="00B82CE6" w:rsidP="00340D8B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B82CE6" w:rsidRPr="002844C7" w:rsidRDefault="00B82CE6" w:rsidP="00340D8B">
          <w:pPr>
            <w:jc w:val="both"/>
            <w:rPr>
              <w:rFonts w:ascii="Arial" w:eastAsia="Times New Roman" w:hAnsi="Arial" w:cs="Arial"/>
              <w:sz w:val="22"/>
              <w:lang w:bidi="ar-SA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82CE6" w:rsidRDefault="00B82CE6" w:rsidP="00340D8B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 w:rsidRPr="008E18F5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Pages: </w:t>
          </w:r>
        </w:p>
        <w:p w:rsidR="007F7148" w:rsidRPr="008E18F5" w:rsidRDefault="00DF5D00" w:rsidP="00340D8B">
          <w:pPr>
            <w:jc w:val="both"/>
            <w:rPr>
              <w:rFonts w:ascii="Arial" w:eastAsia="Times New Roman" w:hAnsi="Arial" w:cs="Arial"/>
              <w:lang w:bidi="ar-SA"/>
            </w:rPr>
          </w:pPr>
          <w:r>
            <w:rPr>
              <w:rFonts w:ascii="Arial" w:eastAsia="Times New Roman" w:hAnsi="Arial" w:cs="Arial"/>
              <w:lang w:bidi="ar-SA"/>
            </w:rPr>
            <w:t>3</w:t>
          </w:r>
        </w:p>
      </w:tc>
    </w:tr>
    <w:tr w:rsidR="00B82CE6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B82CE6" w:rsidRPr="004F20BC" w:rsidRDefault="00C534D0" w:rsidP="00D8769D">
          <w:pPr>
            <w:rPr>
              <w:rFonts w:ascii="Arial" w:eastAsia="Times New Roman" w:hAnsi="Arial" w:cs="Arial"/>
              <w:b/>
              <w:lang w:bidi="ar-SA"/>
            </w:rPr>
          </w:pPr>
          <w:r w:rsidRPr="002844C7">
            <w:rPr>
              <w:rFonts w:ascii="Arial" w:eastAsia="Times New Roman" w:hAnsi="Arial" w:cs="Arial"/>
              <w:b/>
              <w:sz w:val="28"/>
              <w:szCs w:val="22"/>
              <w:lang w:bidi="ar-SA"/>
            </w:rPr>
            <w:t xml:space="preserve">TITLE:  </w:t>
          </w:r>
          <w:r w:rsidR="00D8769D" w:rsidRPr="002844C7">
            <w:rPr>
              <w:rFonts w:ascii="Arial" w:eastAsia="Times New Roman" w:hAnsi="Arial" w:cs="Arial"/>
              <w:b/>
              <w:sz w:val="28"/>
              <w:szCs w:val="22"/>
              <w:lang w:bidi="ar-SA"/>
            </w:rPr>
            <w:t>Blood Product Testing</w:t>
          </w:r>
          <w:r w:rsidR="00691772" w:rsidRPr="002844C7">
            <w:rPr>
              <w:rFonts w:ascii="Arial" w:eastAsia="Times New Roman" w:hAnsi="Arial" w:cs="Arial"/>
              <w:b/>
              <w:sz w:val="28"/>
              <w:szCs w:val="22"/>
              <w:lang w:bidi="ar-SA"/>
            </w:rPr>
            <w:t xml:space="preserve"> in Sunquest</w:t>
          </w:r>
        </w:p>
      </w:tc>
    </w:tr>
  </w:tbl>
  <w:p w:rsidR="00B82CE6" w:rsidRDefault="00B82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803"/>
    <w:multiLevelType w:val="hybridMultilevel"/>
    <w:tmpl w:val="69F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240C"/>
    <w:multiLevelType w:val="hybridMultilevel"/>
    <w:tmpl w:val="3D18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A4FE1"/>
    <w:multiLevelType w:val="hybridMultilevel"/>
    <w:tmpl w:val="5DF62A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72E08"/>
    <w:multiLevelType w:val="hybridMultilevel"/>
    <w:tmpl w:val="45B0CA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AE3EAE"/>
    <w:multiLevelType w:val="hybridMultilevel"/>
    <w:tmpl w:val="882A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32139"/>
    <w:multiLevelType w:val="hybridMultilevel"/>
    <w:tmpl w:val="2F9A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07A2B"/>
    <w:multiLevelType w:val="hybridMultilevel"/>
    <w:tmpl w:val="23967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86326"/>
    <w:multiLevelType w:val="hybridMultilevel"/>
    <w:tmpl w:val="D6CE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B5BE7"/>
    <w:multiLevelType w:val="hybridMultilevel"/>
    <w:tmpl w:val="DE88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C6550"/>
    <w:multiLevelType w:val="hybridMultilevel"/>
    <w:tmpl w:val="272C1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AF6A46"/>
    <w:multiLevelType w:val="hybridMultilevel"/>
    <w:tmpl w:val="C4765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6A02"/>
    <w:multiLevelType w:val="hybridMultilevel"/>
    <w:tmpl w:val="33408C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3D2A7E"/>
    <w:multiLevelType w:val="hybridMultilevel"/>
    <w:tmpl w:val="AF94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37FF2"/>
    <w:rsid w:val="00042196"/>
    <w:rsid w:val="00054973"/>
    <w:rsid w:val="00054E1D"/>
    <w:rsid w:val="00057968"/>
    <w:rsid w:val="00073BF9"/>
    <w:rsid w:val="00080157"/>
    <w:rsid w:val="00085A0C"/>
    <w:rsid w:val="000D4ACF"/>
    <w:rsid w:val="000D61D0"/>
    <w:rsid w:val="000D7CBB"/>
    <w:rsid w:val="000F6254"/>
    <w:rsid w:val="00103B32"/>
    <w:rsid w:val="0011109C"/>
    <w:rsid w:val="00135A06"/>
    <w:rsid w:val="00155566"/>
    <w:rsid w:val="00155DCF"/>
    <w:rsid w:val="001626D4"/>
    <w:rsid w:val="001810FE"/>
    <w:rsid w:val="001C6AF3"/>
    <w:rsid w:val="001D3478"/>
    <w:rsid w:val="001F0DD8"/>
    <w:rsid w:val="001F5CFA"/>
    <w:rsid w:val="002177F9"/>
    <w:rsid w:val="002327CA"/>
    <w:rsid w:val="00235054"/>
    <w:rsid w:val="002359B1"/>
    <w:rsid w:val="00236974"/>
    <w:rsid w:val="00265E94"/>
    <w:rsid w:val="002755FD"/>
    <w:rsid w:val="002811B3"/>
    <w:rsid w:val="00282F47"/>
    <w:rsid w:val="002844C7"/>
    <w:rsid w:val="00290707"/>
    <w:rsid w:val="002B42F3"/>
    <w:rsid w:val="002E093D"/>
    <w:rsid w:val="002F6978"/>
    <w:rsid w:val="003041A0"/>
    <w:rsid w:val="00305B13"/>
    <w:rsid w:val="003260AA"/>
    <w:rsid w:val="00340D8B"/>
    <w:rsid w:val="0034240C"/>
    <w:rsid w:val="0034406E"/>
    <w:rsid w:val="0035411D"/>
    <w:rsid w:val="00390DDF"/>
    <w:rsid w:val="003B0CA8"/>
    <w:rsid w:val="003C23C5"/>
    <w:rsid w:val="003E7609"/>
    <w:rsid w:val="003F49E9"/>
    <w:rsid w:val="00403EE6"/>
    <w:rsid w:val="00442806"/>
    <w:rsid w:val="0046398A"/>
    <w:rsid w:val="0046729C"/>
    <w:rsid w:val="004772D0"/>
    <w:rsid w:val="00490E5B"/>
    <w:rsid w:val="00492A8B"/>
    <w:rsid w:val="004A6064"/>
    <w:rsid w:val="004B5804"/>
    <w:rsid w:val="004D0823"/>
    <w:rsid w:val="004D4128"/>
    <w:rsid w:val="004E584F"/>
    <w:rsid w:val="004F0539"/>
    <w:rsid w:val="004F20BC"/>
    <w:rsid w:val="00505A15"/>
    <w:rsid w:val="00591718"/>
    <w:rsid w:val="005B2707"/>
    <w:rsid w:val="005F197C"/>
    <w:rsid w:val="005F679D"/>
    <w:rsid w:val="006010BD"/>
    <w:rsid w:val="00603719"/>
    <w:rsid w:val="00603F7B"/>
    <w:rsid w:val="006279CE"/>
    <w:rsid w:val="00643E2E"/>
    <w:rsid w:val="00664B5F"/>
    <w:rsid w:val="00672A6A"/>
    <w:rsid w:val="006730CC"/>
    <w:rsid w:val="0067765A"/>
    <w:rsid w:val="00684A60"/>
    <w:rsid w:val="00691772"/>
    <w:rsid w:val="006930A3"/>
    <w:rsid w:val="006A6588"/>
    <w:rsid w:val="006A7406"/>
    <w:rsid w:val="006B04D1"/>
    <w:rsid w:val="006C0162"/>
    <w:rsid w:val="006D428D"/>
    <w:rsid w:val="006F2EE5"/>
    <w:rsid w:val="00704B77"/>
    <w:rsid w:val="00716F9D"/>
    <w:rsid w:val="007238E6"/>
    <w:rsid w:val="007239D8"/>
    <w:rsid w:val="00734C29"/>
    <w:rsid w:val="007570E4"/>
    <w:rsid w:val="007616E6"/>
    <w:rsid w:val="00780974"/>
    <w:rsid w:val="00784BEC"/>
    <w:rsid w:val="0079072C"/>
    <w:rsid w:val="007D488A"/>
    <w:rsid w:val="007D4DA3"/>
    <w:rsid w:val="007F2377"/>
    <w:rsid w:val="007F7148"/>
    <w:rsid w:val="00807373"/>
    <w:rsid w:val="00844957"/>
    <w:rsid w:val="00846D02"/>
    <w:rsid w:val="00861179"/>
    <w:rsid w:val="008671F4"/>
    <w:rsid w:val="008914E8"/>
    <w:rsid w:val="00897B0D"/>
    <w:rsid w:val="008B0814"/>
    <w:rsid w:val="008D18FA"/>
    <w:rsid w:val="008E18F5"/>
    <w:rsid w:val="008E6DF2"/>
    <w:rsid w:val="008F4A86"/>
    <w:rsid w:val="008F66F4"/>
    <w:rsid w:val="009149D5"/>
    <w:rsid w:val="00956E87"/>
    <w:rsid w:val="00962215"/>
    <w:rsid w:val="0096783A"/>
    <w:rsid w:val="00972D5F"/>
    <w:rsid w:val="00991FA5"/>
    <w:rsid w:val="009B0334"/>
    <w:rsid w:val="009B20EE"/>
    <w:rsid w:val="009C3DED"/>
    <w:rsid w:val="009C444C"/>
    <w:rsid w:val="009C5785"/>
    <w:rsid w:val="00A134F7"/>
    <w:rsid w:val="00A20BC1"/>
    <w:rsid w:val="00A2414D"/>
    <w:rsid w:val="00A3117D"/>
    <w:rsid w:val="00A533EB"/>
    <w:rsid w:val="00A600BE"/>
    <w:rsid w:val="00A86A54"/>
    <w:rsid w:val="00A93A1A"/>
    <w:rsid w:val="00AA7578"/>
    <w:rsid w:val="00AE0740"/>
    <w:rsid w:val="00AE74E5"/>
    <w:rsid w:val="00AF2B7D"/>
    <w:rsid w:val="00AF78B9"/>
    <w:rsid w:val="00B22C3A"/>
    <w:rsid w:val="00B3054F"/>
    <w:rsid w:val="00B44706"/>
    <w:rsid w:val="00B467D6"/>
    <w:rsid w:val="00B47B78"/>
    <w:rsid w:val="00B50027"/>
    <w:rsid w:val="00B72630"/>
    <w:rsid w:val="00B82CE6"/>
    <w:rsid w:val="00B94FE2"/>
    <w:rsid w:val="00B9666C"/>
    <w:rsid w:val="00B972E0"/>
    <w:rsid w:val="00BC2438"/>
    <w:rsid w:val="00BC68FF"/>
    <w:rsid w:val="00BD5888"/>
    <w:rsid w:val="00BF7CCF"/>
    <w:rsid w:val="00C01713"/>
    <w:rsid w:val="00C03005"/>
    <w:rsid w:val="00C11E16"/>
    <w:rsid w:val="00C22893"/>
    <w:rsid w:val="00C42B73"/>
    <w:rsid w:val="00C447BA"/>
    <w:rsid w:val="00C44C25"/>
    <w:rsid w:val="00C534D0"/>
    <w:rsid w:val="00C83674"/>
    <w:rsid w:val="00C92193"/>
    <w:rsid w:val="00C944E1"/>
    <w:rsid w:val="00C95D70"/>
    <w:rsid w:val="00CA0F39"/>
    <w:rsid w:val="00CF26C6"/>
    <w:rsid w:val="00D2569B"/>
    <w:rsid w:val="00D34192"/>
    <w:rsid w:val="00D35071"/>
    <w:rsid w:val="00D360A0"/>
    <w:rsid w:val="00D37F5E"/>
    <w:rsid w:val="00D44497"/>
    <w:rsid w:val="00D47190"/>
    <w:rsid w:val="00D5486D"/>
    <w:rsid w:val="00D63CA6"/>
    <w:rsid w:val="00D84E8B"/>
    <w:rsid w:val="00D8769D"/>
    <w:rsid w:val="00DB5A9E"/>
    <w:rsid w:val="00DC02B5"/>
    <w:rsid w:val="00DF09FE"/>
    <w:rsid w:val="00DF2C18"/>
    <w:rsid w:val="00DF5D00"/>
    <w:rsid w:val="00DF68B0"/>
    <w:rsid w:val="00E2710B"/>
    <w:rsid w:val="00E539F9"/>
    <w:rsid w:val="00E765C9"/>
    <w:rsid w:val="00EA65AD"/>
    <w:rsid w:val="00EE2A0E"/>
    <w:rsid w:val="00EE4C9C"/>
    <w:rsid w:val="00EE73E4"/>
    <w:rsid w:val="00F01873"/>
    <w:rsid w:val="00F33BF9"/>
    <w:rsid w:val="00F34596"/>
    <w:rsid w:val="00F52F94"/>
    <w:rsid w:val="00F53E43"/>
    <w:rsid w:val="00F57092"/>
    <w:rsid w:val="00F61BD0"/>
    <w:rsid w:val="00F738E7"/>
    <w:rsid w:val="00FB3AB8"/>
    <w:rsid w:val="00FD500A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01D6-A9D2-496B-95EF-D0E03DA6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3524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5865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Tuott</cp:lastModifiedBy>
  <cp:revision>7</cp:revision>
  <cp:lastPrinted>2019-09-04T21:04:00Z</cp:lastPrinted>
  <dcterms:created xsi:type="dcterms:W3CDTF">2019-09-04T18:43:00Z</dcterms:created>
  <dcterms:modified xsi:type="dcterms:W3CDTF">2019-09-24T16:41:00Z</dcterms:modified>
</cp:coreProperties>
</file>