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78" w:rsidRPr="00484060" w:rsidRDefault="009C1D50" w:rsidP="00E33A78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E33A78" w:rsidRDefault="00E33A78" w:rsidP="00E33A7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r w:rsidR="005D20F4">
        <w:rPr>
          <w:rFonts w:ascii="Arial" w:hAnsi="Arial" w:cs="Arial"/>
          <w:sz w:val="22"/>
          <w:szCs w:val="22"/>
        </w:rPr>
        <w:t xml:space="preserve">describe </w:t>
      </w:r>
      <w:r w:rsidR="006861F7">
        <w:rPr>
          <w:rFonts w:ascii="Arial" w:hAnsi="Arial" w:cs="Arial"/>
          <w:sz w:val="22"/>
          <w:szCs w:val="22"/>
        </w:rPr>
        <w:t>requirements and</w:t>
      </w:r>
      <w:r>
        <w:rPr>
          <w:rFonts w:ascii="Arial" w:hAnsi="Arial" w:cs="Arial"/>
          <w:sz w:val="22"/>
          <w:szCs w:val="22"/>
        </w:rPr>
        <w:t xml:space="preserve"> </w:t>
      </w:r>
      <w:r w:rsidR="006861F7">
        <w:rPr>
          <w:rFonts w:ascii="Arial" w:hAnsi="Arial" w:cs="Arial"/>
          <w:sz w:val="22"/>
          <w:szCs w:val="22"/>
        </w:rPr>
        <w:t>preparation</w:t>
      </w:r>
      <w:r w:rsidR="004A7E39">
        <w:rPr>
          <w:rFonts w:ascii="Arial" w:hAnsi="Arial" w:cs="Arial"/>
          <w:sz w:val="22"/>
          <w:szCs w:val="22"/>
        </w:rPr>
        <w:t xml:space="preserve"> of samples</w:t>
      </w:r>
      <w:r w:rsidR="006861F7">
        <w:rPr>
          <w:rFonts w:ascii="Arial" w:hAnsi="Arial" w:cs="Arial"/>
          <w:sz w:val="22"/>
          <w:szCs w:val="22"/>
        </w:rPr>
        <w:t xml:space="preserve"> for testing</w:t>
      </w:r>
      <w:r>
        <w:rPr>
          <w:rFonts w:ascii="Arial" w:hAnsi="Arial" w:cs="Arial"/>
          <w:sz w:val="22"/>
          <w:szCs w:val="22"/>
        </w:rPr>
        <w:t xml:space="preserve"> on the Tango.</w:t>
      </w:r>
      <w:proofErr w:type="gramEnd"/>
    </w:p>
    <w:p w:rsidR="00446B76" w:rsidRPr="00484060" w:rsidRDefault="00446B76" w:rsidP="00E33A78">
      <w:pPr>
        <w:rPr>
          <w:rFonts w:ascii="Arial" w:hAnsi="Arial" w:cs="Arial"/>
          <w:sz w:val="22"/>
          <w:szCs w:val="22"/>
        </w:rPr>
      </w:pPr>
    </w:p>
    <w:p w:rsidR="00E33A78" w:rsidRDefault="00E33A78" w:rsidP="00E33A78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Limitations </w:t>
      </w:r>
      <w:r w:rsidR="003825A2">
        <w:rPr>
          <w:rFonts w:ascii="Arial" w:hAnsi="Arial" w:cs="Arial"/>
          <w:b/>
          <w:sz w:val="22"/>
          <w:szCs w:val="22"/>
        </w:rPr>
        <w:t>and</w:t>
      </w:r>
      <w:r w:rsidR="009C1D50">
        <w:rPr>
          <w:rFonts w:ascii="Arial" w:hAnsi="Arial" w:cs="Arial"/>
          <w:b/>
          <w:sz w:val="22"/>
          <w:szCs w:val="22"/>
        </w:rPr>
        <w:t xml:space="preserve"> Precautions</w:t>
      </w:r>
    </w:p>
    <w:p w:rsidR="00E33A78" w:rsidRPr="00DB1EDF" w:rsidRDefault="00E33A78" w:rsidP="00DB1ED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 and reagents are derived from human or animal blood</w:t>
      </w:r>
      <w:r w:rsidR="00446B76">
        <w:rPr>
          <w:rFonts w:ascii="Arial" w:hAnsi="Arial" w:cs="Arial"/>
          <w:sz w:val="22"/>
          <w:szCs w:val="22"/>
        </w:rPr>
        <w:t xml:space="preserve"> </w:t>
      </w:r>
      <w:r w:rsidR="00446B76" w:rsidRPr="00446B76">
        <w:rPr>
          <w:rFonts w:ascii="Arial" w:hAnsi="Arial" w:cs="Arial"/>
          <w:sz w:val="22"/>
          <w:szCs w:val="22"/>
          <w:highlight w:val="yellow"/>
        </w:rPr>
        <w:t>and are</w:t>
      </w:r>
      <w:r>
        <w:rPr>
          <w:rFonts w:ascii="Arial" w:hAnsi="Arial" w:cs="Arial"/>
          <w:sz w:val="22"/>
          <w:szCs w:val="22"/>
        </w:rPr>
        <w:t xml:space="preserve"> potentially bio</w:t>
      </w:r>
      <w:r w:rsidR="005D20F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hazardous and/or infectious. Use appropriate PPE when handling such materials.</w:t>
      </w:r>
    </w:p>
    <w:p w:rsidR="00E33A78" w:rsidRPr="00C55C28" w:rsidRDefault="00E33A78" w:rsidP="00E33A7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5C28">
        <w:rPr>
          <w:rFonts w:ascii="Arial" w:hAnsi="Arial" w:cs="Arial"/>
          <w:sz w:val="22"/>
          <w:szCs w:val="22"/>
        </w:rPr>
        <w:t>S</w:t>
      </w:r>
      <w:r w:rsidR="005D20F4" w:rsidRPr="00C55C28">
        <w:rPr>
          <w:rFonts w:ascii="Arial" w:hAnsi="Arial" w:cs="Arial"/>
          <w:sz w:val="22"/>
          <w:szCs w:val="22"/>
        </w:rPr>
        <w:t>amples</w:t>
      </w:r>
      <w:r w:rsidR="00FF3C27" w:rsidRPr="00C55C28">
        <w:rPr>
          <w:rFonts w:ascii="Arial" w:hAnsi="Arial" w:cs="Arial"/>
          <w:sz w:val="22"/>
          <w:szCs w:val="22"/>
        </w:rPr>
        <w:t xml:space="preserve"> </w:t>
      </w:r>
      <w:r w:rsidRPr="00C55C28">
        <w:rPr>
          <w:rFonts w:ascii="Arial" w:hAnsi="Arial" w:cs="Arial"/>
          <w:sz w:val="22"/>
          <w:szCs w:val="22"/>
        </w:rPr>
        <w:t>must be at room temperature prior to testing.</w:t>
      </w:r>
    </w:p>
    <w:p w:rsidR="005C1FCE" w:rsidRPr="00C55C28" w:rsidRDefault="005C1FCE" w:rsidP="00DB1ED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55C28">
        <w:rPr>
          <w:rFonts w:ascii="Arial" w:hAnsi="Arial" w:cs="Arial"/>
          <w:sz w:val="22"/>
          <w:szCs w:val="22"/>
        </w:rPr>
        <w:t xml:space="preserve">Do not use any samples with clots because undetected clots can lead to incorrect results. </w:t>
      </w:r>
    </w:p>
    <w:p w:rsidR="00E27216" w:rsidRPr="00C55C28" w:rsidRDefault="00E27216" w:rsidP="00DB1ED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55C28">
        <w:rPr>
          <w:rFonts w:ascii="Arial" w:hAnsi="Arial" w:cs="Arial"/>
          <w:sz w:val="22"/>
          <w:szCs w:val="22"/>
        </w:rPr>
        <w:t xml:space="preserve">Grossly </w:t>
      </w:r>
      <w:proofErr w:type="spellStart"/>
      <w:r w:rsidRPr="00C55C28">
        <w:rPr>
          <w:rFonts w:ascii="Arial" w:hAnsi="Arial" w:cs="Arial"/>
          <w:sz w:val="22"/>
          <w:szCs w:val="22"/>
        </w:rPr>
        <w:t>hemolyzed</w:t>
      </w:r>
      <w:proofErr w:type="spellEnd"/>
      <w:r w:rsidRPr="00C55C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55C28">
        <w:rPr>
          <w:rFonts w:ascii="Arial" w:hAnsi="Arial" w:cs="Arial"/>
          <w:sz w:val="22"/>
          <w:szCs w:val="22"/>
        </w:rPr>
        <w:t>lipemic</w:t>
      </w:r>
      <w:proofErr w:type="spellEnd"/>
      <w:r w:rsidRPr="00C55C28">
        <w:rPr>
          <w:rFonts w:ascii="Arial" w:hAnsi="Arial" w:cs="Arial"/>
          <w:sz w:val="22"/>
          <w:szCs w:val="22"/>
        </w:rPr>
        <w:t>, or icteric samples may result in inaccurate typing or in an NTD (no type determined) result</w:t>
      </w:r>
    </w:p>
    <w:p w:rsidR="00E33A78" w:rsidRPr="00446B76" w:rsidRDefault="00E33A78" w:rsidP="00DB1ED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Donor units with container designations Container #1 and/or Container #2 are run manually. </w:t>
      </w:r>
    </w:p>
    <w:p w:rsidR="00446B76" w:rsidRPr="00DB1EDF" w:rsidRDefault="00446B76" w:rsidP="00446B76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:rsidR="00E33A78" w:rsidRDefault="009C1D50" w:rsidP="00A651B5">
      <w:pPr>
        <w:spacing w:line="276" w:lineRule="auto"/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6"/>
        <w:gridCol w:w="7923"/>
        <w:gridCol w:w="1437"/>
      </w:tblGrid>
      <w:tr w:rsidR="008322D0" w:rsidRPr="00580A43" w:rsidTr="00F952FD">
        <w:trPr>
          <w:trHeight w:val="296"/>
        </w:trPr>
        <w:tc>
          <w:tcPr>
            <w:tcW w:w="5000" w:type="pct"/>
            <w:gridSpan w:val="4"/>
            <w:vAlign w:val="center"/>
          </w:tcPr>
          <w:p w:rsidR="008322D0" w:rsidRPr="00580A43" w:rsidRDefault="008322D0" w:rsidP="000A4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Specimen Requirements</w:t>
            </w:r>
          </w:p>
        </w:tc>
      </w:tr>
      <w:tr w:rsidR="00F952FD" w:rsidRPr="00E53B55" w:rsidTr="00F952FD">
        <w:tc>
          <w:tcPr>
            <w:tcW w:w="357" w:type="pct"/>
            <w:gridSpan w:val="2"/>
            <w:vAlign w:val="center"/>
          </w:tcPr>
          <w:p w:rsidR="00F952FD" w:rsidRPr="00E53B55" w:rsidRDefault="00F952FD" w:rsidP="00F95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87E">
              <w:rPr>
                <w:rFonts w:ascii="Arial" w:hAnsi="Arial" w:cs="Arial"/>
                <w:b/>
                <w:sz w:val="22"/>
                <w:szCs w:val="20"/>
              </w:rPr>
              <w:t>Step</w:t>
            </w:r>
          </w:p>
        </w:tc>
        <w:tc>
          <w:tcPr>
            <w:tcW w:w="3930" w:type="pct"/>
            <w:vAlign w:val="center"/>
          </w:tcPr>
          <w:p w:rsidR="00F952FD" w:rsidRPr="00E53B55" w:rsidRDefault="00F952FD" w:rsidP="00F95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7C5">
              <w:rPr>
                <w:rFonts w:ascii="Arial" w:hAnsi="Arial" w:cs="Arial"/>
                <w:b/>
                <w:sz w:val="22"/>
                <w:szCs w:val="20"/>
              </w:rPr>
              <w:t>Action</w:t>
            </w:r>
          </w:p>
        </w:tc>
        <w:tc>
          <w:tcPr>
            <w:tcW w:w="713" w:type="pct"/>
            <w:vAlign w:val="center"/>
          </w:tcPr>
          <w:p w:rsidR="00F952FD" w:rsidRPr="00E53B55" w:rsidRDefault="00F952FD" w:rsidP="00F952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2FD">
              <w:rPr>
                <w:rFonts w:ascii="Arial" w:hAnsi="Arial" w:cs="Arial"/>
                <w:b/>
                <w:sz w:val="22"/>
                <w:szCs w:val="20"/>
              </w:rPr>
              <w:t>Related Documents</w:t>
            </w:r>
          </w:p>
        </w:tc>
      </w:tr>
      <w:tr w:rsidR="00F952FD" w:rsidTr="00F952FD">
        <w:trPr>
          <w:trHeight w:val="467"/>
        </w:trPr>
        <w:tc>
          <w:tcPr>
            <w:tcW w:w="357" w:type="pct"/>
            <w:gridSpan w:val="2"/>
          </w:tcPr>
          <w:p w:rsidR="00F952FD" w:rsidRPr="00737489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0" w:type="pct"/>
            <w:vAlign w:val="center"/>
          </w:tcPr>
          <w:p w:rsidR="00F952FD" w:rsidRDefault="00F952FD" w:rsidP="00E53B55">
            <w:pPr>
              <w:rPr>
                <w:rFonts w:ascii="Arial" w:hAnsi="Arial" w:cs="Arial"/>
                <w:sz w:val="22"/>
                <w:szCs w:val="22"/>
              </w:rPr>
            </w:pPr>
            <w:r w:rsidRPr="00737489">
              <w:rPr>
                <w:rFonts w:ascii="Arial" w:hAnsi="Arial" w:cs="Arial"/>
                <w:sz w:val="22"/>
                <w:szCs w:val="22"/>
              </w:rPr>
              <w:t xml:space="preserve">Samples must be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737489">
              <w:rPr>
                <w:rFonts w:ascii="Arial" w:hAnsi="Arial" w:cs="Arial"/>
                <w:sz w:val="22"/>
                <w:szCs w:val="22"/>
              </w:rPr>
              <w:t xml:space="preserve"> room temperature prior to testing as cold samples may cause dispensing errors or non-specific reactions.</w:t>
            </w:r>
          </w:p>
        </w:tc>
        <w:tc>
          <w:tcPr>
            <w:tcW w:w="713" w:type="pct"/>
            <w:vAlign w:val="center"/>
          </w:tcPr>
          <w:p w:rsidR="00F952FD" w:rsidRDefault="00F952FD" w:rsidP="00E53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A43" w:rsidRPr="00580A43" w:rsidTr="00C439CF">
        <w:trPr>
          <w:trHeight w:val="332"/>
        </w:trPr>
        <w:tc>
          <w:tcPr>
            <w:tcW w:w="5000" w:type="pct"/>
            <w:gridSpan w:val="4"/>
            <w:vAlign w:val="center"/>
          </w:tcPr>
          <w:p w:rsidR="00580A43" w:rsidRPr="00580A43" w:rsidRDefault="00580A43" w:rsidP="00446B76">
            <w:pPr>
              <w:rPr>
                <w:rFonts w:ascii="Arial" w:hAnsi="Arial" w:cs="Arial"/>
                <w:b/>
              </w:rPr>
            </w:pPr>
            <w:r w:rsidRPr="00580A43">
              <w:rPr>
                <w:rFonts w:ascii="Arial" w:hAnsi="Arial" w:cs="Arial"/>
                <w:b/>
                <w:sz w:val="22"/>
                <w:szCs w:val="22"/>
              </w:rPr>
              <w:t>ABO/Rh</w:t>
            </w:r>
            <w:r w:rsidR="005C1F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80A43"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</w:tc>
      </w:tr>
      <w:tr w:rsidR="00F952FD" w:rsidTr="00F952FD">
        <w:trPr>
          <w:trHeight w:val="2285"/>
        </w:trPr>
        <w:tc>
          <w:tcPr>
            <w:tcW w:w="344" w:type="pct"/>
          </w:tcPr>
          <w:p w:rsidR="00F952FD" w:rsidRPr="00737489" w:rsidRDefault="00F952FD" w:rsidP="000A4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43" w:type="pct"/>
            <w:gridSpan w:val="2"/>
            <w:vAlign w:val="center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Patient samples</w:t>
            </w:r>
          </w:p>
          <w:p w:rsidR="00F952FD" w:rsidRPr="001C187E" w:rsidRDefault="00F952FD" w:rsidP="00A15E36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Minimum volume requirements- 1 mL red cells and 1 mL plasma, 1 or 2 donor segments.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Anticoagulated samples are required for processing.</w:t>
            </w:r>
          </w:p>
          <w:p w:rsidR="00F952FD" w:rsidRDefault="00F952FD" w:rsidP="00A15E36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EDTA is the acceptable anticoagulant.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Anticoagulated samples can be tested for up to seven (7) days.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The day of collection is considered day zero (0),</w:t>
            </w:r>
          </w:p>
          <w:p w:rsidR="00F952FD" w:rsidRPr="00F952FD" w:rsidRDefault="00F952FD" w:rsidP="00A15E36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952FD">
              <w:rPr>
                <w:rFonts w:ascii="Arial" w:hAnsi="Arial" w:cs="Arial"/>
                <w:sz w:val="22"/>
                <w:szCs w:val="22"/>
              </w:rPr>
              <w:t>If the samples are not tested within 24 hours of collection, store samples at 2-8°C.</w:t>
            </w:r>
          </w:p>
        </w:tc>
        <w:tc>
          <w:tcPr>
            <w:tcW w:w="713" w:type="pct"/>
            <w:vAlign w:val="center"/>
          </w:tcPr>
          <w:p w:rsidR="00F952FD" w:rsidRPr="00203A7C" w:rsidRDefault="00A22F4A" w:rsidP="00F952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</w:tc>
      </w:tr>
      <w:tr w:rsidR="00F952FD" w:rsidRPr="001C187E" w:rsidTr="00F952FD">
        <w:trPr>
          <w:trHeight w:val="530"/>
        </w:trPr>
        <w:tc>
          <w:tcPr>
            <w:tcW w:w="344" w:type="pct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43" w:type="pct"/>
            <w:gridSpan w:val="2"/>
            <w:vAlign w:val="center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Donor samples</w:t>
            </w:r>
          </w:p>
          <w:p w:rsidR="00F952FD" w:rsidRDefault="00F952FD" w:rsidP="00A15E3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Samples collected in FDA approved citrate based anticoagulant solutions are acceptable for confirmation of ABO blood group and/or Rh type of labeled donor units.</w:t>
            </w:r>
          </w:p>
          <w:p w:rsidR="00446B76" w:rsidRDefault="00F952FD" w:rsidP="00446B7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46B76">
              <w:rPr>
                <w:rFonts w:ascii="Arial" w:hAnsi="Arial" w:cs="Arial"/>
                <w:sz w:val="22"/>
                <w:szCs w:val="22"/>
              </w:rPr>
              <w:t>Anticoagulated blood from segments that have been stored at 1-6°C can be used up until the expiration date of the unit.</w:t>
            </w:r>
          </w:p>
          <w:p w:rsidR="00446B76" w:rsidRPr="00446B76" w:rsidRDefault="00446B76" w:rsidP="00446B7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46B76">
              <w:rPr>
                <w:rFonts w:ascii="Arial" w:hAnsi="Arial" w:cs="Arial"/>
                <w:sz w:val="22"/>
                <w:szCs w:val="22"/>
                <w:highlight w:val="yellow"/>
              </w:rPr>
              <w:t>Only Rh Negative units need to be retyped for D</w:t>
            </w:r>
            <w:r w:rsidR="00C439C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using the Rh Confirm strips</w:t>
            </w:r>
          </w:p>
        </w:tc>
        <w:tc>
          <w:tcPr>
            <w:tcW w:w="713" w:type="pct"/>
            <w:vAlign w:val="center"/>
          </w:tcPr>
          <w:p w:rsidR="00F952FD" w:rsidRPr="001C187E" w:rsidRDefault="00F952FD" w:rsidP="00F952F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A43" w:rsidRPr="001C187E" w:rsidTr="00C439CF">
        <w:trPr>
          <w:trHeight w:val="323"/>
        </w:trPr>
        <w:tc>
          <w:tcPr>
            <w:tcW w:w="5000" w:type="pct"/>
            <w:gridSpan w:val="4"/>
          </w:tcPr>
          <w:p w:rsidR="00580A43" w:rsidRPr="001C187E" w:rsidRDefault="005C1FCE" w:rsidP="000A4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Indirect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Antiglobulin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st </w:t>
            </w:r>
          </w:p>
        </w:tc>
      </w:tr>
      <w:tr w:rsidR="00F952FD" w:rsidRPr="001C187E" w:rsidTr="00F952FD">
        <w:trPr>
          <w:trHeight w:val="260"/>
        </w:trPr>
        <w:tc>
          <w:tcPr>
            <w:tcW w:w="344" w:type="pct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43" w:type="pct"/>
            <w:gridSpan w:val="2"/>
            <w:vAlign w:val="center"/>
          </w:tcPr>
          <w:p w:rsidR="00F952FD" w:rsidRPr="001C187E" w:rsidRDefault="00F952FD" w:rsidP="000A44C8">
            <w:pPr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Patient and Donor samples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Plasma or serum can be used.</w:t>
            </w:r>
          </w:p>
          <w:p w:rsidR="00F952FD" w:rsidRDefault="00F952FD" w:rsidP="00A15E3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lastRenderedPageBreak/>
              <w:t>Samples may be tested for up to seven (7) days following collection.</w:t>
            </w:r>
          </w:p>
          <w:p w:rsidR="00F952FD" w:rsidRPr="00F952FD" w:rsidRDefault="00F952FD" w:rsidP="00A15E36">
            <w:pPr>
              <w:pStyle w:val="ListParagraph"/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F952FD">
              <w:rPr>
                <w:rFonts w:ascii="Arial" w:hAnsi="Arial" w:cs="Arial"/>
                <w:sz w:val="22"/>
                <w:szCs w:val="22"/>
              </w:rPr>
              <w:t>The day of collection is considered day zero (0).</w:t>
            </w:r>
          </w:p>
          <w:p w:rsidR="00F952FD" w:rsidRPr="001C187E" w:rsidRDefault="00F952FD" w:rsidP="00A15E36">
            <w:pPr>
              <w:pStyle w:val="ListParagraph"/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187E">
              <w:rPr>
                <w:rFonts w:ascii="Arial" w:hAnsi="Arial" w:cs="Arial"/>
                <w:sz w:val="22"/>
                <w:szCs w:val="22"/>
              </w:rPr>
              <w:t>If the samples are not tested within 24 hours of collection, they should be stored at 2-8°C.</w:t>
            </w:r>
          </w:p>
        </w:tc>
        <w:tc>
          <w:tcPr>
            <w:tcW w:w="713" w:type="pct"/>
            <w:vAlign w:val="center"/>
          </w:tcPr>
          <w:p w:rsidR="00F952FD" w:rsidRPr="001C187E" w:rsidRDefault="00A22F4A" w:rsidP="00A22F4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Sample acceptance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evaluation</w:t>
            </w:r>
          </w:p>
        </w:tc>
      </w:tr>
      <w:tr w:rsidR="00F952FD" w:rsidRPr="001C187E" w:rsidTr="00F952FD">
        <w:trPr>
          <w:trHeight w:val="260"/>
        </w:trPr>
        <w:tc>
          <w:tcPr>
            <w:tcW w:w="344" w:type="pct"/>
            <w:vAlign w:val="center"/>
          </w:tcPr>
          <w:p w:rsidR="00F952FD" w:rsidRPr="00E53B55" w:rsidRDefault="00F952FD" w:rsidP="00E96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87E">
              <w:rPr>
                <w:rFonts w:ascii="Arial" w:hAnsi="Arial" w:cs="Arial"/>
                <w:b/>
                <w:sz w:val="22"/>
                <w:szCs w:val="20"/>
              </w:rPr>
              <w:lastRenderedPageBreak/>
              <w:t>Step</w:t>
            </w:r>
          </w:p>
        </w:tc>
        <w:tc>
          <w:tcPr>
            <w:tcW w:w="3943" w:type="pct"/>
            <w:gridSpan w:val="2"/>
            <w:vAlign w:val="center"/>
          </w:tcPr>
          <w:p w:rsidR="00F952FD" w:rsidRPr="00E53B55" w:rsidRDefault="00F952FD" w:rsidP="00E96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7C5">
              <w:rPr>
                <w:rFonts w:ascii="Arial" w:hAnsi="Arial" w:cs="Arial"/>
                <w:b/>
                <w:sz w:val="22"/>
                <w:szCs w:val="20"/>
              </w:rPr>
              <w:t>Action</w:t>
            </w:r>
          </w:p>
        </w:tc>
        <w:tc>
          <w:tcPr>
            <w:tcW w:w="713" w:type="pct"/>
            <w:vAlign w:val="center"/>
          </w:tcPr>
          <w:p w:rsidR="00F952FD" w:rsidRPr="00E53B55" w:rsidRDefault="00F952FD" w:rsidP="00E96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2FD">
              <w:rPr>
                <w:rFonts w:ascii="Arial" w:hAnsi="Arial" w:cs="Arial"/>
                <w:b/>
                <w:sz w:val="22"/>
                <w:szCs w:val="20"/>
              </w:rPr>
              <w:t>Related Documents</w:t>
            </w:r>
          </w:p>
        </w:tc>
      </w:tr>
      <w:tr w:rsidR="00F952FD" w:rsidRPr="001C187E" w:rsidTr="00F952FD">
        <w:trPr>
          <w:trHeight w:val="350"/>
        </w:trPr>
        <w:tc>
          <w:tcPr>
            <w:tcW w:w="5000" w:type="pct"/>
            <w:gridSpan w:val="4"/>
            <w:vAlign w:val="center"/>
          </w:tcPr>
          <w:p w:rsidR="00F952FD" w:rsidRPr="001C187E" w:rsidRDefault="00F952FD" w:rsidP="00580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87E">
              <w:rPr>
                <w:rFonts w:ascii="Arial" w:hAnsi="Arial" w:cs="Arial"/>
                <w:b/>
                <w:sz w:val="22"/>
                <w:szCs w:val="22"/>
              </w:rPr>
              <w:t>Preparing Donor Segments for Testing</w:t>
            </w:r>
          </w:p>
        </w:tc>
      </w:tr>
      <w:tr w:rsidR="00F952FD" w:rsidRPr="00DB7DDA" w:rsidTr="00446B76">
        <w:trPr>
          <w:trHeight w:val="512"/>
        </w:trPr>
        <w:tc>
          <w:tcPr>
            <w:tcW w:w="357" w:type="pct"/>
            <w:gridSpan w:val="2"/>
          </w:tcPr>
          <w:p w:rsidR="00F952FD" w:rsidRPr="00DB7DDA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0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DB7DDA">
              <w:rPr>
                <w:rFonts w:ascii="Arial" w:hAnsi="Arial" w:cs="Arial"/>
                <w:sz w:val="22"/>
                <w:szCs w:val="22"/>
              </w:rPr>
              <w:t>Obtain donor segment by pulling on the last segment attached to the unit until it snaps off or use a pair of scissors to cut off the sealed end.</w:t>
            </w:r>
          </w:p>
        </w:tc>
        <w:tc>
          <w:tcPr>
            <w:tcW w:w="713" w:type="pct"/>
          </w:tcPr>
          <w:p w:rsidR="00F952FD" w:rsidRPr="00DB7DDA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C55C28" w:rsidTr="00A15E36">
        <w:trPr>
          <w:trHeight w:val="1440"/>
        </w:trPr>
        <w:tc>
          <w:tcPr>
            <w:tcW w:w="357" w:type="pct"/>
            <w:gridSpan w:val="2"/>
          </w:tcPr>
          <w:p w:rsidR="00F952FD" w:rsidRPr="00C55C28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0" w:type="pct"/>
          </w:tcPr>
          <w:p w:rsidR="00F952FD" w:rsidRPr="00C55C28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 xml:space="preserve">Obtain a donor unit barcode provided on the back of the donor unit and apply it to the side of the test tube no lower than </w:t>
            </w:r>
            <w:r w:rsidR="00114CA2" w:rsidRPr="00C55C28">
              <w:rPr>
                <w:rFonts w:ascii="Arial" w:hAnsi="Arial" w:cs="Arial"/>
                <w:sz w:val="22"/>
                <w:szCs w:val="22"/>
              </w:rPr>
              <w:t>30</w:t>
            </w:r>
            <w:r w:rsidRPr="00C55C28">
              <w:rPr>
                <w:rFonts w:ascii="Arial" w:hAnsi="Arial" w:cs="Arial"/>
                <w:sz w:val="22"/>
                <w:szCs w:val="22"/>
              </w:rPr>
              <w:t xml:space="preserve"> mm from the bottom of the tube</w:t>
            </w:r>
            <w:r w:rsidR="00114CA2" w:rsidRPr="00C55C28">
              <w:rPr>
                <w:rFonts w:ascii="Arial" w:hAnsi="Arial" w:cs="Arial"/>
                <w:sz w:val="22"/>
                <w:szCs w:val="22"/>
              </w:rPr>
              <w:t xml:space="preserve"> for racks without spacers and no lower than 0 mm from the bottom of the tube for racks with spacers</w:t>
            </w:r>
            <w:r w:rsidRPr="00C55C28">
              <w:rPr>
                <w:rFonts w:ascii="Arial" w:hAnsi="Arial" w:cs="Arial"/>
                <w:sz w:val="22"/>
                <w:szCs w:val="22"/>
              </w:rPr>
              <w:t>. The barcode should be placed on the tube so that the lines are horizontal. Overall there should be no more than 5</w:t>
            </w:r>
            <w:r w:rsidRPr="00C55C2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C55C28">
              <w:rPr>
                <w:rFonts w:ascii="Arial" w:hAnsi="Arial" w:cs="Arial"/>
                <w:sz w:val="22"/>
                <w:szCs w:val="22"/>
              </w:rPr>
              <w:t xml:space="preserve"> slant to the barcode label.</w:t>
            </w:r>
          </w:p>
          <w:p w:rsidR="00F952FD" w:rsidRPr="00C55C28" w:rsidRDefault="00F952FD" w:rsidP="00F952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If the donor unit barcodes are not available, hand write the donor number on the test tube.</w:t>
            </w:r>
          </w:p>
        </w:tc>
        <w:tc>
          <w:tcPr>
            <w:tcW w:w="713" w:type="pct"/>
          </w:tcPr>
          <w:p w:rsidR="00F952FD" w:rsidRPr="00C55C28" w:rsidRDefault="00F952FD" w:rsidP="00F952F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C55C28" w:rsidTr="00A15E36">
        <w:trPr>
          <w:trHeight w:val="584"/>
        </w:trPr>
        <w:tc>
          <w:tcPr>
            <w:tcW w:w="357" w:type="pct"/>
            <w:gridSpan w:val="2"/>
          </w:tcPr>
          <w:p w:rsidR="00F952FD" w:rsidRPr="00C55C28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0" w:type="pct"/>
          </w:tcPr>
          <w:p w:rsidR="00F952FD" w:rsidRPr="00C55C28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Utilize a donor segment piercing device by placing it on the open end of a test tube and placing the segment into the device until the needle inside pierces the segment.</w:t>
            </w:r>
          </w:p>
        </w:tc>
        <w:tc>
          <w:tcPr>
            <w:tcW w:w="713" w:type="pct"/>
          </w:tcPr>
          <w:p w:rsidR="00F952FD" w:rsidRPr="00C55C28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C55C28" w:rsidTr="00A15E36">
        <w:trPr>
          <w:trHeight w:val="485"/>
        </w:trPr>
        <w:tc>
          <w:tcPr>
            <w:tcW w:w="357" w:type="pct"/>
            <w:gridSpan w:val="2"/>
          </w:tcPr>
          <w:p w:rsidR="00F952FD" w:rsidRPr="00C55C28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30" w:type="pct"/>
          </w:tcPr>
          <w:p w:rsidR="00F952FD" w:rsidRPr="00C55C28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Once the segment is pierced, apply pressure to the donor unit segment until contents are placed into the test tube.</w:t>
            </w:r>
          </w:p>
        </w:tc>
        <w:tc>
          <w:tcPr>
            <w:tcW w:w="713" w:type="pct"/>
          </w:tcPr>
          <w:p w:rsidR="00F952FD" w:rsidRPr="00C55C28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C55C28" w:rsidTr="00A15E36">
        <w:trPr>
          <w:trHeight w:val="1152"/>
        </w:trPr>
        <w:tc>
          <w:tcPr>
            <w:tcW w:w="357" w:type="pct"/>
            <w:gridSpan w:val="2"/>
          </w:tcPr>
          <w:p w:rsidR="00F952FD" w:rsidRPr="00C55C28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30" w:type="pct"/>
          </w:tcPr>
          <w:p w:rsidR="00F952FD" w:rsidRPr="00C55C28" w:rsidRDefault="00F952FD" w:rsidP="00F81EA7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 xml:space="preserve">Repeat above steps for remaining donor segments and place them into </w:t>
            </w:r>
            <w:r w:rsidR="00AD06B0" w:rsidRPr="00AD06B0">
              <w:rPr>
                <w:rFonts w:ascii="Arial" w:hAnsi="Arial" w:cs="Arial"/>
                <w:sz w:val="22"/>
                <w:szCs w:val="22"/>
                <w:highlight w:val="yellow"/>
              </w:rPr>
              <w:t>appropriate</w:t>
            </w:r>
            <w:r w:rsidRPr="00C55C28">
              <w:rPr>
                <w:rFonts w:ascii="Arial" w:hAnsi="Arial" w:cs="Arial"/>
                <w:sz w:val="22"/>
                <w:szCs w:val="22"/>
              </w:rPr>
              <w:t xml:space="preserve"> rack that is designated for donor retype testing on the Tango</w:t>
            </w:r>
            <w:r w:rsidR="00AD06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6B0" w:rsidRPr="00AD06B0">
              <w:rPr>
                <w:rFonts w:ascii="Arial" w:hAnsi="Arial" w:cs="Arial"/>
                <w:sz w:val="22"/>
                <w:szCs w:val="22"/>
                <w:highlight w:val="yellow"/>
              </w:rPr>
              <w:t>and load onto the instrument</w:t>
            </w:r>
            <w:r w:rsidRPr="00C55C2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952FD" w:rsidRPr="00C55C28" w:rsidRDefault="00F952FD" w:rsidP="00AD06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 xml:space="preserve">Ensure that the test tubes are seated </w:t>
            </w:r>
            <w:r w:rsidR="00AD06B0">
              <w:rPr>
                <w:rFonts w:ascii="Arial" w:hAnsi="Arial" w:cs="Arial"/>
                <w:sz w:val="22"/>
                <w:szCs w:val="22"/>
              </w:rPr>
              <w:t>completely to the bottom of the</w:t>
            </w:r>
            <w:r w:rsidR="009D410D">
              <w:rPr>
                <w:rFonts w:ascii="Arial" w:hAnsi="Arial" w:cs="Arial"/>
                <w:sz w:val="22"/>
                <w:szCs w:val="22"/>
              </w:rPr>
              <w:t xml:space="preserve"> rack</w:t>
            </w:r>
            <w:r w:rsidRPr="00C55C28">
              <w:rPr>
                <w:rFonts w:ascii="Arial" w:hAnsi="Arial" w:cs="Arial"/>
                <w:sz w:val="22"/>
                <w:szCs w:val="22"/>
              </w:rPr>
              <w:t xml:space="preserve"> to avoid a possible probe crash.</w:t>
            </w:r>
          </w:p>
        </w:tc>
        <w:tc>
          <w:tcPr>
            <w:tcW w:w="713" w:type="pct"/>
          </w:tcPr>
          <w:p w:rsidR="00F952FD" w:rsidRPr="00C55C28" w:rsidRDefault="00AD06B0" w:rsidP="00AD06B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TANGO Infinity: Initializing Test runs</w:t>
            </w:r>
          </w:p>
        </w:tc>
      </w:tr>
      <w:tr w:rsidR="00F952FD" w:rsidRPr="00C55C28" w:rsidTr="00F952FD">
        <w:trPr>
          <w:trHeight w:val="432"/>
        </w:trPr>
        <w:tc>
          <w:tcPr>
            <w:tcW w:w="5000" w:type="pct"/>
            <w:gridSpan w:val="4"/>
            <w:vAlign w:val="center"/>
          </w:tcPr>
          <w:p w:rsidR="00F952FD" w:rsidRPr="00C55C28" w:rsidRDefault="00F952FD" w:rsidP="00580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C28">
              <w:rPr>
                <w:rFonts w:ascii="Arial" w:hAnsi="Arial" w:cs="Arial"/>
                <w:b/>
                <w:sz w:val="22"/>
                <w:szCs w:val="22"/>
              </w:rPr>
              <w:t>Preparing Patient Samples for Testing</w:t>
            </w:r>
          </w:p>
        </w:tc>
      </w:tr>
      <w:tr w:rsidR="00F952FD" w:rsidRPr="00C55C28" w:rsidTr="00A15E36">
        <w:trPr>
          <w:trHeight w:val="432"/>
        </w:trPr>
        <w:tc>
          <w:tcPr>
            <w:tcW w:w="357" w:type="pct"/>
            <w:gridSpan w:val="2"/>
          </w:tcPr>
          <w:p w:rsidR="00F952FD" w:rsidRPr="00C55C28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30" w:type="pct"/>
            <w:vAlign w:val="center"/>
          </w:tcPr>
          <w:p w:rsidR="00F952FD" w:rsidRPr="00C55C28" w:rsidRDefault="00F952FD" w:rsidP="0073000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Remove sample cap and check f</w:t>
            </w:r>
            <w:r w:rsidR="00446B76">
              <w:rPr>
                <w:rFonts w:ascii="Arial" w:hAnsi="Arial" w:cs="Arial"/>
                <w:sz w:val="22"/>
                <w:szCs w:val="22"/>
              </w:rPr>
              <w:t>or clots using 2 wooden sticks.</w:t>
            </w:r>
            <w:r w:rsidRPr="00C55C28">
              <w:rPr>
                <w:rFonts w:ascii="Arial" w:hAnsi="Arial" w:cs="Arial"/>
                <w:sz w:val="22"/>
                <w:szCs w:val="22"/>
              </w:rPr>
              <w:t xml:space="preserve"> Recap specimen.</w:t>
            </w:r>
          </w:p>
          <w:p w:rsidR="00F952FD" w:rsidRPr="00C55C28" w:rsidRDefault="00F952FD" w:rsidP="00A15E3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If no clots are found, proceed to centrifuge specimen.</w:t>
            </w:r>
          </w:p>
          <w:p w:rsidR="00F952FD" w:rsidRPr="00C55C28" w:rsidRDefault="00F952FD" w:rsidP="00A15E3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If clots are detected, test manually.</w:t>
            </w:r>
          </w:p>
        </w:tc>
        <w:tc>
          <w:tcPr>
            <w:tcW w:w="713" w:type="pct"/>
            <w:vAlign w:val="center"/>
          </w:tcPr>
          <w:p w:rsidR="00F952FD" w:rsidRPr="00C55C28" w:rsidRDefault="00F952FD" w:rsidP="00F952F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C55C28" w:rsidTr="00A15E36">
        <w:trPr>
          <w:trHeight w:val="432"/>
        </w:trPr>
        <w:tc>
          <w:tcPr>
            <w:tcW w:w="357" w:type="pct"/>
            <w:gridSpan w:val="2"/>
          </w:tcPr>
          <w:p w:rsidR="00F952FD" w:rsidRPr="00C55C28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30" w:type="pct"/>
            <w:vAlign w:val="center"/>
          </w:tcPr>
          <w:p w:rsidR="00F952FD" w:rsidRPr="00C55C28" w:rsidRDefault="00F952FD" w:rsidP="00972D95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Centrifuge sample for 5 minutes at 800-1000 x g.</w:t>
            </w:r>
          </w:p>
          <w:p w:rsidR="00F952FD" w:rsidRPr="00C55C28" w:rsidRDefault="00F952FD" w:rsidP="00F952F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 xml:space="preserve">There must be a distinct separation between the cellular and plasma </w:t>
            </w:r>
            <w:r w:rsidR="005C1FCE" w:rsidRPr="00C55C28">
              <w:rPr>
                <w:rFonts w:ascii="Arial" w:hAnsi="Arial" w:cs="Arial"/>
                <w:sz w:val="22"/>
                <w:szCs w:val="22"/>
              </w:rPr>
              <w:t xml:space="preserve">layers with sufficient supernatant above the red cell layer </w:t>
            </w:r>
          </w:p>
        </w:tc>
        <w:tc>
          <w:tcPr>
            <w:tcW w:w="713" w:type="pct"/>
            <w:vAlign w:val="center"/>
          </w:tcPr>
          <w:p w:rsidR="00F952FD" w:rsidRPr="00C55C28" w:rsidRDefault="00F952FD" w:rsidP="00F952F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C55C28" w:rsidTr="00A15E36">
        <w:trPr>
          <w:trHeight w:val="432"/>
        </w:trPr>
        <w:tc>
          <w:tcPr>
            <w:tcW w:w="357" w:type="pct"/>
            <w:gridSpan w:val="2"/>
          </w:tcPr>
          <w:p w:rsidR="00F952FD" w:rsidRPr="00C55C28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30" w:type="pct"/>
            <w:vAlign w:val="center"/>
          </w:tcPr>
          <w:p w:rsidR="00F952FD" w:rsidRPr="00C55C28" w:rsidRDefault="00F952FD" w:rsidP="00972D95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Remove sample cap.</w:t>
            </w:r>
          </w:p>
        </w:tc>
        <w:tc>
          <w:tcPr>
            <w:tcW w:w="713" w:type="pct"/>
            <w:vAlign w:val="center"/>
          </w:tcPr>
          <w:p w:rsidR="00F952FD" w:rsidRPr="00C55C28" w:rsidRDefault="00F952FD" w:rsidP="00972D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2FD" w:rsidRPr="00C55C28" w:rsidTr="00A15E36">
        <w:trPr>
          <w:trHeight w:val="432"/>
        </w:trPr>
        <w:tc>
          <w:tcPr>
            <w:tcW w:w="357" w:type="pct"/>
            <w:gridSpan w:val="2"/>
          </w:tcPr>
          <w:p w:rsidR="00F952FD" w:rsidRPr="00C55C28" w:rsidRDefault="00F952FD" w:rsidP="00A15E36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30" w:type="pct"/>
            <w:vAlign w:val="center"/>
          </w:tcPr>
          <w:p w:rsidR="00F952FD" w:rsidRPr="00C55C28" w:rsidRDefault="00F952FD" w:rsidP="00F952FD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>Load into appropriate rack and onto the instrument.</w:t>
            </w:r>
          </w:p>
        </w:tc>
        <w:tc>
          <w:tcPr>
            <w:tcW w:w="713" w:type="pct"/>
            <w:vAlign w:val="center"/>
          </w:tcPr>
          <w:p w:rsidR="00F952FD" w:rsidRPr="00C55C28" w:rsidRDefault="00F952FD" w:rsidP="00463628">
            <w:pPr>
              <w:rPr>
                <w:rFonts w:ascii="Arial" w:hAnsi="Arial" w:cs="Arial"/>
                <w:sz w:val="22"/>
                <w:szCs w:val="22"/>
              </w:rPr>
            </w:pPr>
            <w:r w:rsidRPr="00C55C28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A15E36" w:rsidRPr="00C55C28">
              <w:rPr>
                <w:rFonts w:ascii="Arial" w:hAnsi="Arial" w:cs="Arial"/>
                <w:sz w:val="22"/>
                <w:szCs w:val="22"/>
              </w:rPr>
              <w:t xml:space="preserve">Infinity: </w:t>
            </w:r>
            <w:r w:rsidRPr="00C55C28">
              <w:rPr>
                <w:rFonts w:ascii="Arial" w:hAnsi="Arial" w:cs="Arial"/>
                <w:sz w:val="22"/>
                <w:szCs w:val="22"/>
              </w:rPr>
              <w:t>Initializing Test runs</w:t>
            </w:r>
          </w:p>
        </w:tc>
      </w:tr>
    </w:tbl>
    <w:p w:rsidR="001405C4" w:rsidRPr="00C55C28" w:rsidRDefault="00871564"/>
    <w:p w:rsidR="009C1D50" w:rsidRPr="00C55C28" w:rsidRDefault="009C1D50" w:rsidP="009C1D50">
      <w:pPr>
        <w:ind w:hanging="360"/>
        <w:rPr>
          <w:rFonts w:ascii="Arial" w:hAnsi="Arial" w:cs="Arial"/>
          <w:b/>
          <w:sz w:val="22"/>
          <w:szCs w:val="22"/>
        </w:rPr>
      </w:pPr>
      <w:r w:rsidRPr="00C55C28">
        <w:rPr>
          <w:rFonts w:ascii="Arial" w:hAnsi="Arial" w:cs="Arial"/>
          <w:b/>
          <w:sz w:val="22"/>
          <w:szCs w:val="22"/>
        </w:rPr>
        <w:t>Referenced Documents</w:t>
      </w:r>
    </w:p>
    <w:p w:rsidR="009C1D50" w:rsidRPr="00C55C28" w:rsidRDefault="009C1D50" w:rsidP="009C1D50">
      <w:pPr>
        <w:ind w:hanging="360"/>
        <w:rPr>
          <w:rFonts w:ascii="Arial" w:hAnsi="Arial" w:cs="Arial"/>
          <w:b/>
          <w:sz w:val="22"/>
          <w:szCs w:val="22"/>
        </w:rPr>
      </w:pPr>
    </w:p>
    <w:p w:rsidR="00E53B55" w:rsidRPr="009C1D50" w:rsidRDefault="001C187E" w:rsidP="009C1D50">
      <w:pPr>
        <w:ind w:hanging="360"/>
        <w:rPr>
          <w:rFonts w:ascii="Arial" w:hAnsi="Arial" w:cs="Arial"/>
          <w:b/>
          <w:sz w:val="22"/>
          <w:szCs w:val="22"/>
        </w:rPr>
      </w:pPr>
      <w:r w:rsidRPr="00C55C28">
        <w:rPr>
          <w:rFonts w:ascii="Arial" w:hAnsi="Arial" w:cs="Arial"/>
          <w:sz w:val="22"/>
          <w:szCs w:val="22"/>
        </w:rPr>
        <w:t xml:space="preserve">TANGO </w:t>
      </w:r>
      <w:r w:rsidR="00EC457A" w:rsidRPr="00C55C28">
        <w:rPr>
          <w:rFonts w:ascii="Arial" w:hAnsi="Arial" w:cs="Arial"/>
          <w:sz w:val="22"/>
          <w:szCs w:val="22"/>
        </w:rPr>
        <w:t>Infinity® System User Manual</w:t>
      </w:r>
      <w:r w:rsidR="00745C06">
        <w:rPr>
          <w:rFonts w:ascii="Arial" w:hAnsi="Arial" w:cs="Arial"/>
          <w:sz w:val="22"/>
          <w:szCs w:val="22"/>
        </w:rPr>
        <w:t>, Version 1.</w:t>
      </w:r>
      <w:r w:rsidR="00745C06" w:rsidRPr="00745C06">
        <w:rPr>
          <w:rFonts w:ascii="Arial" w:hAnsi="Arial" w:cs="Arial"/>
          <w:sz w:val="22"/>
          <w:szCs w:val="22"/>
          <w:highlight w:val="yellow"/>
        </w:rPr>
        <w:t>6.3</w:t>
      </w:r>
    </w:p>
    <w:p w:rsidR="00E53B55" w:rsidRDefault="00E53B55"/>
    <w:sectPr w:rsidR="00E53B55" w:rsidSect="006861F7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F7" w:rsidRDefault="006861F7" w:rsidP="006861F7">
      <w:r>
        <w:separator/>
      </w:r>
    </w:p>
  </w:endnote>
  <w:endnote w:type="continuationSeparator" w:id="0">
    <w:p w:rsidR="006861F7" w:rsidRDefault="006861F7" w:rsidP="0068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7C" w:rsidRPr="00CE538F" w:rsidRDefault="00203A7C" w:rsidP="00203A7C">
    <w:pPr>
      <w:pStyle w:val="Footer"/>
      <w:ind w:hanging="360"/>
      <w:rPr>
        <w:rFonts w:ascii="Arial" w:hAnsi="Arial" w:cs="Arial"/>
        <w:sz w:val="22"/>
        <w:szCs w:val="20"/>
      </w:rPr>
    </w:pPr>
    <w:r w:rsidRPr="00CE538F">
      <w:rPr>
        <w:rFonts w:ascii="Arial" w:hAnsi="Arial" w:cs="Arial"/>
        <w:sz w:val="22"/>
        <w:szCs w:val="20"/>
      </w:rPr>
      <w:t xml:space="preserve">Transfusion Services Laboratory </w:t>
    </w:r>
    <w:r w:rsidRPr="00CE538F">
      <w:rPr>
        <w:rFonts w:ascii="Arial" w:hAnsi="Arial" w:cs="Arial"/>
        <w:sz w:val="22"/>
        <w:szCs w:val="20"/>
      </w:rPr>
      <w:tab/>
    </w:r>
    <w:r w:rsidRPr="00CE538F">
      <w:rPr>
        <w:rFonts w:ascii="Arial" w:hAnsi="Arial" w:cs="Arial"/>
        <w:sz w:val="22"/>
        <w:szCs w:val="20"/>
      </w:rPr>
      <w:tab/>
      <w:t xml:space="preserve"> Page </w:t>
    </w:r>
    <w:r w:rsidRPr="00CE538F">
      <w:rPr>
        <w:rFonts w:ascii="Arial" w:hAnsi="Arial" w:cs="Arial"/>
        <w:sz w:val="22"/>
        <w:szCs w:val="20"/>
      </w:rPr>
      <w:fldChar w:fldCharType="begin"/>
    </w:r>
    <w:r w:rsidRPr="00CE538F">
      <w:rPr>
        <w:rFonts w:ascii="Arial" w:hAnsi="Arial" w:cs="Arial"/>
        <w:sz w:val="22"/>
        <w:szCs w:val="20"/>
      </w:rPr>
      <w:instrText xml:space="preserve"> PAGE </w:instrText>
    </w:r>
    <w:r w:rsidRPr="00CE538F">
      <w:rPr>
        <w:rFonts w:ascii="Arial" w:hAnsi="Arial" w:cs="Arial"/>
        <w:sz w:val="22"/>
        <w:szCs w:val="20"/>
      </w:rPr>
      <w:fldChar w:fldCharType="separate"/>
    </w:r>
    <w:r w:rsidR="00871564">
      <w:rPr>
        <w:rFonts w:ascii="Arial" w:hAnsi="Arial" w:cs="Arial"/>
        <w:noProof/>
        <w:sz w:val="22"/>
        <w:szCs w:val="20"/>
      </w:rPr>
      <w:t>2</w:t>
    </w:r>
    <w:r w:rsidRPr="00CE538F">
      <w:rPr>
        <w:rFonts w:ascii="Arial" w:hAnsi="Arial" w:cs="Arial"/>
        <w:sz w:val="22"/>
        <w:szCs w:val="20"/>
      </w:rPr>
      <w:fldChar w:fldCharType="end"/>
    </w:r>
    <w:r w:rsidRPr="00CE538F">
      <w:rPr>
        <w:rFonts w:ascii="Arial" w:hAnsi="Arial" w:cs="Arial"/>
        <w:sz w:val="22"/>
        <w:szCs w:val="20"/>
      </w:rPr>
      <w:t xml:space="preserve"> of </w:t>
    </w:r>
    <w:r w:rsidRPr="00CE538F">
      <w:rPr>
        <w:rFonts w:ascii="Arial" w:hAnsi="Arial" w:cs="Arial"/>
        <w:sz w:val="22"/>
        <w:szCs w:val="20"/>
      </w:rPr>
      <w:fldChar w:fldCharType="begin"/>
    </w:r>
    <w:r w:rsidRPr="00CE538F">
      <w:rPr>
        <w:rFonts w:ascii="Arial" w:hAnsi="Arial" w:cs="Arial"/>
        <w:sz w:val="22"/>
        <w:szCs w:val="20"/>
      </w:rPr>
      <w:instrText xml:space="preserve"> NUMPAGES </w:instrText>
    </w:r>
    <w:r w:rsidRPr="00CE538F">
      <w:rPr>
        <w:rFonts w:ascii="Arial" w:hAnsi="Arial" w:cs="Arial"/>
        <w:sz w:val="22"/>
        <w:szCs w:val="20"/>
      </w:rPr>
      <w:fldChar w:fldCharType="separate"/>
    </w:r>
    <w:r w:rsidR="00871564">
      <w:rPr>
        <w:rFonts w:ascii="Arial" w:hAnsi="Arial" w:cs="Arial"/>
        <w:noProof/>
        <w:sz w:val="22"/>
        <w:szCs w:val="20"/>
      </w:rPr>
      <w:t>2</w:t>
    </w:r>
    <w:r w:rsidRPr="00CE538F">
      <w:rPr>
        <w:rFonts w:ascii="Arial" w:hAnsi="Arial" w:cs="Arial"/>
        <w:sz w:val="22"/>
        <w:szCs w:val="20"/>
      </w:rPr>
      <w:fldChar w:fldCharType="end"/>
    </w:r>
  </w:p>
  <w:p w:rsidR="00203A7C" w:rsidRPr="00CE538F" w:rsidRDefault="00203A7C" w:rsidP="00203A7C">
    <w:pPr>
      <w:pStyle w:val="Footer"/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CE538F">
          <w:rPr>
            <w:rFonts w:ascii="Arial" w:hAnsi="Arial" w:cs="Arial"/>
            <w:sz w:val="22"/>
            <w:szCs w:val="20"/>
          </w:rPr>
          <w:t>Harborview</w:t>
        </w:r>
      </w:smartTag>
      <w:r w:rsidRPr="00CE538F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CE538F">
          <w:rPr>
            <w:rFonts w:ascii="Arial" w:hAnsi="Arial" w:cs="Arial"/>
            <w:sz w:val="22"/>
            <w:szCs w:val="20"/>
          </w:rPr>
          <w:t>Medical</w:t>
        </w:r>
      </w:smartTag>
      <w:r w:rsidRPr="00CE538F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CE538F">
          <w:rPr>
            <w:rFonts w:ascii="Arial" w:hAnsi="Arial" w:cs="Arial"/>
            <w:sz w:val="22"/>
            <w:szCs w:val="20"/>
          </w:rPr>
          <w:t>Center</w:t>
        </w:r>
      </w:smartTag>
    </w:smartTag>
    <w:r w:rsidRPr="00CE538F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Street">
      <w:r w:rsidRPr="00CE538F">
        <w:rPr>
          <w:rFonts w:ascii="Arial" w:hAnsi="Arial" w:cs="Arial"/>
          <w:sz w:val="22"/>
          <w:szCs w:val="20"/>
        </w:rPr>
        <w:t>325 Ninth Ave.</w:t>
      </w:r>
    </w:smartTag>
    <w:r w:rsidRPr="00CE538F">
      <w:rPr>
        <w:rFonts w:ascii="Arial" w:hAnsi="Arial" w:cs="Arial"/>
        <w:sz w:val="22"/>
        <w:szCs w:val="20"/>
      </w:rPr>
      <w:t xml:space="preserve">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F7" w:rsidRDefault="006861F7" w:rsidP="006861F7">
      <w:r>
        <w:separator/>
      </w:r>
    </w:p>
  </w:footnote>
  <w:footnote w:type="continuationSeparator" w:id="0">
    <w:p w:rsidR="006861F7" w:rsidRDefault="006861F7" w:rsidP="0068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F7" w:rsidRPr="008D07C5" w:rsidRDefault="007577E0">
    <w:pPr>
      <w:pStyle w:val="Head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 xml:space="preserve">TANGO Infinity </w:t>
    </w:r>
    <w:r w:rsidR="0070730A">
      <w:rPr>
        <w:rFonts w:ascii="Arial" w:hAnsi="Arial" w:cs="Arial"/>
        <w:b/>
        <w:sz w:val="22"/>
        <w:szCs w:val="20"/>
      </w:rPr>
      <w:t>–</w:t>
    </w:r>
    <w:r>
      <w:rPr>
        <w:rFonts w:ascii="Arial" w:hAnsi="Arial" w:cs="Arial"/>
        <w:b/>
        <w:sz w:val="22"/>
        <w:szCs w:val="20"/>
      </w:rPr>
      <w:t xml:space="preserve"> </w:t>
    </w:r>
    <w:r w:rsidR="0070730A">
      <w:rPr>
        <w:rFonts w:ascii="Arial" w:hAnsi="Arial" w:cs="Arial"/>
        <w:b/>
        <w:sz w:val="22"/>
        <w:szCs w:val="20"/>
      </w:rPr>
      <w:t xml:space="preserve">Sample </w:t>
    </w:r>
    <w:r w:rsidR="006861F7" w:rsidRPr="008D07C5">
      <w:rPr>
        <w:rFonts w:ascii="Arial" w:hAnsi="Arial" w:cs="Arial"/>
        <w:b/>
        <w:sz w:val="22"/>
        <w:szCs w:val="20"/>
      </w:rPr>
      <w:t>Requirements and Preparation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1F7" w:rsidRDefault="006861F7" w:rsidP="005C1FCE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95A9F34" wp14:editId="049A8555">
          <wp:extent cx="6425513" cy="625674"/>
          <wp:effectExtent l="0" t="0" r="0" b="3175"/>
          <wp:docPr id="2" name="Picture 2" descr="Laboratory Medicin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13" cy="625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861F7" w:rsidTr="005C1FCE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7440C7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7440C7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7440C7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861F7" w:rsidRPr="007440C7" w:rsidRDefault="006861F7" w:rsidP="000A44C8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861F7" w:rsidRPr="005D20F4" w:rsidRDefault="006861F7" w:rsidP="000A44C8">
          <w:pPr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861F7" w:rsidRPr="005D20F4" w:rsidRDefault="006861F7" w:rsidP="000A44C8">
          <w:pPr>
            <w:jc w:val="both"/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>April 1st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861F7" w:rsidRPr="005D20F4" w:rsidRDefault="006861F7" w:rsidP="000A44C8">
          <w:pPr>
            <w:jc w:val="both"/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861F7" w:rsidRPr="005D20F4" w:rsidRDefault="005C1FCE" w:rsidP="009D410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5526-</w:t>
          </w:r>
          <w:r w:rsidR="009D410D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6861F7" w:rsidTr="005C1FCE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861F7" w:rsidRPr="007440C7" w:rsidRDefault="006861F7" w:rsidP="000A44C8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861F7" w:rsidRPr="005D20F4" w:rsidRDefault="006861F7" w:rsidP="000A44C8">
          <w:pPr>
            <w:jc w:val="both"/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861F7" w:rsidRPr="005D20F4" w:rsidRDefault="006861F7" w:rsidP="000A44C8">
          <w:pPr>
            <w:jc w:val="both"/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D20F4" w:rsidRDefault="006861F7" w:rsidP="008D07C5">
          <w:pPr>
            <w:tabs>
              <w:tab w:val="left" w:pos="1258"/>
              <w:tab w:val="right" w:pos="2035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861F7" w:rsidRPr="005D20F4" w:rsidRDefault="008D07C5" w:rsidP="008D07C5">
          <w:pPr>
            <w:tabs>
              <w:tab w:val="left" w:pos="1258"/>
              <w:tab w:val="right" w:pos="2035"/>
            </w:tabs>
            <w:jc w:val="both"/>
            <w:rPr>
              <w:rFonts w:ascii="Arial" w:hAnsi="Arial" w:cs="Arial"/>
              <w:b/>
            </w:rPr>
          </w:pPr>
          <w:r w:rsidRPr="005D20F4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6861F7" w:rsidTr="005C1FCE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861F7" w:rsidRPr="003E0EB1" w:rsidRDefault="006861F7" w:rsidP="00A15E36">
          <w:pPr>
            <w:rPr>
              <w:rFonts w:ascii="Arial" w:hAnsi="Arial" w:cs="Arial"/>
              <w:sz w:val="28"/>
              <w:szCs w:val="28"/>
            </w:rPr>
          </w:pPr>
          <w:r w:rsidRPr="003E0EB1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80A43" w:rsidRPr="008D07C5">
            <w:rPr>
              <w:rFonts w:ascii="Arial" w:hAnsi="Arial" w:cs="Arial"/>
              <w:b/>
              <w:sz w:val="28"/>
              <w:szCs w:val="28"/>
            </w:rPr>
            <w:t>TANGO</w:t>
          </w:r>
          <w:r w:rsidRPr="008D07C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A15E36">
            <w:rPr>
              <w:rFonts w:ascii="Arial" w:hAnsi="Arial" w:cs="Arial"/>
              <w:b/>
              <w:sz w:val="28"/>
              <w:szCs w:val="28"/>
            </w:rPr>
            <w:t>Infinity:</w:t>
          </w:r>
          <w:r w:rsidRPr="008D07C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70730A">
            <w:rPr>
              <w:rFonts w:ascii="Arial" w:hAnsi="Arial" w:cs="Arial"/>
              <w:b/>
              <w:sz w:val="28"/>
              <w:szCs w:val="28"/>
            </w:rPr>
            <w:t xml:space="preserve">Sample </w:t>
          </w:r>
          <w:r w:rsidR="00580A43" w:rsidRPr="008D07C5">
            <w:rPr>
              <w:rFonts w:ascii="Arial" w:hAnsi="Arial" w:cs="Arial"/>
              <w:b/>
              <w:sz w:val="28"/>
              <w:szCs w:val="28"/>
            </w:rPr>
            <w:t xml:space="preserve">Requirements and </w:t>
          </w:r>
          <w:r w:rsidRPr="008D07C5">
            <w:rPr>
              <w:rFonts w:ascii="Arial" w:hAnsi="Arial" w:cs="Arial"/>
              <w:b/>
              <w:sz w:val="28"/>
              <w:szCs w:val="28"/>
            </w:rPr>
            <w:t>Preparation</w:t>
          </w:r>
        </w:p>
      </w:tc>
    </w:tr>
  </w:tbl>
  <w:p w:rsidR="006861F7" w:rsidRDefault="006861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814"/>
    <w:multiLevelType w:val="hybridMultilevel"/>
    <w:tmpl w:val="41B2B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36D9"/>
    <w:multiLevelType w:val="hybridMultilevel"/>
    <w:tmpl w:val="B87CE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A38A3"/>
    <w:multiLevelType w:val="hybridMultilevel"/>
    <w:tmpl w:val="C686B5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B1157A"/>
    <w:multiLevelType w:val="hybridMultilevel"/>
    <w:tmpl w:val="C6AC6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AF3403"/>
    <w:multiLevelType w:val="hybridMultilevel"/>
    <w:tmpl w:val="36B2D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AE2476"/>
    <w:multiLevelType w:val="hybridMultilevel"/>
    <w:tmpl w:val="ED2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42AE9"/>
    <w:multiLevelType w:val="hybridMultilevel"/>
    <w:tmpl w:val="54D01C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234E80"/>
    <w:multiLevelType w:val="hybridMultilevel"/>
    <w:tmpl w:val="078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7537F"/>
    <w:multiLevelType w:val="hybridMultilevel"/>
    <w:tmpl w:val="EA2A05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ED200A"/>
    <w:multiLevelType w:val="hybridMultilevel"/>
    <w:tmpl w:val="BCEC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533F"/>
    <w:multiLevelType w:val="hybridMultilevel"/>
    <w:tmpl w:val="69B81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8719C"/>
    <w:multiLevelType w:val="hybridMultilevel"/>
    <w:tmpl w:val="7E64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2033F"/>
    <w:multiLevelType w:val="multilevel"/>
    <w:tmpl w:val="1FA44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78"/>
    <w:rsid w:val="000043FF"/>
    <w:rsid w:val="00024FB9"/>
    <w:rsid w:val="00025FFF"/>
    <w:rsid w:val="000661C2"/>
    <w:rsid w:val="000C66DB"/>
    <w:rsid w:val="00114CA2"/>
    <w:rsid w:val="00150D07"/>
    <w:rsid w:val="001C187E"/>
    <w:rsid w:val="00203A7C"/>
    <w:rsid w:val="002A72C7"/>
    <w:rsid w:val="003218CF"/>
    <w:rsid w:val="0032683F"/>
    <w:rsid w:val="003825A2"/>
    <w:rsid w:val="003A287A"/>
    <w:rsid w:val="003C5B47"/>
    <w:rsid w:val="00446B76"/>
    <w:rsid w:val="00463628"/>
    <w:rsid w:val="004A7E39"/>
    <w:rsid w:val="004B0DF4"/>
    <w:rsid w:val="00527871"/>
    <w:rsid w:val="00537917"/>
    <w:rsid w:val="00580A43"/>
    <w:rsid w:val="005C1FCE"/>
    <w:rsid w:val="005D20F4"/>
    <w:rsid w:val="005F7587"/>
    <w:rsid w:val="00651D0F"/>
    <w:rsid w:val="006861F7"/>
    <w:rsid w:val="006E2466"/>
    <w:rsid w:val="0070730A"/>
    <w:rsid w:val="00730006"/>
    <w:rsid w:val="00736F2E"/>
    <w:rsid w:val="00745C06"/>
    <w:rsid w:val="007577E0"/>
    <w:rsid w:val="00794BE7"/>
    <w:rsid w:val="007A56B7"/>
    <w:rsid w:val="007E657A"/>
    <w:rsid w:val="008322D0"/>
    <w:rsid w:val="00871564"/>
    <w:rsid w:val="008C2ED2"/>
    <w:rsid w:val="008D07C5"/>
    <w:rsid w:val="00903C02"/>
    <w:rsid w:val="00972D95"/>
    <w:rsid w:val="009A2D8A"/>
    <w:rsid w:val="009C1D50"/>
    <w:rsid w:val="009D410D"/>
    <w:rsid w:val="00A15E36"/>
    <w:rsid w:val="00A22F4A"/>
    <w:rsid w:val="00A651B5"/>
    <w:rsid w:val="00AB72CC"/>
    <w:rsid w:val="00AD06B0"/>
    <w:rsid w:val="00B132B3"/>
    <w:rsid w:val="00B26F64"/>
    <w:rsid w:val="00C12199"/>
    <w:rsid w:val="00C439CF"/>
    <w:rsid w:val="00C47654"/>
    <w:rsid w:val="00C55C28"/>
    <w:rsid w:val="00CE538F"/>
    <w:rsid w:val="00D32159"/>
    <w:rsid w:val="00DB1EDF"/>
    <w:rsid w:val="00DB7DDA"/>
    <w:rsid w:val="00E27216"/>
    <w:rsid w:val="00E33A78"/>
    <w:rsid w:val="00E53B55"/>
    <w:rsid w:val="00EC011B"/>
    <w:rsid w:val="00EC457A"/>
    <w:rsid w:val="00F952F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3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1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1F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F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3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1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1F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F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8441-07B0-4DBD-A732-92364C2F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Erin Tuott</cp:lastModifiedBy>
  <cp:revision>9</cp:revision>
  <cp:lastPrinted>2019-09-04T20:35:00Z</cp:lastPrinted>
  <dcterms:created xsi:type="dcterms:W3CDTF">2019-08-08T16:04:00Z</dcterms:created>
  <dcterms:modified xsi:type="dcterms:W3CDTF">2019-09-04T20:35:00Z</dcterms:modified>
</cp:coreProperties>
</file>