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E5" w:rsidRPr="00484060" w:rsidRDefault="002A51E5" w:rsidP="002A51E5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2A51E5" w:rsidRPr="00484060" w:rsidRDefault="002A51E5" w:rsidP="002A51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244B74">
        <w:rPr>
          <w:rFonts w:ascii="Arial" w:hAnsi="Arial" w:cs="Arial"/>
          <w:sz w:val="22"/>
          <w:szCs w:val="22"/>
        </w:rPr>
        <w:t>describe the loading of test racks, manually ordering tests and starting a test run</w:t>
      </w:r>
      <w:r w:rsidR="00DF0384">
        <w:rPr>
          <w:rFonts w:ascii="Arial" w:hAnsi="Arial" w:cs="Arial"/>
          <w:sz w:val="22"/>
          <w:szCs w:val="22"/>
        </w:rPr>
        <w:t xml:space="preserve"> based on testing urgency</w:t>
      </w:r>
      <w:r w:rsidR="00244B74">
        <w:rPr>
          <w:rFonts w:ascii="Arial" w:hAnsi="Arial" w:cs="Arial"/>
          <w:sz w:val="22"/>
          <w:szCs w:val="22"/>
        </w:rPr>
        <w:t>.</w:t>
      </w:r>
    </w:p>
    <w:p w:rsidR="00DF0384" w:rsidRPr="00F86DC9" w:rsidRDefault="00DF0384" w:rsidP="00DF0384">
      <w:pPr>
        <w:pStyle w:val="ListParagraph"/>
        <w:ind w:hanging="360"/>
        <w:rPr>
          <w:rFonts w:ascii="Arial" w:hAnsi="Arial" w:cs="Arial"/>
          <w:sz w:val="16"/>
          <w:szCs w:val="16"/>
        </w:rPr>
      </w:pPr>
    </w:p>
    <w:p w:rsidR="002A51E5" w:rsidRDefault="002A51E5" w:rsidP="002A51E5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Limitations </w:t>
      </w:r>
      <w:r w:rsidR="0008723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Precautions:</w:t>
      </w:r>
    </w:p>
    <w:p w:rsidR="002A51E5" w:rsidRPr="00D22171" w:rsidRDefault="002A51E5" w:rsidP="00D2217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Samples and reagents </w:t>
      </w:r>
      <w:r w:rsidR="00547344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der</w:t>
      </w:r>
      <w:r w:rsidR="004F1E03">
        <w:rPr>
          <w:rFonts w:ascii="Arial" w:hAnsi="Arial" w:cs="Arial"/>
          <w:sz w:val="22"/>
          <w:szCs w:val="22"/>
        </w:rPr>
        <w:t>ived from human or animal blood</w:t>
      </w:r>
      <w:r>
        <w:rPr>
          <w:rFonts w:ascii="Arial" w:hAnsi="Arial" w:cs="Arial"/>
          <w:sz w:val="22"/>
          <w:szCs w:val="22"/>
        </w:rPr>
        <w:t xml:space="preserve"> </w:t>
      </w:r>
      <w:r w:rsidR="004F1E03" w:rsidRPr="004F1E03">
        <w:rPr>
          <w:rFonts w:ascii="Arial" w:hAnsi="Arial" w:cs="Arial"/>
          <w:sz w:val="22"/>
          <w:szCs w:val="22"/>
          <w:highlight w:val="yellow"/>
        </w:rPr>
        <w:t>and are</w:t>
      </w:r>
      <w:r w:rsidR="004F1E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potentially biohazardous and/or infectious. Use appropriate P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PE when handling such materials.</w:t>
      </w:r>
      <w:r w:rsidRPr="00D22171">
        <w:rPr>
          <w:rFonts w:ascii="Arial" w:hAnsi="Arial" w:cs="Arial"/>
          <w:sz w:val="22"/>
          <w:szCs w:val="22"/>
        </w:rPr>
        <w:t xml:space="preserve"> </w:t>
      </w:r>
    </w:p>
    <w:p w:rsidR="00A33BB0" w:rsidRPr="00A33BB0" w:rsidRDefault="00A33BB0" w:rsidP="00A33BB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33BB0">
        <w:rPr>
          <w:rFonts w:ascii="Arial" w:hAnsi="Arial" w:cs="Arial"/>
          <w:sz w:val="22"/>
          <w:szCs w:val="22"/>
        </w:rPr>
        <w:t>Do not load samples while loading reagents or plates as only one loading window can be displayed at the same time.</w:t>
      </w:r>
    </w:p>
    <w:p w:rsidR="00DF0384" w:rsidRDefault="00DF0384" w:rsidP="00DF038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samples </w:t>
      </w:r>
      <w:r w:rsidR="00E46C57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already in progress for testing on the Tango, </w:t>
      </w:r>
      <w:r w:rsidR="0001386A">
        <w:rPr>
          <w:rFonts w:ascii="Arial" w:hAnsi="Arial" w:cs="Arial"/>
          <w:sz w:val="22"/>
          <w:szCs w:val="22"/>
        </w:rPr>
        <w:t xml:space="preserve">perform manual testing </w:t>
      </w:r>
      <w:r>
        <w:rPr>
          <w:rFonts w:ascii="Arial" w:hAnsi="Arial" w:cs="Arial"/>
          <w:sz w:val="22"/>
          <w:szCs w:val="22"/>
        </w:rPr>
        <w:t>to expedite the tu</w:t>
      </w:r>
      <w:r w:rsidR="00F039E2">
        <w:rPr>
          <w:rFonts w:ascii="Arial" w:hAnsi="Arial" w:cs="Arial"/>
          <w:sz w:val="22"/>
          <w:szCs w:val="22"/>
        </w:rPr>
        <w:t>rn-</w:t>
      </w:r>
      <w:r w:rsidR="0001386A">
        <w:rPr>
          <w:rFonts w:ascii="Arial" w:hAnsi="Arial" w:cs="Arial"/>
          <w:sz w:val="22"/>
          <w:szCs w:val="22"/>
        </w:rPr>
        <w:t xml:space="preserve">around time </w:t>
      </w:r>
      <w:r>
        <w:rPr>
          <w:rFonts w:ascii="Arial" w:hAnsi="Arial" w:cs="Arial"/>
          <w:sz w:val="22"/>
          <w:szCs w:val="22"/>
        </w:rPr>
        <w:t>on Stat orders.</w:t>
      </w:r>
    </w:p>
    <w:p w:rsidR="002A51E5" w:rsidRDefault="002A51E5" w:rsidP="00BF0B68">
      <w:pPr>
        <w:spacing w:line="276" w:lineRule="auto"/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49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91"/>
        <w:gridCol w:w="8100"/>
        <w:gridCol w:w="91"/>
        <w:gridCol w:w="1529"/>
      </w:tblGrid>
      <w:tr w:rsidR="0052662E" w:rsidRPr="00335F46" w:rsidTr="0052662E">
        <w:trPr>
          <w:trHeight w:val="2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2E" w:rsidRPr="00335F46" w:rsidRDefault="0052662E" w:rsidP="00C90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2E" w:rsidRPr="00335F46" w:rsidRDefault="0052662E" w:rsidP="00C90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2E" w:rsidRPr="00335F46" w:rsidRDefault="0052662E" w:rsidP="00C90F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44B74" w:rsidRPr="00335F46" w:rsidTr="00002EBB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B74" w:rsidRPr="00335F46" w:rsidRDefault="00B6423C" w:rsidP="00B64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 xml:space="preserve">Test Confirmation and </w:t>
            </w:r>
            <w:r w:rsidR="00244B74" w:rsidRPr="00335F46">
              <w:rPr>
                <w:rFonts w:ascii="Arial" w:hAnsi="Arial" w:cs="Arial"/>
                <w:b/>
                <w:sz w:val="22"/>
                <w:szCs w:val="22"/>
              </w:rPr>
              <w:t xml:space="preserve">Rack Selection </w:t>
            </w:r>
          </w:p>
        </w:tc>
      </w:tr>
      <w:tr w:rsidR="0052662E" w:rsidRPr="00335F46" w:rsidTr="00DF5EAD">
        <w:trPr>
          <w:trHeight w:val="432"/>
        </w:trPr>
        <w:tc>
          <w:tcPr>
            <w:tcW w:w="342" w:type="pct"/>
          </w:tcPr>
          <w:p w:rsidR="0052662E" w:rsidRPr="00335F46" w:rsidRDefault="0052662E" w:rsidP="007D508E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89" w:type="pct"/>
            <w:gridSpan w:val="2"/>
          </w:tcPr>
          <w:p w:rsidR="0052662E" w:rsidRPr="00335F46" w:rsidRDefault="0052662E" w:rsidP="007D508E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Select the appropriate rack based on testing to be performed:</w:t>
            </w:r>
          </w:p>
          <w:p w:rsidR="0052662E" w:rsidRDefault="0052662E" w:rsidP="005266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35F46">
              <w:rPr>
                <w:rFonts w:ascii="Arial" w:hAnsi="Arial" w:cs="Arial"/>
                <w:sz w:val="22"/>
                <w:szCs w:val="22"/>
              </w:rPr>
              <w:t>:  Routine 7 or 10 mL size Patient Samples</w:t>
            </w:r>
          </w:p>
          <w:p w:rsidR="00BF0B68" w:rsidRPr="00335F46" w:rsidRDefault="00BF0B68" w:rsidP="005266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0D6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</w:t>
            </w:r>
            <w:r w:rsidRPr="000F0D6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:  Donor Type Confirmations, short </w:t>
            </w:r>
            <w:r w:rsidR="00002EBB">
              <w:rPr>
                <w:rFonts w:ascii="Arial" w:hAnsi="Arial" w:cs="Arial"/>
                <w:sz w:val="22"/>
                <w:szCs w:val="22"/>
                <w:highlight w:val="yellow"/>
              </w:rPr>
              <w:t>EDTA tubes, or plasma aliquots.</w:t>
            </w:r>
          </w:p>
          <w:p w:rsidR="00BF0B68" w:rsidRPr="00335F46" w:rsidRDefault="0052662E" w:rsidP="00BF0B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335F46">
              <w:rPr>
                <w:rFonts w:ascii="Arial" w:hAnsi="Arial" w:cs="Arial"/>
                <w:sz w:val="22"/>
                <w:szCs w:val="22"/>
              </w:rPr>
              <w:t>:  Donor Type Confirmations, short EDTA tubes, or plasma aliquots</w:t>
            </w:r>
            <w:r w:rsidR="00002E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662E" w:rsidRPr="00335F46" w:rsidRDefault="0052662E" w:rsidP="005266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35F46">
              <w:rPr>
                <w:rFonts w:ascii="Arial" w:hAnsi="Arial" w:cs="Arial"/>
                <w:sz w:val="22"/>
                <w:szCs w:val="22"/>
              </w:rPr>
              <w:t>:  Controls</w:t>
            </w:r>
          </w:p>
        </w:tc>
        <w:tc>
          <w:tcPr>
            <w:tcW w:w="769" w:type="pct"/>
            <w:gridSpan w:val="2"/>
          </w:tcPr>
          <w:p w:rsidR="0052662E" w:rsidRPr="00335F46" w:rsidRDefault="00DF5EAD" w:rsidP="00DF5EAD">
            <w:pPr>
              <w:rPr>
                <w:rFonts w:ascii="Arial" w:hAnsi="Arial" w:cs="Arial"/>
              </w:rPr>
            </w:pPr>
            <w:r w:rsidRPr="00DF5EAD">
              <w:rPr>
                <w:rFonts w:ascii="Arial" w:hAnsi="Arial" w:cs="Arial"/>
                <w:sz w:val="22"/>
                <w:highlight w:val="yellow"/>
              </w:rPr>
              <w:t>Tango infinity: Sample Requirements and Preparation</w:t>
            </w:r>
          </w:p>
        </w:tc>
      </w:tr>
      <w:tr w:rsidR="0052662E" w:rsidRPr="00335F46" w:rsidTr="00DF5EAD">
        <w:trPr>
          <w:trHeight w:val="566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89" w:type="pct"/>
            <w:gridSpan w:val="2"/>
          </w:tcPr>
          <w:p w:rsidR="0052662E" w:rsidRPr="00335F46" w:rsidRDefault="0052662E" w:rsidP="00C90FF7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Place the samples in the rack so that the barcode is visible through the opening in the side of the rack.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Samples should be firmly pressed down to prevent probe crashes</w:t>
            </w:r>
          </w:p>
        </w:tc>
        <w:tc>
          <w:tcPr>
            <w:tcW w:w="769" w:type="pct"/>
            <w:gridSpan w:val="2"/>
          </w:tcPr>
          <w:p w:rsidR="0052662E" w:rsidRPr="00335F46" w:rsidRDefault="0052662E" w:rsidP="0052662E">
            <w:pPr>
              <w:rPr>
                <w:rFonts w:ascii="Arial" w:hAnsi="Arial" w:cs="Arial"/>
              </w:rPr>
            </w:pPr>
          </w:p>
        </w:tc>
      </w:tr>
      <w:tr w:rsidR="00C61E95" w:rsidRPr="00335F46" w:rsidTr="00C90FF7">
        <w:trPr>
          <w:trHeight w:val="233"/>
        </w:trPr>
        <w:tc>
          <w:tcPr>
            <w:tcW w:w="5000" w:type="pct"/>
            <w:gridSpan w:val="5"/>
            <w:vAlign w:val="center"/>
          </w:tcPr>
          <w:p w:rsidR="00C61E95" w:rsidRPr="00335F46" w:rsidRDefault="00C61E95" w:rsidP="00DF03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Sample Loading</w:t>
            </w:r>
          </w:p>
        </w:tc>
      </w:tr>
      <w:tr w:rsidR="0052662E" w:rsidRPr="00335F46" w:rsidTr="0052662E">
        <w:trPr>
          <w:trHeight w:val="278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2" w:type="pct"/>
            <w:gridSpan w:val="3"/>
          </w:tcPr>
          <w:p w:rsidR="0052662E" w:rsidRPr="00335F46" w:rsidRDefault="0052662E" w:rsidP="00002EBB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Open the door of the sample </w:t>
            </w:r>
            <w:r w:rsidR="00002EBB" w:rsidRPr="00002EBB">
              <w:rPr>
                <w:rFonts w:ascii="Arial" w:hAnsi="Arial" w:cs="Arial"/>
                <w:sz w:val="22"/>
                <w:szCs w:val="22"/>
                <w:highlight w:val="yellow"/>
              </w:rPr>
              <w:t>bay</w:t>
            </w:r>
            <w:r w:rsidRPr="00335F46">
              <w:rPr>
                <w:rFonts w:ascii="Arial" w:hAnsi="Arial" w:cs="Arial"/>
                <w:sz w:val="22"/>
                <w:szCs w:val="22"/>
              </w:rPr>
              <w:t>.  This opens the ‘Sample Loading’ dialog.</w:t>
            </w:r>
          </w:p>
        </w:tc>
        <w:tc>
          <w:tcPr>
            <w:tcW w:w="726" w:type="pct"/>
          </w:tcPr>
          <w:p w:rsidR="0052662E" w:rsidRPr="00335F46" w:rsidRDefault="0052662E" w:rsidP="002B2A1C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458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2" w:type="pct"/>
            <w:gridSpan w:val="3"/>
          </w:tcPr>
          <w:p w:rsidR="0052662E" w:rsidRPr="00335F46" w:rsidRDefault="0052662E" w:rsidP="008C492C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Hold the sample rack firmly by the handle.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Do not cover the barcode label on the sample rack while loading the rack.</w:t>
            </w:r>
          </w:p>
        </w:tc>
        <w:tc>
          <w:tcPr>
            <w:tcW w:w="726" w:type="pct"/>
          </w:tcPr>
          <w:p w:rsidR="0052662E" w:rsidRPr="00335F46" w:rsidRDefault="0052662E" w:rsidP="0052662E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260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2" w:type="pct"/>
            <w:gridSpan w:val="3"/>
          </w:tcPr>
          <w:p w:rsidR="0052662E" w:rsidRPr="00335F46" w:rsidRDefault="0052662E" w:rsidP="008C492C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Slide the sample rack onto the track.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02EBB" w:rsidRPr="00002EBB">
              <w:rPr>
                <w:rFonts w:ascii="Arial" w:hAnsi="Arial" w:cs="Arial"/>
                <w:sz w:val="22"/>
                <w:szCs w:val="22"/>
                <w:highlight w:val="yellow"/>
              </w:rPr>
              <w:t>slowly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F46">
              <w:rPr>
                <w:rFonts w:ascii="Arial" w:hAnsi="Arial" w:cs="Arial"/>
                <w:sz w:val="22"/>
                <w:szCs w:val="22"/>
              </w:rPr>
              <w:t>flashing yellow LED indicates the expected track.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When the rack has been inserted completely, the yellow LED lights up permanently.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the rack is not identified, remove the rack and reinsert, ensuring that the barcode is not obscured.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When loading donor segments that have the small barcode affixed to the test tube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EBB" w:rsidRPr="00002EBB">
              <w:rPr>
                <w:rFonts w:ascii="Arial" w:hAnsi="Arial" w:cs="Arial"/>
                <w:sz w:val="22"/>
                <w:szCs w:val="22"/>
                <w:highlight w:val="yellow"/>
              </w:rPr>
              <w:t>it may be necessary to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load onto sample tracks 6-12 by placing empty sample racks in track positions 1-5.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using barcoded samples, the sample ID and sample type are displayed automatically in the ‘Sample Loading’ dialog.</w:t>
            </w:r>
          </w:p>
        </w:tc>
        <w:tc>
          <w:tcPr>
            <w:tcW w:w="726" w:type="pct"/>
          </w:tcPr>
          <w:p w:rsidR="0052662E" w:rsidRPr="00335F46" w:rsidRDefault="0052662E" w:rsidP="0052662E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350"/>
        </w:trPr>
        <w:tc>
          <w:tcPr>
            <w:tcW w:w="342" w:type="pct"/>
          </w:tcPr>
          <w:p w:rsidR="0052662E" w:rsidRPr="00335F46" w:rsidRDefault="0052662E" w:rsidP="005266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32" w:type="pct"/>
            <w:gridSpan w:val="3"/>
          </w:tcPr>
          <w:p w:rsidR="0052662E" w:rsidRPr="00335F46" w:rsidRDefault="0052662E" w:rsidP="005266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26" w:type="pct"/>
          </w:tcPr>
          <w:p w:rsidR="0052662E" w:rsidRPr="00335F46" w:rsidRDefault="0052662E" w:rsidP="005266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90FF7" w:rsidRPr="00335F46" w:rsidTr="0052662E">
        <w:trPr>
          <w:trHeight w:val="278"/>
        </w:trPr>
        <w:tc>
          <w:tcPr>
            <w:tcW w:w="5000" w:type="pct"/>
            <w:gridSpan w:val="5"/>
            <w:vAlign w:val="center"/>
          </w:tcPr>
          <w:p w:rsidR="00C90FF7" w:rsidRPr="00335F46" w:rsidRDefault="00C90FF7" w:rsidP="00C55D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Sample Loading (continued)</w:t>
            </w:r>
          </w:p>
        </w:tc>
      </w:tr>
      <w:tr w:rsidR="0052662E" w:rsidRPr="00335F46" w:rsidTr="0052662E">
        <w:trPr>
          <w:trHeight w:val="719"/>
        </w:trPr>
        <w:tc>
          <w:tcPr>
            <w:tcW w:w="342" w:type="pct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32" w:type="pct"/>
            <w:gridSpan w:val="3"/>
          </w:tcPr>
          <w:p w:rsidR="0052662E" w:rsidRPr="00335F46" w:rsidRDefault="0052662E" w:rsidP="00F93AD7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4F1E03" w:rsidRPr="004F1E03">
              <w:rPr>
                <w:rFonts w:ascii="Arial" w:hAnsi="Arial" w:cs="Arial"/>
                <w:sz w:val="22"/>
                <w:szCs w:val="22"/>
                <w:highlight w:val="yellow"/>
              </w:rPr>
              <w:t>the</w:t>
            </w:r>
            <w:r w:rsidR="004F1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F46">
              <w:rPr>
                <w:rFonts w:ascii="Arial" w:hAnsi="Arial" w:cs="Arial"/>
                <w:sz w:val="22"/>
                <w:szCs w:val="22"/>
              </w:rPr>
              <w:t>barcode cannot be read properly on the sample or if there is no barcode, touch the ‘Manual Entry’ button.</w:t>
            </w:r>
          </w:p>
          <w:p w:rsidR="0052662E" w:rsidRPr="00335F46" w:rsidRDefault="004F1E03" w:rsidP="004F1E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</w:t>
            </w:r>
            <w:r w:rsidR="0052662E" w:rsidRPr="00335F46">
              <w:rPr>
                <w:rFonts w:ascii="Arial" w:hAnsi="Arial" w:cs="Arial"/>
                <w:sz w:val="22"/>
                <w:szCs w:val="22"/>
              </w:rPr>
              <w:t xml:space="preserve">nread barcode field </w:t>
            </w:r>
            <w:r>
              <w:rPr>
                <w:rFonts w:ascii="Arial" w:hAnsi="Arial" w:cs="Arial"/>
                <w:sz w:val="22"/>
                <w:szCs w:val="22"/>
              </w:rPr>
              <w:t xml:space="preserve">color </w:t>
            </w:r>
            <w:r w:rsidR="0052662E" w:rsidRPr="00335F46">
              <w:rPr>
                <w:rFonts w:ascii="Arial" w:hAnsi="Arial" w:cs="Arial"/>
                <w:sz w:val="22"/>
                <w:szCs w:val="22"/>
              </w:rPr>
              <w:t>changes from gray</w:t>
            </w:r>
            <w:r w:rsidR="008832CB" w:rsidRPr="00335F46">
              <w:rPr>
                <w:rFonts w:ascii="Arial" w:hAnsi="Arial" w:cs="Arial"/>
                <w:sz w:val="22"/>
                <w:szCs w:val="22"/>
              </w:rPr>
              <w:t xml:space="preserve"> to white and can now be edited</w:t>
            </w:r>
          </w:p>
        </w:tc>
        <w:tc>
          <w:tcPr>
            <w:tcW w:w="726" w:type="pct"/>
          </w:tcPr>
          <w:p w:rsidR="0052662E" w:rsidRPr="00335F46" w:rsidRDefault="0052662E" w:rsidP="00526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2E" w:rsidRPr="00335F46" w:rsidTr="0052662E">
        <w:trPr>
          <w:trHeight w:val="287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Remove the rack.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359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6E289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appropriate field and enter the sample information by typing in manually.</w:t>
            </w:r>
          </w:p>
        </w:tc>
        <w:tc>
          <w:tcPr>
            <w:tcW w:w="726" w:type="pct"/>
            <w:vAlign w:val="center"/>
          </w:tcPr>
          <w:p w:rsidR="0052662E" w:rsidRPr="00335F46" w:rsidRDefault="00E509AA" w:rsidP="006E289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</w:rPr>
              <w:t>TANGO Infinity:</w:t>
            </w:r>
            <w:r w:rsidR="008832CB" w:rsidRPr="00335F46">
              <w:rPr>
                <w:rFonts w:ascii="Arial" w:hAnsi="Arial" w:cs="Arial"/>
                <w:sz w:val="22"/>
              </w:rPr>
              <w:t xml:space="preserve"> Entry of Patient Data</w:t>
            </w:r>
          </w:p>
        </w:tc>
      </w:tr>
      <w:tr w:rsidR="0052662E" w:rsidRPr="00335F46" w:rsidTr="0052662E">
        <w:trPr>
          <w:trHeight w:val="350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Repeat for all necessary samples.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710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Re-insert the sample rack in the indicated track.</w:t>
            </w:r>
          </w:p>
          <w:p w:rsidR="0052662E" w:rsidRPr="00335F46" w:rsidRDefault="0052662E" w:rsidP="008C492C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NOTE: If the rack is not removed from the track for manual entry, touch the ‘Accept Input’ button to save the information.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8C492C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432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6E289C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Select the sample(s) that is to be defined as STA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T and touch the ‘STAT’ button. </w:t>
            </w:r>
            <w:r w:rsidRPr="00335F46">
              <w:rPr>
                <w:rFonts w:ascii="Arial" w:hAnsi="Arial" w:cs="Arial"/>
                <w:sz w:val="22"/>
                <w:szCs w:val="22"/>
              </w:rPr>
              <w:t>A red dot will indicate the STAT status.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6E28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62E" w:rsidRPr="00335F46" w:rsidTr="0052662E">
        <w:trPr>
          <w:trHeight w:val="323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01386A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When all samples are entered, perform test ordering.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01386A">
            <w:pPr>
              <w:rPr>
                <w:rFonts w:ascii="Arial" w:hAnsi="Arial" w:cs="Arial"/>
              </w:rPr>
            </w:pPr>
          </w:p>
        </w:tc>
      </w:tr>
      <w:tr w:rsidR="00C61E95" w:rsidRPr="00335F46" w:rsidTr="00CE19F5">
        <w:trPr>
          <w:trHeight w:val="332"/>
        </w:trPr>
        <w:tc>
          <w:tcPr>
            <w:tcW w:w="5000" w:type="pct"/>
            <w:gridSpan w:val="5"/>
            <w:vAlign w:val="center"/>
          </w:tcPr>
          <w:p w:rsidR="00C61E95" w:rsidRPr="00335F46" w:rsidRDefault="00C61E95" w:rsidP="00F86D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Ordering of Tests</w:t>
            </w:r>
          </w:p>
        </w:tc>
      </w:tr>
      <w:tr w:rsidR="0052662E" w:rsidRPr="00335F46" w:rsidTr="0052662E">
        <w:trPr>
          <w:trHeight w:val="305"/>
        </w:trPr>
        <w:tc>
          <w:tcPr>
            <w:tcW w:w="342" w:type="pct"/>
          </w:tcPr>
          <w:p w:rsidR="0052662E" w:rsidRPr="00335F46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B83D88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For Controls, see the TANGO ABO/Rh Antibody Screen QC Procedure.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E509AA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</w:t>
            </w:r>
            <w:r w:rsidR="00E509AA" w:rsidRPr="00335F46">
              <w:rPr>
                <w:rFonts w:ascii="Arial" w:hAnsi="Arial" w:cs="Arial"/>
                <w:sz w:val="22"/>
                <w:szCs w:val="22"/>
              </w:rPr>
              <w:t>ANGO Infinity: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ABO Rh Antibody Screen QC</w:t>
            </w:r>
          </w:p>
        </w:tc>
      </w:tr>
      <w:tr w:rsidR="0052662E" w:rsidRPr="00335F46" w:rsidTr="0052662E">
        <w:trPr>
          <w:trHeight w:val="2285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Select the ‘Sa</w:t>
            </w:r>
            <w:r w:rsidR="00002EBB">
              <w:rPr>
                <w:rFonts w:ascii="Arial" w:hAnsi="Arial" w:cs="Arial"/>
                <w:sz w:val="22"/>
                <w:szCs w:val="22"/>
              </w:rPr>
              <w:t>mples’ button on the Main Menu.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This will op</w:t>
            </w:r>
            <w:r w:rsidR="00002EBB">
              <w:rPr>
                <w:rFonts w:ascii="Arial" w:hAnsi="Arial" w:cs="Arial"/>
                <w:sz w:val="22"/>
                <w:szCs w:val="22"/>
              </w:rPr>
              <w:t>en the ‘Sample Loading’ dialog.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The window will also open when sample racks are initially loaded and will display as long as the sample bay door remains open.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The ‘Sample Loading’ dialog will display the loaded racks on the left side of the screen.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The sample type, sample ID, assay and/or profile buttons will be displayed in the center and right side of the screen.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Profiles appear at the top right of the screen.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Single Assays appear at the bottom right of the screen.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more than 6 assay buttons are available, additional pages will be created. Scroll through the pages by using the arrow buttons.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8832CB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512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Touch </w:t>
            </w:r>
            <w:r w:rsidR="00002EBB">
              <w:rPr>
                <w:rFonts w:ascii="Arial" w:hAnsi="Arial" w:cs="Arial"/>
                <w:sz w:val="22"/>
                <w:szCs w:val="22"/>
              </w:rPr>
              <w:t>the desired rack on the screen.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In the ‘Sample ID’ area, the samples of the selected rack are displayed.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377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32" w:type="pct"/>
            <w:gridSpan w:val="3"/>
            <w:vAlign w:val="center"/>
          </w:tcPr>
          <w:p w:rsidR="00335F46" w:rsidRPr="00002EBB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Select the desired sample by touching the corresponding sample in the Sample ID field.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</w:p>
        </w:tc>
      </w:tr>
      <w:tr w:rsidR="00335F46" w:rsidRPr="00335F46" w:rsidTr="00960FF9">
        <w:trPr>
          <w:trHeight w:val="260"/>
        </w:trPr>
        <w:tc>
          <w:tcPr>
            <w:tcW w:w="342" w:type="pct"/>
          </w:tcPr>
          <w:p w:rsidR="00335F46" w:rsidRPr="00335F46" w:rsidRDefault="00335F46" w:rsidP="00E4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32" w:type="pct"/>
            <w:gridSpan w:val="3"/>
            <w:vAlign w:val="center"/>
          </w:tcPr>
          <w:p w:rsidR="00335F46" w:rsidRPr="00335F46" w:rsidRDefault="00335F46" w:rsidP="00335F46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Assign the desired assay or profile by selecting the respective button or buttons.</w:t>
            </w:r>
          </w:p>
          <w:p w:rsidR="00335F46" w:rsidRPr="00335F46" w:rsidRDefault="00335F46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An assay or profile has been assigned when the green indicator appears on the button.</w:t>
            </w:r>
          </w:p>
          <w:p w:rsidR="000F0D69" w:rsidRPr="000F0D69" w:rsidRDefault="000F0D69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highlight w:val="yellow"/>
              </w:rPr>
            </w:pPr>
            <w:r w:rsidRPr="000F0D69">
              <w:rPr>
                <w:rFonts w:ascii="Arial" w:hAnsi="Arial" w:cs="Arial"/>
                <w:sz w:val="22"/>
                <w:highlight w:val="yellow"/>
              </w:rPr>
              <w:t>Rack ‘A</w:t>
            </w:r>
            <w:r>
              <w:rPr>
                <w:rFonts w:ascii="Arial" w:hAnsi="Arial" w:cs="Arial"/>
                <w:sz w:val="22"/>
                <w:highlight w:val="yellow"/>
              </w:rPr>
              <w:t>’</w:t>
            </w:r>
            <w:r w:rsidRPr="000F0D69">
              <w:rPr>
                <w:rFonts w:ascii="Arial" w:hAnsi="Arial" w:cs="Arial"/>
                <w:sz w:val="22"/>
                <w:highlight w:val="yellow"/>
              </w:rPr>
              <w:t xml:space="preserve"> for donor unit retypes</w:t>
            </w:r>
            <w:r w:rsidR="00002EBB">
              <w:rPr>
                <w:rFonts w:ascii="Arial" w:hAnsi="Arial" w:cs="Arial"/>
                <w:sz w:val="22"/>
                <w:highlight w:val="yellow"/>
              </w:rPr>
              <w:t>;</w:t>
            </w:r>
            <w:r w:rsidRPr="000F0D69">
              <w:rPr>
                <w:rFonts w:ascii="Arial" w:hAnsi="Arial" w:cs="Arial"/>
                <w:sz w:val="22"/>
                <w:highlight w:val="yellow"/>
              </w:rPr>
              <w:t xml:space="preserve"> automatically defaults to ABO testing</w:t>
            </w:r>
            <w:r w:rsidR="007A7E77">
              <w:rPr>
                <w:rFonts w:ascii="Arial" w:hAnsi="Arial" w:cs="Arial"/>
                <w:sz w:val="22"/>
                <w:highlight w:val="yellow"/>
              </w:rPr>
              <w:t xml:space="preserve"> using the ABO Confirm strips</w:t>
            </w:r>
          </w:p>
          <w:p w:rsidR="00335F46" w:rsidRPr="00335F46" w:rsidRDefault="00335F46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Rack ‘B’ for donor unit retypes</w:t>
            </w:r>
            <w:r w:rsidR="00002EBB">
              <w:rPr>
                <w:rFonts w:ascii="Arial" w:hAnsi="Arial" w:cs="Arial"/>
                <w:sz w:val="22"/>
                <w:szCs w:val="22"/>
              </w:rPr>
              <w:t>;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automatically defaults to ABO and Rh testing</w:t>
            </w:r>
            <w:r w:rsidR="007A7E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E77" w:rsidRPr="007A7E77">
              <w:rPr>
                <w:rFonts w:ascii="Arial" w:hAnsi="Arial" w:cs="Arial"/>
                <w:sz w:val="22"/>
                <w:szCs w:val="22"/>
                <w:highlight w:val="yellow"/>
              </w:rPr>
              <w:t>using the ABO and Rh Confirm strips</w:t>
            </w:r>
            <w:r w:rsidRPr="00335F4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5F46" w:rsidRPr="00335F46" w:rsidRDefault="00335F46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Rack ‘N’ for patient samples automatically defaults to TSCR testing.</w:t>
            </w:r>
          </w:p>
          <w:p w:rsidR="00335F46" w:rsidRPr="00335F46" w:rsidRDefault="00335F46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an incorrect assay or profile has been assigned, touch the but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ton a </w:t>
            </w:r>
            <w:r w:rsidR="00002EBB">
              <w:rPr>
                <w:rFonts w:ascii="Arial" w:hAnsi="Arial" w:cs="Arial"/>
                <w:sz w:val="22"/>
                <w:szCs w:val="22"/>
              </w:rPr>
              <w:lastRenderedPageBreak/>
              <w:t xml:space="preserve">second time to deselect. </w:t>
            </w:r>
            <w:r w:rsidRPr="00335F46">
              <w:rPr>
                <w:rFonts w:ascii="Arial" w:hAnsi="Arial" w:cs="Arial"/>
                <w:sz w:val="22"/>
                <w:szCs w:val="22"/>
              </w:rPr>
              <w:t>A red indicator will appear on the button.</w:t>
            </w:r>
          </w:p>
          <w:p w:rsidR="00335F46" w:rsidRPr="00335F46" w:rsidRDefault="00335F46" w:rsidP="00335F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all samples in a rack have the same assay/profile, touch the ‘All’ button after requesting the appropriate assay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/profile for the first sample. </w:t>
            </w:r>
            <w:r w:rsidRPr="00335F46">
              <w:rPr>
                <w:rFonts w:ascii="Arial" w:hAnsi="Arial" w:cs="Arial"/>
                <w:sz w:val="22"/>
                <w:szCs w:val="22"/>
              </w:rPr>
              <w:t>The TANGO will assign that assay or profile to the entire rack.</w:t>
            </w:r>
          </w:p>
        </w:tc>
        <w:tc>
          <w:tcPr>
            <w:tcW w:w="726" w:type="pct"/>
          </w:tcPr>
          <w:p w:rsidR="00335F46" w:rsidRPr="00960FF9" w:rsidRDefault="00960FF9" w:rsidP="00960FF9">
            <w:pPr>
              <w:rPr>
                <w:rFonts w:ascii="Arial" w:hAnsi="Arial" w:cs="Arial"/>
                <w:sz w:val="22"/>
              </w:rPr>
            </w:pPr>
            <w:r w:rsidRPr="00960FF9">
              <w:rPr>
                <w:rFonts w:ascii="Arial" w:hAnsi="Arial" w:cs="Arial"/>
                <w:sz w:val="22"/>
                <w:highlight w:val="yellow"/>
              </w:rPr>
              <w:lastRenderedPageBreak/>
              <w:t xml:space="preserve">TANGO Accepting and Clearing Results in </w:t>
            </w:r>
            <w:proofErr w:type="spellStart"/>
            <w:r w:rsidRPr="00960FF9">
              <w:rPr>
                <w:rFonts w:ascii="Arial" w:hAnsi="Arial" w:cs="Arial"/>
                <w:sz w:val="22"/>
                <w:highlight w:val="yellow"/>
              </w:rPr>
              <w:t>Sunquest</w:t>
            </w:r>
            <w:proofErr w:type="spellEnd"/>
          </w:p>
        </w:tc>
      </w:tr>
      <w:tr w:rsidR="00002EBB" w:rsidRPr="00335F46" w:rsidTr="006302B7">
        <w:trPr>
          <w:trHeight w:val="350"/>
        </w:trPr>
        <w:tc>
          <w:tcPr>
            <w:tcW w:w="342" w:type="pct"/>
          </w:tcPr>
          <w:p w:rsidR="00002EBB" w:rsidRPr="00335F46" w:rsidRDefault="00002EBB" w:rsidP="00630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32" w:type="pct"/>
            <w:gridSpan w:val="3"/>
          </w:tcPr>
          <w:p w:rsidR="00002EBB" w:rsidRPr="00335F46" w:rsidRDefault="00002EBB" w:rsidP="00630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726" w:type="pct"/>
          </w:tcPr>
          <w:p w:rsidR="00002EBB" w:rsidRPr="00335F46" w:rsidRDefault="00002EBB" w:rsidP="00630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002EBB" w:rsidRPr="00335F46" w:rsidTr="006302B7">
        <w:trPr>
          <w:trHeight w:val="278"/>
        </w:trPr>
        <w:tc>
          <w:tcPr>
            <w:tcW w:w="5000" w:type="pct"/>
            <w:gridSpan w:val="5"/>
            <w:vAlign w:val="center"/>
          </w:tcPr>
          <w:p w:rsidR="00002EBB" w:rsidRPr="00335F46" w:rsidRDefault="00002EBB" w:rsidP="00630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Ordering of Tests</w:t>
            </w:r>
            <w:r w:rsidRPr="00335F46"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52662E" w:rsidRPr="00335F46" w:rsidTr="0052662E">
        <w:trPr>
          <w:trHeight w:val="260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C90FF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Continue steps 2-4 above to assign assays/profiles to all racks loaded.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C90FF7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548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When finished, close the sample chamber door and the ‘Sample Loading’ window will automatically close and accept the assigned assays/profiles.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288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The profile buttons will have a green indicator as soon as the rack is inserted.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E95" w:rsidRPr="00335F46" w:rsidTr="0073698B">
        <w:trPr>
          <w:trHeight w:val="341"/>
        </w:trPr>
        <w:tc>
          <w:tcPr>
            <w:tcW w:w="5000" w:type="pct"/>
            <w:gridSpan w:val="5"/>
            <w:vAlign w:val="center"/>
          </w:tcPr>
          <w:p w:rsidR="00C61E95" w:rsidRPr="00335F46" w:rsidRDefault="00C61E95" w:rsidP="00013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Starting a Test Run</w:t>
            </w:r>
          </w:p>
        </w:tc>
      </w:tr>
      <w:tr w:rsidR="0052662E" w:rsidRPr="00335F46" w:rsidTr="0052662E">
        <w:trPr>
          <w:trHeight w:val="1008"/>
        </w:trPr>
        <w:tc>
          <w:tcPr>
            <w:tcW w:w="342" w:type="pct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After plates, samples and reagents have been loaded and the appropriate tests have been ordered, touch the ‘Start’ button in the Main Menu. 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Confirm the correct number of tests have been ordered by comparing the sample number to the “demands ready to process” number. 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The system checks to ensure that all reagents and resources are loaded on the analyzer.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The maximum number of samples which can be started at one time is limited to 120.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52662E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386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‘OK’ button when the system check indicates that the instrument can be started.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</w:p>
        </w:tc>
      </w:tr>
      <w:tr w:rsidR="0052662E" w:rsidRPr="00335F46" w:rsidTr="0052662E">
        <w:trPr>
          <w:trHeight w:val="2448"/>
        </w:trPr>
        <w:tc>
          <w:tcPr>
            <w:tcW w:w="342" w:type="pct"/>
          </w:tcPr>
          <w:p w:rsidR="0052662E" w:rsidRPr="00335F46" w:rsidRDefault="0052662E" w:rsidP="00E46C57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2" w:type="pct"/>
            <w:gridSpan w:val="3"/>
            <w:vAlign w:val="center"/>
          </w:tcPr>
          <w:p w:rsidR="0052662E" w:rsidRPr="00335F46" w:rsidRDefault="0052662E" w:rsidP="00AC4B30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If the ‘Start’ dialog indicates that not all necessary reagents are on the TANGO and the run cannot be started, touch ‘Cancel’ and load the missing reagents/resources.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After loading missing reagents/resources, touch ‘Start’ from the Main Menu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 xml:space="preserve">An active ‘ok’ button can also be selected before missing </w:t>
            </w:r>
            <w:r w:rsidR="00002EBB">
              <w:rPr>
                <w:rFonts w:ascii="Arial" w:hAnsi="Arial" w:cs="Arial"/>
                <w:sz w:val="22"/>
                <w:szCs w:val="22"/>
              </w:rPr>
              <w:t xml:space="preserve">reagents/resources are loaded. </w:t>
            </w:r>
            <w:r w:rsidRPr="00335F46">
              <w:rPr>
                <w:rFonts w:ascii="Arial" w:hAnsi="Arial" w:cs="Arial"/>
                <w:sz w:val="22"/>
                <w:szCs w:val="22"/>
              </w:rPr>
              <w:t>The TANGO will complete testing for wh</w:t>
            </w:r>
            <w:r w:rsidR="00002EBB">
              <w:rPr>
                <w:rFonts w:ascii="Arial" w:hAnsi="Arial" w:cs="Arial"/>
                <w:sz w:val="22"/>
                <w:szCs w:val="22"/>
              </w:rPr>
              <w:t>ich the reagents are available.</w:t>
            </w:r>
            <w:r w:rsidRPr="00335F46">
              <w:rPr>
                <w:rFonts w:ascii="Arial" w:hAnsi="Arial" w:cs="Arial"/>
                <w:sz w:val="22"/>
                <w:szCs w:val="22"/>
              </w:rPr>
              <w:t xml:space="preserve"> When testing is completed, additional reagents can be loaded and ‘Start’ touched again to complete the previously ordered tests.</w:t>
            </w:r>
          </w:p>
          <w:p w:rsidR="00F745A5" w:rsidRPr="00002EBB" w:rsidRDefault="00002EBB" w:rsidP="00002E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</w:t>
            </w:r>
            <w:r w:rsidR="0052662E" w:rsidRPr="00335F46">
              <w:rPr>
                <w:rFonts w:ascii="Arial" w:hAnsi="Arial" w:cs="Arial"/>
                <w:sz w:val="22"/>
                <w:szCs w:val="22"/>
              </w:rPr>
              <w:t xml:space="preserve"> If plates are mis</w:t>
            </w:r>
            <w:r w:rsidR="007A7E77">
              <w:rPr>
                <w:rFonts w:ascii="Arial" w:hAnsi="Arial" w:cs="Arial"/>
                <w:sz w:val="22"/>
                <w:szCs w:val="22"/>
              </w:rPr>
              <w:t xml:space="preserve">sing, ‘OK’ cannot be selected. </w:t>
            </w:r>
            <w:r w:rsidR="0052662E" w:rsidRPr="00335F46">
              <w:rPr>
                <w:rFonts w:ascii="Arial" w:hAnsi="Arial" w:cs="Arial"/>
                <w:sz w:val="22"/>
                <w:szCs w:val="22"/>
              </w:rPr>
              <w:t>Touch ‘Cancel’ and load missing plates.</w:t>
            </w:r>
          </w:p>
        </w:tc>
        <w:tc>
          <w:tcPr>
            <w:tcW w:w="726" w:type="pct"/>
            <w:vAlign w:val="center"/>
          </w:tcPr>
          <w:p w:rsidR="0052662E" w:rsidRPr="00335F46" w:rsidRDefault="0073698B" w:rsidP="00562F76">
            <w:pPr>
              <w:rPr>
                <w:rFonts w:ascii="Arial" w:hAnsi="Arial" w:cs="Arial"/>
                <w:sz w:val="22"/>
              </w:rPr>
            </w:pPr>
            <w:r w:rsidRPr="00335F46">
              <w:rPr>
                <w:rFonts w:ascii="Arial" w:hAnsi="Arial" w:cs="Arial"/>
                <w:sz w:val="22"/>
              </w:rPr>
              <w:t>T</w:t>
            </w:r>
            <w:r w:rsidR="00E509AA" w:rsidRPr="00335F46">
              <w:rPr>
                <w:rFonts w:ascii="Arial" w:hAnsi="Arial" w:cs="Arial"/>
                <w:sz w:val="22"/>
              </w:rPr>
              <w:t>ANGO Infinity:</w:t>
            </w:r>
            <w:r w:rsidRPr="00335F46">
              <w:rPr>
                <w:rFonts w:ascii="Arial" w:hAnsi="Arial" w:cs="Arial"/>
                <w:sz w:val="22"/>
              </w:rPr>
              <w:t xml:space="preserve"> Liquid Reagents</w:t>
            </w:r>
          </w:p>
          <w:p w:rsidR="0073698B" w:rsidRPr="00335F46" w:rsidRDefault="0073698B" w:rsidP="00562F76">
            <w:pPr>
              <w:rPr>
                <w:rFonts w:ascii="Arial" w:hAnsi="Arial" w:cs="Arial"/>
                <w:sz w:val="20"/>
              </w:rPr>
            </w:pPr>
          </w:p>
          <w:p w:rsidR="00F745A5" w:rsidRPr="00335F46" w:rsidRDefault="00E509AA" w:rsidP="000F0D69">
            <w:pPr>
              <w:rPr>
                <w:rFonts w:ascii="Arial" w:hAnsi="Arial" w:cs="Arial"/>
              </w:rPr>
            </w:pPr>
            <w:r w:rsidRPr="00335F46">
              <w:rPr>
                <w:rFonts w:ascii="Arial" w:hAnsi="Arial" w:cs="Arial"/>
                <w:sz w:val="22"/>
              </w:rPr>
              <w:t>TANGO Infinity:</w:t>
            </w:r>
            <w:r w:rsidR="0073698B" w:rsidRPr="00335F46">
              <w:rPr>
                <w:rFonts w:ascii="Arial" w:hAnsi="Arial" w:cs="Arial"/>
                <w:sz w:val="22"/>
              </w:rPr>
              <w:t xml:space="preserve"> Plate Preparation, Loading, and Unloading</w:t>
            </w:r>
          </w:p>
        </w:tc>
      </w:tr>
      <w:tr w:rsidR="00D54145" w:rsidRPr="00335F46" w:rsidTr="0073698B">
        <w:trPr>
          <w:trHeight w:val="323"/>
        </w:trPr>
        <w:tc>
          <w:tcPr>
            <w:tcW w:w="5000" w:type="pct"/>
            <w:gridSpan w:val="5"/>
            <w:vAlign w:val="center"/>
          </w:tcPr>
          <w:p w:rsidR="00D54145" w:rsidRPr="00335F46" w:rsidRDefault="00D54145" w:rsidP="004E06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5F46">
              <w:rPr>
                <w:rFonts w:ascii="Arial" w:hAnsi="Arial" w:cs="Arial"/>
                <w:b/>
                <w:sz w:val="22"/>
                <w:szCs w:val="22"/>
              </w:rPr>
              <w:t>Upgrading loaded samples to STAT while instrument is running</w:t>
            </w:r>
          </w:p>
        </w:tc>
      </w:tr>
      <w:tr w:rsidR="0052662E" w:rsidRPr="00335F46" w:rsidTr="0052662E">
        <w:trPr>
          <w:trHeight w:val="512"/>
        </w:trPr>
        <w:tc>
          <w:tcPr>
            <w:tcW w:w="385" w:type="pct"/>
            <w:gridSpan w:val="2"/>
          </w:tcPr>
          <w:p w:rsidR="0052662E" w:rsidRPr="00335F46" w:rsidRDefault="0052662E" w:rsidP="00E46C57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89" w:type="pct"/>
            <w:gridSpan w:val="2"/>
            <w:vAlign w:val="center"/>
          </w:tcPr>
          <w:p w:rsidR="0052662E" w:rsidRPr="00335F46" w:rsidRDefault="0052662E" w:rsidP="00D54145">
            <w:p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‘Samples’ button in the Main Menu to open the ‘Sample Loading’ dialog.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‘Rack’ button to select the desired rack on the screen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Select the desired sample by placing a cursor into the corresponding ‘Sample ID’ field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‘STAT’ button. A red colored dot identifies STAT samples in the Daily Journal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‘OK’ to close the dialog and save changes</w:t>
            </w:r>
          </w:p>
          <w:p w:rsidR="0052662E" w:rsidRPr="00335F46" w:rsidRDefault="0052662E" w:rsidP="008832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35F46">
              <w:rPr>
                <w:rFonts w:ascii="Arial" w:hAnsi="Arial" w:cs="Arial"/>
                <w:sz w:val="22"/>
                <w:szCs w:val="22"/>
              </w:rPr>
              <w:t>Touch the ‘Start’ button in the Main Menu</w:t>
            </w:r>
          </w:p>
        </w:tc>
        <w:tc>
          <w:tcPr>
            <w:tcW w:w="726" w:type="pct"/>
            <w:vAlign w:val="center"/>
          </w:tcPr>
          <w:p w:rsidR="0052662E" w:rsidRPr="00335F46" w:rsidRDefault="0052662E" w:rsidP="00526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39E2" w:rsidRPr="00335F46" w:rsidRDefault="00F039E2" w:rsidP="002A51E5">
      <w:pPr>
        <w:ind w:hanging="360"/>
        <w:rPr>
          <w:rFonts w:ascii="Arial" w:hAnsi="Arial" w:cs="Arial"/>
          <w:b/>
          <w:sz w:val="22"/>
          <w:szCs w:val="22"/>
        </w:rPr>
      </w:pPr>
    </w:p>
    <w:p w:rsidR="00F039E2" w:rsidRPr="00335F46" w:rsidRDefault="00F039E2" w:rsidP="002A51E5">
      <w:pPr>
        <w:ind w:hanging="360"/>
        <w:rPr>
          <w:rFonts w:ascii="Arial" w:hAnsi="Arial" w:cs="Arial"/>
          <w:b/>
          <w:sz w:val="22"/>
          <w:szCs w:val="22"/>
        </w:rPr>
      </w:pPr>
    </w:p>
    <w:p w:rsidR="00562F76" w:rsidRPr="00335F46" w:rsidRDefault="002A51E5" w:rsidP="00562F76">
      <w:pPr>
        <w:ind w:hanging="360"/>
        <w:rPr>
          <w:rFonts w:ascii="Arial" w:hAnsi="Arial" w:cs="Arial"/>
          <w:b/>
          <w:sz w:val="22"/>
          <w:szCs w:val="22"/>
        </w:rPr>
      </w:pPr>
      <w:r w:rsidRPr="00335F46">
        <w:rPr>
          <w:rFonts w:ascii="Arial" w:hAnsi="Arial" w:cs="Arial"/>
          <w:b/>
          <w:sz w:val="22"/>
          <w:szCs w:val="22"/>
        </w:rPr>
        <w:t>Referenced Documents:</w:t>
      </w:r>
    </w:p>
    <w:p w:rsidR="002A51E5" w:rsidRDefault="00E509AA" w:rsidP="00002EBB">
      <w:pPr>
        <w:ind w:hanging="360"/>
        <w:rPr>
          <w:rFonts w:ascii="Arial" w:hAnsi="Arial" w:cs="Arial"/>
          <w:sz w:val="22"/>
          <w:szCs w:val="22"/>
        </w:rPr>
      </w:pPr>
      <w:r w:rsidRPr="00335F46">
        <w:rPr>
          <w:rFonts w:ascii="Arial" w:hAnsi="Arial" w:cs="Arial"/>
          <w:sz w:val="22"/>
          <w:szCs w:val="22"/>
        </w:rPr>
        <w:t>Tango I</w:t>
      </w:r>
      <w:r w:rsidR="00562F76" w:rsidRPr="00335F46">
        <w:rPr>
          <w:rFonts w:ascii="Arial" w:hAnsi="Arial" w:cs="Arial"/>
          <w:sz w:val="22"/>
          <w:szCs w:val="22"/>
        </w:rPr>
        <w:t>nfinity</w:t>
      </w:r>
      <w:r w:rsidR="002A51E5" w:rsidRPr="00335F46">
        <w:rPr>
          <w:rFonts w:ascii="Arial" w:hAnsi="Arial" w:cs="Arial"/>
          <w:sz w:val="22"/>
          <w:szCs w:val="22"/>
        </w:rPr>
        <w:t xml:space="preserve"> User</w:t>
      </w:r>
      <w:r w:rsidR="00562F76" w:rsidRPr="00335F46">
        <w:rPr>
          <w:rFonts w:ascii="Arial" w:hAnsi="Arial" w:cs="Arial"/>
          <w:sz w:val="22"/>
          <w:szCs w:val="22"/>
        </w:rPr>
        <w:t xml:space="preserve"> Manual, Version 1.</w:t>
      </w:r>
      <w:r w:rsidR="00002EBB">
        <w:rPr>
          <w:rFonts w:ascii="Arial" w:hAnsi="Arial" w:cs="Arial"/>
          <w:sz w:val="22"/>
          <w:szCs w:val="22"/>
          <w:highlight w:val="yellow"/>
        </w:rPr>
        <w:t>6.</w:t>
      </w:r>
      <w:r w:rsidR="00002EBB" w:rsidRPr="00002EBB">
        <w:rPr>
          <w:rFonts w:ascii="Arial" w:hAnsi="Arial" w:cs="Arial"/>
          <w:sz w:val="22"/>
          <w:szCs w:val="22"/>
          <w:highlight w:val="yellow"/>
        </w:rPr>
        <w:t>3</w:t>
      </w:r>
    </w:p>
    <w:sectPr w:rsidR="002A51E5" w:rsidSect="0043699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99" w:rsidRDefault="00436999" w:rsidP="00436999">
      <w:r>
        <w:separator/>
      </w:r>
    </w:p>
  </w:endnote>
  <w:endnote w:type="continuationSeparator" w:id="0">
    <w:p w:rsidR="00436999" w:rsidRDefault="00436999" w:rsidP="0043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94" w:rsidRPr="00E46C57" w:rsidRDefault="00524394" w:rsidP="00524394">
    <w:pPr>
      <w:pStyle w:val="Footer"/>
      <w:ind w:hanging="360"/>
      <w:rPr>
        <w:rFonts w:ascii="Arial" w:hAnsi="Arial" w:cs="Arial"/>
        <w:sz w:val="22"/>
        <w:szCs w:val="20"/>
      </w:rPr>
    </w:pPr>
    <w:r w:rsidRPr="00E46C57">
      <w:rPr>
        <w:rFonts w:ascii="Arial" w:hAnsi="Arial" w:cs="Arial"/>
        <w:sz w:val="22"/>
        <w:szCs w:val="20"/>
      </w:rPr>
      <w:t xml:space="preserve">Transfusion Services Laboratory </w:t>
    </w:r>
    <w:r w:rsidRPr="00E46C57">
      <w:rPr>
        <w:rFonts w:ascii="Arial" w:hAnsi="Arial" w:cs="Arial"/>
        <w:sz w:val="22"/>
        <w:szCs w:val="20"/>
      </w:rPr>
      <w:tab/>
    </w:r>
    <w:r w:rsidRPr="00E46C57">
      <w:rPr>
        <w:rFonts w:ascii="Arial" w:hAnsi="Arial" w:cs="Arial"/>
        <w:sz w:val="22"/>
        <w:szCs w:val="20"/>
      </w:rPr>
      <w:tab/>
      <w:t xml:space="preserve"> Page </w:t>
    </w:r>
    <w:r w:rsidRPr="00E46C57">
      <w:rPr>
        <w:rFonts w:ascii="Arial" w:hAnsi="Arial" w:cs="Arial"/>
        <w:sz w:val="22"/>
        <w:szCs w:val="20"/>
      </w:rPr>
      <w:fldChar w:fldCharType="begin"/>
    </w:r>
    <w:r w:rsidRPr="00E46C57">
      <w:rPr>
        <w:rFonts w:ascii="Arial" w:hAnsi="Arial" w:cs="Arial"/>
        <w:sz w:val="22"/>
        <w:szCs w:val="20"/>
      </w:rPr>
      <w:instrText xml:space="preserve"> PAGE </w:instrText>
    </w:r>
    <w:r w:rsidRPr="00E46C57">
      <w:rPr>
        <w:rFonts w:ascii="Arial" w:hAnsi="Arial" w:cs="Arial"/>
        <w:sz w:val="22"/>
        <w:szCs w:val="20"/>
      </w:rPr>
      <w:fldChar w:fldCharType="separate"/>
    </w:r>
    <w:r w:rsidR="00B52AB3">
      <w:rPr>
        <w:rFonts w:ascii="Arial" w:hAnsi="Arial" w:cs="Arial"/>
        <w:noProof/>
        <w:sz w:val="22"/>
        <w:szCs w:val="20"/>
      </w:rPr>
      <w:t>2</w:t>
    </w:r>
    <w:r w:rsidRPr="00E46C57">
      <w:rPr>
        <w:rFonts w:ascii="Arial" w:hAnsi="Arial" w:cs="Arial"/>
        <w:sz w:val="22"/>
        <w:szCs w:val="20"/>
      </w:rPr>
      <w:fldChar w:fldCharType="end"/>
    </w:r>
    <w:r w:rsidRPr="00E46C57">
      <w:rPr>
        <w:rFonts w:ascii="Arial" w:hAnsi="Arial" w:cs="Arial"/>
        <w:sz w:val="22"/>
        <w:szCs w:val="20"/>
      </w:rPr>
      <w:t xml:space="preserve"> of </w:t>
    </w:r>
    <w:r w:rsidRPr="00E46C57">
      <w:rPr>
        <w:rFonts w:ascii="Arial" w:hAnsi="Arial" w:cs="Arial"/>
        <w:sz w:val="22"/>
        <w:szCs w:val="20"/>
      </w:rPr>
      <w:fldChar w:fldCharType="begin"/>
    </w:r>
    <w:r w:rsidRPr="00E46C57">
      <w:rPr>
        <w:rFonts w:ascii="Arial" w:hAnsi="Arial" w:cs="Arial"/>
        <w:sz w:val="22"/>
        <w:szCs w:val="20"/>
      </w:rPr>
      <w:instrText xml:space="preserve"> NUMPAGES </w:instrText>
    </w:r>
    <w:r w:rsidRPr="00E46C57">
      <w:rPr>
        <w:rFonts w:ascii="Arial" w:hAnsi="Arial" w:cs="Arial"/>
        <w:sz w:val="22"/>
        <w:szCs w:val="20"/>
      </w:rPr>
      <w:fldChar w:fldCharType="separate"/>
    </w:r>
    <w:r w:rsidR="00B52AB3">
      <w:rPr>
        <w:rFonts w:ascii="Arial" w:hAnsi="Arial" w:cs="Arial"/>
        <w:noProof/>
        <w:sz w:val="22"/>
        <w:szCs w:val="20"/>
      </w:rPr>
      <w:t>3</w:t>
    </w:r>
    <w:r w:rsidRPr="00E46C57">
      <w:rPr>
        <w:rFonts w:ascii="Arial" w:hAnsi="Arial" w:cs="Arial"/>
        <w:sz w:val="22"/>
        <w:szCs w:val="20"/>
      </w:rPr>
      <w:fldChar w:fldCharType="end"/>
    </w:r>
  </w:p>
  <w:p w:rsidR="00F039E2" w:rsidRPr="00E46C57" w:rsidRDefault="00524394" w:rsidP="00524394">
    <w:pPr>
      <w:pStyle w:val="Footer"/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E46C57">
          <w:rPr>
            <w:rFonts w:ascii="Arial" w:hAnsi="Arial" w:cs="Arial"/>
            <w:sz w:val="22"/>
            <w:szCs w:val="20"/>
          </w:rPr>
          <w:t>Harborview</w:t>
        </w:r>
      </w:smartTag>
      <w:r w:rsidRPr="00E46C57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Name">
        <w:r w:rsidRPr="00E46C57">
          <w:rPr>
            <w:rFonts w:ascii="Arial" w:hAnsi="Arial" w:cs="Arial"/>
            <w:sz w:val="22"/>
            <w:szCs w:val="20"/>
          </w:rPr>
          <w:t>Medical</w:t>
        </w:r>
      </w:smartTag>
      <w:r w:rsidRPr="00E46C57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laceType">
        <w:r w:rsidRPr="00E46C57">
          <w:rPr>
            <w:rFonts w:ascii="Arial" w:hAnsi="Arial" w:cs="Arial"/>
            <w:sz w:val="22"/>
            <w:szCs w:val="20"/>
          </w:rPr>
          <w:t>Center</w:t>
        </w:r>
      </w:smartTag>
    </w:smartTag>
    <w:r w:rsidRPr="00E46C57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Street">
      <w:r w:rsidRPr="00E46C57">
        <w:rPr>
          <w:rFonts w:ascii="Arial" w:hAnsi="Arial" w:cs="Arial"/>
          <w:sz w:val="22"/>
          <w:szCs w:val="20"/>
        </w:rPr>
        <w:t>325 Ninth Ave.</w:t>
      </w:r>
    </w:smartTag>
    <w:r w:rsidRPr="00E46C57">
      <w:rPr>
        <w:rFonts w:ascii="Arial" w:hAnsi="Arial" w:cs="Arial"/>
        <w:sz w:val="22"/>
        <w:szCs w:val="20"/>
      </w:rPr>
      <w:t xml:space="preserve"> Seattle, WA 98104</w:t>
    </w:r>
    <w:r w:rsidR="00F039E2" w:rsidRPr="00E46C57">
      <w:rPr>
        <w:rFonts w:ascii="Arial" w:hAnsi="Arial" w:cs="Arial"/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99" w:rsidRDefault="00436999" w:rsidP="00436999">
      <w:r>
        <w:separator/>
      </w:r>
    </w:p>
  </w:footnote>
  <w:footnote w:type="continuationSeparator" w:id="0">
    <w:p w:rsidR="00436999" w:rsidRDefault="00436999" w:rsidP="0043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99" w:rsidRPr="00D57540" w:rsidRDefault="00436999">
    <w:pPr>
      <w:pStyle w:val="Header"/>
      <w:rPr>
        <w:rFonts w:ascii="Arial" w:hAnsi="Arial" w:cs="Arial"/>
        <w:b/>
        <w:sz w:val="22"/>
        <w:szCs w:val="20"/>
      </w:rPr>
    </w:pPr>
    <w:r w:rsidRPr="00D57540">
      <w:rPr>
        <w:rFonts w:ascii="Arial" w:hAnsi="Arial" w:cs="Arial"/>
        <w:b/>
        <w:sz w:val="22"/>
        <w:szCs w:val="20"/>
      </w:rPr>
      <w:t xml:space="preserve">TANGO </w:t>
    </w:r>
    <w:r w:rsidR="00E509AA">
      <w:rPr>
        <w:rFonts w:ascii="Arial" w:hAnsi="Arial" w:cs="Arial"/>
        <w:b/>
        <w:sz w:val="22"/>
        <w:szCs w:val="20"/>
      </w:rPr>
      <w:t xml:space="preserve">Infinity: </w:t>
    </w:r>
    <w:r w:rsidR="00524394" w:rsidRPr="00D57540">
      <w:rPr>
        <w:rFonts w:ascii="Arial" w:hAnsi="Arial" w:cs="Arial"/>
        <w:b/>
        <w:sz w:val="22"/>
        <w:szCs w:val="20"/>
      </w:rPr>
      <w:t>Initializing Test Runs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99" w:rsidRDefault="00436999" w:rsidP="00436999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95AAC4C" wp14:editId="2690D82C">
          <wp:extent cx="6483350" cy="683895"/>
          <wp:effectExtent l="0" t="0" r="0" b="1905"/>
          <wp:docPr id="3" name="Picture 3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  <w:p w:rsidR="00436999" w:rsidRDefault="00436999" w:rsidP="00436999">
    <w:pPr>
      <w:jc w:val="both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436999" w:rsidTr="007D508E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7440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7440C7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440C7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7440C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7440C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36999" w:rsidRPr="007440C7" w:rsidRDefault="00436999" w:rsidP="007D508E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36999" w:rsidRPr="007440C7" w:rsidRDefault="00436999" w:rsidP="007D508E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436999" w:rsidRPr="007440C7" w:rsidRDefault="00436999" w:rsidP="007D508E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36999" w:rsidRPr="00381F8B" w:rsidRDefault="002B2A1C" w:rsidP="000F0D69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>5515-</w:t>
          </w:r>
          <w:r w:rsidR="000F0D69">
            <w:rPr>
              <w:rFonts w:ascii="Arial" w:hAnsi="Arial" w:cs="Arial"/>
              <w:b/>
              <w:sz w:val="22"/>
              <w:szCs w:val="20"/>
            </w:rPr>
            <w:t>4</w:t>
          </w:r>
        </w:p>
      </w:tc>
    </w:tr>
    <w:tr w:rsidR="00436999" w:rsidTr="007D508E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36999" w:rsidRPr="007440C7" w:rsidRDefault="00436999" w:rsidP="007D508E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36999" w:rsidRPr="007440C7" w:rsidRDefault="00436999" w:rsidP="007D508E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36999" w:rsidRPr="00E46C57" w:rsidRDefault="00B52AB3" w:rsidP="007D508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10/14/19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36999" w:rsidRPr="007440C7" w:rsidRDefault="00436999" w:rsidP="00D57540">
          <w:pPr>
            <w:tabs>
              <w:tab w:val="left" w:pos="1291"/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B52AB3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36999" w:rsidTr="007D508E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436999" w:rsidRPr="00E46C57" w:rsidRDefault="00436999" w:rsidP="00524394">
          <w:pPr>
            <w:rPr>
              <w:rFonts w:ascii="Arial" w:hAnsi="Arial" w:cs="Arial"/>
              <w:b/>
              <w:sz w:val="28"/>
              <w:szCs w:val="28"/>
            </w:rPr>
          </w:pPr>
          <w:r w:rsidRPr="00E46C57">
            <w:rPr>
              <w:rFonts w:ascii="Arial" w:hAnsi="Arial" w:cs="Arial"/>
              <w:b/>
              <w:sz w:val="28"/>
              <w:szCs w:val="28"/>
            </w:rPr>
            <w:t xml:space="preserve">TITLE:  TANGO </w:t>
          </w:r>
          <w:r w:rsidR="00E509AA">
            <w:rPr>
              <w:rFonts w:ascii="Arial" w:hAnsi="Arial" w:cs="Arial"/>
              <w:b/>
              <w:sz w:val="28"/>
              <w:szCs w:val="28"/>
            </w:rPr>
            <w:t xml:space="preserve">Infinity: </w:t>
          </w:r>
          <w:r w:rsidR="00524394" w:rsidRPr="00360ED7">
            <w:rPr>
              <w:rFonts w:ascii="Arial" w:hAnsi="Arial" w:cs="Arial"/>
              <w:b/>
              <w:sz w:val="28"/>
              <w:szCs w:val="28"/>
            </w:rPr>
            <w:t>Initializing Test Runs</w:t>
          </w:r>
        </w:p>
      </w:tc>
    </w:tr>
  </w:tbl>
  <w:p w:rsidR="00436999" w:rsidRDefault="00436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7A"/>
    <w:multiLevelType w:val="hybridMultilevel"/>
    <w:tmpl w:val="AFC6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D7B68"/>
    <w:multiLevelType w:val="hybridMultilevel"/>
    <w:tmpl w:val="16C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51660"/>
    <w:multiLevelType w:val="hybridMultilevel"/>
    <w:tmpl w:val="60C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2B53"/>
    <w:multiLevelType w:val="hybridMultilevel"/>
    <w:tmpl w:val="DA1C19C8"/>
    <w:lvl w:ilvl="0" w:tplc="0409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">
    <w:nsid w:val="3D523E61"/>
    <w:multiLevelType w:val="hybridMultilevel"/>
    <w:tmpl w:val="97947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35F03"/>
    <w:multiLevelType w:val="hybridMultilevel"/>
    <w:tmpl w:val="80D8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533BD"/>
    <w:multiLevelType w:val="hybridMultilevel"/>
    <w:tmpl w:val="49F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0268F"/>
    <w:multiLevelType w:val="hybridMultilevel"/>
    <w:tmpl w:val="748A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328A"/>
    <w:multiLevelType w:val="hybridMultilevel"/>
    <w:tmpl w:val="4D7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1ACD"/>
    <w:multiLevelType w:val="hybridMultilevel"/>
    <w:tmpl w:val="45A2E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6FDE56A2"/>
    <w:multiLevelType w:val="hybridMultilevel"/>
    <w:tmpl w:val="78C0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E5"/>
    <w:rsid w:val="00002EBB"/>
    <w:rsid w:val="0001386A"/>
    <w:rsid w:val="00056EDC"/>
    <w:rsid w:val="000661C2"/>
    <w:rsid w:val="000762F6"/>
    <w:rsid w:val="00077719"/>
    <w:rsid w:val="00081A0D"/>
    <w:rsid w:val="0008723B"/>
    <w:rsid w:val="000930E6"/>
    <w:rsid w:val="000B60D7"/>
    <w:rsid w:val="000F0D69"/>
    <w:rsid w:val="00120E84"/>
    <w:rsid w:val="001919E1"/>
    <w:rsid w:val="002119D5"/>
    <w:rsid w:val="002157EF"/>
    <w:rsid w:val="002439D8"/>
    <w:rsid w:val="00244B74"/>
    <w:rsid w:val="002A51E5"/>
    <w:rsid w:val="002B2A1C"/>
    <w:rsid w:val="00335F46"/>
    <w:rsid w:val="00360ED7"/>
    <w:rsid w:val="00373A33"/>
    <w:rsid w:val="00436999"/>
    <w:rsid w:val="004B3075"/>
    <w:rsid w:val="004F1E03"/>
    <w:rsid w:val="00524394"/>
    <w:rsid w:val="0052662E"/>
    <w:rsid w:val="00535FB5"/>
    <w:rsid w:val="00537163"/>
    <w:rsid w:val="005436F4"/>
    <w:rsid w:val="00547344"/>
    <w:rsid w:val="00556D7C"/>
    <w:rsid w:val="00562F76"/>
    <w:rsid w:val="005A3DB3"/>
    <w:rsid w:val="005A4CB9"/>
    <w:rsid w:val="005D6E5E"/>
    <w:rsid w:val="00620E25"/>
    <w:rsid w:val="00625799"/>
    <w:rsid w:val="006818DE"/>
    <w:rsid w:val="006E0845"/>
    <w:rsid w:val="006E289C"/>
    <w:rsid w:val="0073698B"/>
    <w:rsid w:val="007728E2"/>
    <w:rsid w:val="007A7E77"/>
    <w:rsid w:val="007D162F"/>
    <w:rsid w:val="007E657A"/>
    <w:rsid w:val="00800A04"/>
    <w:rsid w:val="00817456"/>
    <w:rsid w:val="00857634"/>
    <w:rsid w:val="00876C9E"/>
    <w:rsid w:val="008832CB"/>
    <w:rsid w:val="008A2D1F"/>
    <w:rsid w:val="008B16A3"/>
    <w:rsid w:val="008B30D3"/>
    <w:rsid w:val="00932729"/>
    <w:rsid w:val="00954BCD"/>
    <w:rsid w:val="00960FF9"/>
    <w:rsid w:val="009619E3"/>
    <w:rsid w:val="00961F83"/>
    <w:rsid w:val="0096301F"/>
    <w:rsid w:val="009C4237"/>
    <w:rsid w:val="009D08B6"/>
    <w:rsid w:val="009F11E7"/>
    <w:rsid w:val="00A33BB0"/>
    <w:rsid w:val="00A629B9"/>
    <w:rsid w:val="00A70208"/>
    <w:rsid w:val="00B0365C"/>
    <w:rsid w:val="00B166DD"/>
    <w:rsid w:val="00B52AB3"/>
    <w:rsid w:val="00B6423C"/>
    <w:rsid w:val="00B83D88"/>
    <w:rsid w:val="00BA147B"/>
    <w:rsid w:val="00BE21B0"/>
    <w:rsid w:val="00BF0B68"/>
    <w:rsid w:val="00C457EA"/>
    <w:rsid w:val="00C61E95"/>
    <w:rsid w:val="00C90FF7"/>
    <w:rsid w:val="00CB5F18"/>
    <w:rsid w:val="00CE19F5"/>
    <w:rsid w:val="00D22171"/>
    <w:rsid w:val="00D54145"/>
    <w:rsid w:val="00D57540"/>
    <w:rsid w:val="00DB36EB"/>
    <w:rsid w:val="00DF0384"/>
    <w:rsid w:val="00DF5EAD"/>
    <w:rsid w:val="00E359DE"/>
    <w:rsid w:val="00E46C57"/>
    <w:rsid w:val="00E509AA"/>
    <w:rsid w:val="00EF41D2"/>
    <w:rsid w:val="00F039E2"/>
    <w:rsid w:val="00F03B1E"/>
    <w:rsid w:val="00F60F61"/>
    <w:rsid w:val="00F745A5"/>
    <w:rsid w:val="00F86DC9"/>
    <w:rsid w:val="00F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A5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A5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pts.washington.edu/labweb/index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Erin Tuott</cp:lastModifiedBy>
  <cp:revision>11</cp:revision>
  <cp:lastPrinted>2019-09-04T20:38:00Z</cp:lastPrinted>
  <dcterms:created xsi:type="dcterms:W3CDTF">2019-08-02T14:53:00Z</dcterms:created>
  <dcterms:modified xsi:type="dcterms:W3CDTF">2019-10-04T14:43:00Z</dcterms:modified>
</cp:coreProperties>
</file>