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0F582E">
        <w:rPr>
          <w:rFonts w:ascii="Arial" w:hAnsi="Arial" w:cs="Arial"/>
          <w:b/>
          <w:sz w:val="22"/>
          <w:szCs w:val="22"/>
        </w:rPr>
        <w:t>Purpose</w:t>
      </w:r>
    </w:p>
    <w:p w:rsidR="00B20146" w:rsidRDefault="00B20146" w:rsidP="00B20146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E820BA">
        <w:rPr>
          <w:rFonts w:ascii="Arial" w:hAnsi="Arial" w:cs="Arial"/>
          <w:sz w:val="22"/>
          <w:szCs w:val="22"/>
        </w:rPr>
        <w:t xml:space="preserve">process </w:t>
      </w:r>
      <w:r>
        <w:rPr>
          <w:rFonts w:ascii="Arial" w:hAnsi="Arial" w:cs="Arial"/>
          <w:sz w:val="22"/>
          <w:szCs w:val="22"/>
        </w:rPr>
        <w:t xml:space="preserve">provides </w:t>
      </w:r>
      <w:r w:rsidR="00E820BA">
        <w:rPr>
          <w:rFonts w:ascii="Arial" w:hAnsi="Arial" w:cs="Arial"/>
          <w:sz w:val="22"/>
          <w:szCs w:val="22"/>
        </w:rPr>
        <w:t xml:space="preserve">description of </w:t>
      </w:r>
      <w:r>
        <w:rPr>
          <w:rFonts w:ascii="Arial" w:hAnsi="Arial" w:cs="Arial"/>
          <w:sz w:val="22"/>
          <w:szCs w:val="22"/>
        </w:rPr>
        <w:t xml:space="preserve">the processes in place to effectively manage the Transfusion Services </w:t>
      </w:r>
      <w:r w:rsidR="00E820BA">
        <w:rPr>
          <w:rFonts w:ascii="Arial" w:hAnsi="Arial" w:cs="Arial"/>
          <w:sz w:val="22"/>
          <w:szCs w:val="22"/>
        </w:rPr>
        <w:t>training assignments and documentation of training</w:t>
      </w:r>
      <w:r>
        <w:rPr>
          <w:rFonts w:ascii="Arial" w:hAnsi="Arial" w:cs="Arial"/>
          <w:sz w:val="22"/>
          <w:szCs w:val="22"/>
        </w:rPr>
        <w:t>.</w:t>
      </w:r>
    </w:p>
    <w:p w:rsidR="00B20146" w:rsidRDefault="00B20146" w:rsidP="00B20146">
      <w:pPr>
        <w:ind w:left="-180"/>
        <w:rPr>
          <w:rFonts w:ascii="Arial" w:hAnsi="Arial" w:cs="Arial"/>
          <w:b/>
          <w:sz w:val="22"/>
          <w:szCs w:val="22"/>
        </w:rPr>
      </w:pPr>
    </w:p>
    <w:p w:rsidR="003B3BCF" w:rsidRDefault="000F582E" w:rsidP="00B20146">
      <w:pPr>
        <w:ind w:left="-180"/>
        <w:rPr>
          <w:rFonts w:ascii="Arial" w:hAnsi="Arial" w:cs="Arial"/>
          <w:b/>
          <w:sz w:val="22"/>
          <w:szCs w:val="22"/>
        </w:rPr>
      </w:pPr>
      <w:r w:rsidRPr="000F582E">
        <w:rPr>
          <w:rFonts w:ascii="Arial" w:hAnsi="Arial" w:cs="Arial"/>
          <w:b/>
          <w:sz w:val="22"/>
          <w:szCs w:val="22"/>
        </w:rPr>
        <w:t>Policy</w:t>
      </w:r>
    </w:p>
    <w:p w:rsidR="000F582E" w:rsidRDefault="000F582E" w:rsidP="00B20146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HMC Transfusion Service </w:t>
      </w:r>
      <w:r w:rsidR="00E820BA">
        <w:rPr>
          <w:rFonts w:ascii="Arial" w:hAnsi="Arial" w:cs="Arial"/>
          <w:sz w:val="22"/>
          <w:szCs w:val="22"/>
        </w:rPr>
        <w:t>Manager</w:t>
      </w:r>
      <w:r>
        <w:rPr>
          <w:rFonts w:ascii="Arial" w:hAnsi="Arial" w:cs="Arial"/>
          <w:sz w:val="22"/>
          <w:szCs w:val="22"/>
        </w:rPr>
        <w:t xml:space="preserve"> </w:t>
      </w:r>
      <w:r w:rsidR="00E820BA">
        <w:rPr>
          <w:rFonts w:ascii="Arial" w:hAnsi="Arial" w:cs="Arial"/>
          <w:sz w:val="22"/>
          <w:szCs w:val="22"/>
        </w:rPr>
        <w:t>assigns</w:t>
      </w:r>
      <w:r>
        <w:rPr>
          <w:rFonts w:ascii="Arial" w:hAnsi="Arial" w:cs="Arial"/>
          <w:sz w:val="22"/>
          <w:szCs w:val="22"/>
        </w:rPr>
        <w:t xml:space="preserve"> adequate resources to perform, verify, and manage all </w:t>
      </w:r>
      <w:r w:rsidR="00E820BA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activities</w:t>
      </w:r>
      <w:r w:rsidR="00E820BA">
        <w:rPr>
          <w:rFonts w:ascii="Arial" w:hAnsi="Arial" w:cs="Arial"/>
          <w:sz w:val="22"/>
          <w:szCs w:val="22"/>
        </w:rPr>
        <w:t xml:space="preserve"> and competency performance</w:t>
      </w:r>
      <w:r>
        <w:rPr>
          <w:rFonts w:ascii="Arial" w:hAnsi="Arial" w:cs="Arial"/>
          <w:sz w:val="22"/>
          <w:szCs w:val="22"/>
        </w:rPr>
        <w:t xml:space="preserve"> in the Transfusion Service.  Where necessary, the Transfusion Service collaborates with the Laborat</w:t>
      </w:r>
      <w:r w:rsidR="001128EB">
        <w:rPr>
          <w:rFonts w:ascii="Arial" w:hAnsi="Arial" w:cs="Arial"/>
          <w:sz w:val="22"/>
          <w:szCs w:val="22"/>
        </w:rPr>
        <w:t xml:space="preserve">ory Medicine Department via </w:t>
      </w:r>
      <w:r w:rsidR="00E820BA">
        <w:rPr>
          <w:rFonts w:ascii="Arial" w:hAnsi="Arial" w:cs="Arial"/>
          <w:sz w:val="22"/>
          <w:szCs w:val="22"/>
        </w:rPr>
        <w:t>Laboratory Medicine Tra</w:t>
      </w:r>
      <w:r w:rsidR="001128EB">
        <w:rPr>
          <w:rFonts w:ascii="Arial" w:hAnsi="Arial" w:cs="Arial"/>
          <w:sz w:val="22"/>
          <w:szCs w:val="22"/>
        </w:rPr>
        <w:t>ining Coordinator, and the UWMC system.</w:t>
      </w:r>
    </w:p>
    <w:p w:rsidR="000F582E" w:rsidRDefault="000F582E" w:rsidP="003B3BCF">
      <w:pPr>
        <w:rPr>
          <w:rFonts w:ascii="Arial" w:hAnsi="Arial" w:cs="Arial"/>
          <w:sz w:val="22"/>
          <w:szCs w:val="22"/>
        </w:rPr>
      </w:pPr>
    </w:p>
    <w:p w:rsidR="00B20146" w:rsidRDefault="00B20146" w:rsidP="003B3BCF">
      <w:pPr>
        <w:rPr>
          <w:rFonts w:ascii="Arial" w:hAnsi="Arial" w:cs="Arial"/>
          <w:sz w:val="22"/>
          <w:szCs w:val="22"/>
        </w:rPr>
      </w:pP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64"/>
      </w:tblGrid>
      <w:tr w:rsidR="000F582E" w:rsidRPr="000F582E" w:rsidTr="00A83443">
        <w:trPr>
          <w:trHeight w:val="3968"/>
        </w:trPr>
        <w:tc>
          <w:tcPr>
            <w:tcW w:w="1800" w:type="dxa"/>
          </w:tcPr>
          <w:p w:rsidR="000F582E" w:rsidRPr="000F582E" w:rsidRDefault="000F582E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582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8264" w:type="dxa"/>
            <w:vAlign w:val="center"/>
          </w:tcPr>
          <w:p w:rsidR="000F582E" w:rsidRPr="00B20146" w:rsidRDefault="000F582E" w:rsidP="00683FF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20146">
              <w:rPr>
                <w:rFonts w:ascii="Arial" w:hAnsi="Arial" w:cs="Arial"/>
                <w:sz w:val="22"/>
                <w:szCs w:val="22"/>
                <w:u w:val="single"/>
              </w:rPr>
              <w:t>The Transfusion Service Manager is responsible for:</w:t>
            </w:r>
          </w:p>
          <w:p w:rsidR="00E820BA" w:rsidRDefault="00E820BA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Assigning a Training Coordinator </w:t>
            </w:r>
          </w:p>
          <w:p w:rsidR="000F582E" w:rsidRPr="000F582E" w:rsidRDefault="000F582E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F582E">
              <w:rPr>
                <w:rFonts w:ascii="Arial" w:hAnsi="Arial" w:cs="Arial"/>
              </w:rPr>
              <w:t xml:space="preserve">Ensuring that </w:t>
            </w:r>
            <w:r w:rsidR="00E820BA">
              <w:rPr>
                <w:rFonts w:ascii="Arial" w:hAnsi="Arial" w:cs="Arial"/>
              </w:rPr>
              <w:t>trainers are vetted.</w:t>
            </w:r>
          </w:p>
          <w:p w:rsidR="000F582E" w:rsidRPr="000F582E" w:rsidRDefault="00E820BA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Assigning trainers for initial and subsequent training.</w:t>
            </w:r>
          </w:p>
          <w:p w:rsidR="000F582E" w:rsidRPr="000F582E" w:rsidRDefault="00E820BA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Reviewing training plans prior to training events.</w:t>
            </w:r>
          </w:p>
          <w:p w:rsidR="00E820BA" w:rsidRDefault="00E820BA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individuals for re-training, as indicated.</w:t>
            </w:r>
          </w:p>
          <w:p w:rsidR="00E820BA" w:rsidRDefault="00E820BA" w:rsidP="00E62C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the scope of training for process improvements.</w:t>
            </w:r>
          </w:p>
          <w:p w:rsidR="00E820BA" w:rsidRDefault="00E820BA" w:rsidP="00E820B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A83443" w:rsidRPr="00683FFB" w:rsidRDefault="00E820BA" w:rsidP="00683FF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83FFB">
              <w:rPr>
                <w:rFonts w:ascii="Arial" w:hAnsi="Arial" w:cs="Arial"/>
                <w:sz w:val="22"/>
                <w:szCs w:val="22"/>
                <w:u w:val="single"/>
              </w:rPr>
              <w:t>The Training Coordinator is responsible for:</w:t>
            </w:r>
          </w:p>
          <w:p w:rsidR="00E820BA" w:rsidRPr="00683FFB" w:rsidRDefault="00E820BA" w:rsidP="00E62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Performing the administrative duties requi</w:t>
            </w:r>
            <w:r w:rsidR="00D42930" w:rsidRPr="00683FFB">
              <w:rPr>
                <w:rFonts w:ascii="Arial" w:hAnsi="Arial" w:cs="Arial"/>
              </w:rPr>
              <w:t xml:space="preserve">red for </w:t>
            </w:r>
            <w:proofErr w:type="spellStart"/>
            <w:r w:rsidR="00D42930" w:rsidRPr="00683FFB">
              <w:rPr>
                <w:rFonts w:ascii="Arial" w:hAnsi="Arial" w:cs="Arial"/>
              </w:rPr>
              <w:t>Medtraining</w:t>
            </w:r>
            <w:proofErr w:type="spellEnd"/>
            <w:r w:rsidR="00D42930" w:rsidRPr="00683FFB">
              <w:rPr>
                <w:rFonts w:ascii="Arial" w:hAnsi="Arial" w:cs="Arial"/>
              </w:rPr>
              <w:t xml:space="preserve"> Systems</w:t>
            </w:r>
            <w:r w:rsidRPr="00683FFB">
              <w:rPr>
                <w:rFonts w:ascii="Arial" w:hAnsi="Arial" w:cs="Arial"/>
              </w:rPr>
              <w:t xml:space="preserve"> (MTS) documentation of SOP and Form sign off</w:t>
            </w:r>
          </w:p>
          <w:p w:rsidR="00E820BA" w:rsidRPr="00683FFB" w:rsidRDefault="00E820BA" w:rsidP="00E62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Training the trainers prior to identified training events</w:t>
            </w:r>
          </w:p>
          <w:p w:rsidR="00D42930" w:rsidRPr="00683FFB" w:rsidRDefault="00D42930" w:rsidP="00E62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 xml:space="preserve">Reviewing training documentation </w:t>
            </w:r>
          </w:p>
          <w:p w:rsidR="00E820BA" w:rsidRPr="00683FFB" w:rsidRDefault="00E820BA" w:rsidP="00E62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Performing semi-annual audits of MTS sign off records.</w:t>
            </w:r>
          </w:p>
          <w:p w:rsidR="00E820BA" w:rsidRPr="00683FFB" w:rsidRDefault="00E820BA" w:rsidP="00E62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Maintaining Training Records for each TSL employee.</w:t>
            </w:r>
          </w:p>
          <w:p w:rsidR="00706CF8" w:rsidRPr="00683FFB" w:rsidRDefault="00706CF8" w:rsidP="00683FF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Primary Training Documentation for modules and SOPs</w:t>
            </w:r>
          </w:p>
          <w:p w:rsidR="00706CF8" w:rsidRPr="00683FFB" w:rsidRDefault="00706CF8" w:rsidP="00683FF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Secondary supporting documentation</w:t>
            </w:r>
          </w:p>
          <w:p w:rsidR="00706CF8" w:rsidRPr="00B20146" w:rsidRDefault="00706CF8" w:rsidP="00683FF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</w:rPr>
              <w:t>Competency documentation</w:t>
            </w:r>
          </w:p>
        </w:tc>
      </w:tr>
      <w:tr w:rsidR="000F582E" w:rsidRPr="000F582E" w:rsidTr="00A83443">
        <w:trPr>
          <w:trHeight w:val="962"/>
        </w:trPr>
        <w:tc>
          <w:tcPr>
            <w:tcW w:w="1800" w:type="dxa"/>
          </w:tcPr>
          <w:p w:rsidR="000F582E" w:rsidRPr="000F582E" w:rsidRDefault="00D42930" w:rsidP="00EE35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Trainers</w:t>
            </w:r>
          </w:p>
        </w:tc>
        <w:tc>
          <w:tcPr>
            <w:tcW w:w="8264" w:type="dxa"/>
            <w:vAlign w:val="center"/>
          </w:tcPr>
          <w:p w:rsidR="000F582E" w:rsidRDefault="000F582E" w:rsidP="00683FFB">
            <w:p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 xml:space="preserve">The Transfusion Service </w:t>
            </w:r>
            <w:r w:rsidR="00D42930">
              <w:rPr>
                <w:rFonts w:ascii="Arial" w:hAnsi="Arial" w:cs="Arial"/>
                <w:sz w:val="22"/>
                <w:szCs w:val="22"/>
              </w:rPr>
              <w:t>identifies</w:t>
            </w:r>
            <w:r w:rsidRPr="000F582E">
              <w:rPr>
                <w:rFonts w:ascii="Arial" w:hAnsi="Arial" w:cs="Arial"/>
                <w:sz w:val="22"/>
                <w:szCs w:val="22"/>
              </w:rPr>
              <w:t xml:space="preserve"> an adequate </w:t>
            </w:r>
            <w:r w:rsidR="00710E03">
              <w:rPr>
                <w:rFonts w:ascii="Arial" w:hAnsi="Arial" w:cs="Arial"/>
                <w:sz w:val="22"/>
                <w:szCs w:val="22"/>
              </w:rPr>
              <w:t>number of qualified individuals</w:t>
            </w:r>
            <w:r w:rsidR="000F49BE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706CF8">
              <w:rPr>
                <w:rFonts w:ascii="Arial" w:hAnsi="Arial" w:cs="Arial"/>
                <w:sz w:val="22"/>
                <w:szCs w:val="22"/>
              </w:rPr>
              <w:t>trainers</w:t>
            </w:r>
            <w:r w:rsidR="00710E0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F49BE" w:rsidRDefault="000F49BE" w:rsidP="00683FFB">
            <w:pPr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Coordinator</w:t>
            </w:r>
          </w:p>
          <w:p w:rsidR="000F582E" w:rsidRDefault="00D42930" w:rsidP="00683FFB">
            <w:pPr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Clinical Laboratory Technicians </w:t>
            </w:r>
          </w:p>
          <w:p w:rsidR="00D42930" w:rsidRPr="003768DE" w:rsidRDefault="003768DE" w:rsidP="00683FFB">
            <w:pPr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768DE">
              <w:rPr>
                <w:rFonts w:ascii="Arial" w:hAnsi="Arial" w:cs="Arial"/>
                <w:sz w:val="22"/>
                <w:szCs w:val="22"/>
                <w:highlight w:val="yellow"/>
              </w:rPr>
              <w:t>Medical Laboratory Technologists</w:t>
            </w:r>
          </w:p>
          <w:p w:rsidR="00D42930" w:rsidRPr="000F582E" w:rsidRDefault="00D42930" w:rsidP="00683FFB">
            <w:pPr>
              <w:numPr>
                <w:ilvl w:val="0"/>
                <w:numId w:val="1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="000F49BE">
              <w:rPr>
                <w:rFonts w:ascii="Arial" w:hAnsi="Arial" w:cs="Arial"/>
                <w:sz w:val="22"/>
                <w:szCs w:val="22"/>
              </w:rPr>
              <w:t>Coordinator</w:t>
            </w:r>
          </w:p>
        </w:tc>
      </w:tr>
      <w:tr w:rsidR="000F582E" w:rsidRPr="000F582E" w:rsidTr="004A659F">
        <w:trPr>
          <w:trHeight w:val="1250"/>
        </w:trPr>
        <w:tc>
          <w:tcPr>
            <w:tcW w:w="1800" w:type="dxa"/>
          </w:tcPr>
          <w:p w:rsidR="000F582E" w:rsidRPr="000F582E" w:rsidRDefault="00D42930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Trainer </w:t>
            </w:r>
            <w:r w:rsidR="000F582E" w:rsidRPr="000F582E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64" w:type="dxa"/>
          </w:tcPr>
          <w:p w:rsidR="000F582E" w:rsidRDefault="004A659F" w:rsidP="00683F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Trainers will be selected by the TSL Manager, Leads, and/or Training Coordinator based on the following:</w:t>
            </w:r>
          </w:p>
          <w:p w:rsidR="005B0688" w:rsidRPr="005B0688" w:rsidRDefault="005B0688" w:rsidP="00E62CA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B0688">
              <w:rPr>
                <w:rFonts w:ascii="Arial" w:hAnsi="Arial" w:cs="Arial"/>
                <w:sz w:val="22"/>
                <w:szCs w:val="22"/>
                <w:highlight w:val="yellow"/>
              </w:rPr>
              <w:t>Successful completion of 6 month assessments and direct observations</w:t>
            </w:r>
          </w:p>
          <w:p w:rsidR="005B0688" w:rsidRPr="005B0688" w:rsidRDefault="00706CF8" w:rsidP="00E62CA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knowledge of process and procedures in TSL</w:t>
            </w:r>
          </w:p>
          <w:p w:rsidR="00706CF8" w:rsidRDefault="00706CF8" w:rsidP="00E62CA3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 in development, validation, and implementation of process improvements in TSL</w:t>
            </w:r>
          </w:p>
          <w:p w:rsidR="004A659F" w:rsidRPr="000F582E" w:rsidRDefault="00706CF8" w:rsidP="00683FFB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Personnel provided by vendors for specific equipment training</w:t>
            </w:r>
          </w:p>
        </w:tc>
      </w:tr>
      <w:tr w:rsidR="000F582E" w:rsidRPr="000F582E" w:rsidTr="004A659F">
        <w:trPr>
          <w:trHeight w:val="3050"/>
        </w:trPr>
        <w:tc>
          <w:tcPr>
            <w:tcW w:w="1800" w:type="dxa"/>
          </w:tcPr>
          <w:p w:rsidR="00B20146" w:rsidRPr="006C5814" w:rsidRDefault="00D42930" w:rsidP="004A6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5814">
              <w:rPr>
                <w:rFonts w:ascii="Arial" w:hAnsi="Arial" w:cs="Arial"/>
                <w:b/>
                <w:sz w:val="22"/>
                <w:szCs w:val="22"/>
              </w:rPr>
              <w:t xml:space="preserve">Initial and Subsequent </w:t>
            </w:r>
            <w:r w:rsidR="000F582E" w:rsidRPr="006C5814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8264" w:type="dxa"/>
          </w:tcPr>
          <w:p w:rsidR="00E074EB" w:rsidRPr="006C5814" w:rsidRDefault="000F582E" w:rsidP="00A12E07">
            <w:pPr>
              <w:rPr>
                <w:rFonts w:ascii="Arial" w:hAnsi="Arial" w:cs="Arial"/>
                <w:sz w:val="22"/>
                <w:szCs w:val="22"/>
              </w:rPr>
            </w:pPr>
            <w:r w:rsidRPr="006C5814">
              <w:rPr>
                <w:rFonts w:ascii="Arial" w:hAnsi="Arial" w:cs="Arial"/>
                <w:sz w:val="22"/>
                <w:szCs w:val="22"/>
              </w:rPr>
              <w:t xml:space="preserve">The Transfusion Service </w:t>
            </w:r>
            <w:r w:rsidR="00D42930" w:rsidRPr="006C5814">
              <w:rPr>
                <w:rFonts w:ascii="Arial" w:hAnsi="Arial" w:cs="Arial"/>
                <w:sz w:val="22"/>
                <w:szCs w:val="22"/>
              </w:rPr>
              <w:t>identifies</w:t>
            </w:r>
            <w:r w:rsidRPr="006C5814">
              <w:rPr>
                <w:rFonts w:ascii="Arial" w:hAnsi="Arial" w:cs="Arial"/>
                <w:sz w:val="22"/>
                <w:szCs w:val="22"/>
              </w:rPr>
              <w:t xml:space="preserve"> training needs</w:t>
            </w:r>
            <w:r w:rsidR="00D42930" w:rsidRPr="006C5814">
              <w:rPr>
                <w:rFonts w:ascii="Arial" w:hAnsi="Arial" w:cs="Arial"/>
                <w:sz w:val="22"/>
                <w:szCs w:val="22"/>
              </w:rPr>
              <w:t xml:space="preserve"> based </w:t>
            </w:r>
            <w:r w:rsidR="00A46AA3" w:rsidRPr="006C5814">
              <w:rPr>
                <w:rFonts w:ascii="Arial" w:hAnsi="Arial" w:cs="Arial"/>
                <w:sz w:val="22"/>
                <w:szCs w:val="22"/>
              </w:rPr>
              <w:t>learning style assessment and</w:t>
            </w:r>
            <w:r w:rsidR="00D42930" w:rsidRPr="006C5814">
              <w:rPr>
                <w:rFonts w:ascii="Arial" w:hAnsi="Arial" w:cs="Arial"/>
                <w:sz w:val="22"/>
                <w:szCs w:val="22"/>
              </w:rPr>
              <w:t xml:space="preserve"> job description</w:t>
            </w:r>
            <w:r w:rsidRPr="006C5814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A12E07" w:rsidRDefault="00A12E07" w:rsidP="00A12E07">
            <w:pPr>
              <w:rPr>
                <w:rFonts w:ascii="Arial" w:hAnsi="Arial" w:cs="Arial"/>
                <w:sz w:val="22"/>
                <w:szCs w:val="22"/>
              </w:rPr>
            </w:pPr>
          </w:p>
          <w:p w:rsidR="004058AE" w:rsidRPr="006C5814" w:rsidRDefault="004058AE" w:rsidP="00A12E07">
            <w:pPr>
              <w:rPr>
                <w:rFonts w:ascii="Arial" w:hAnsi="Arial" w:cs="Arial"/>
                <w:sz w:val="22"/>
                <w:szCs w:val="22"/>
              </w:rPr>
            </w:pPr>
            <w:r w:rsidRPr="006C5814">
              <w:rPr>
                <w:rFonts w:ascii="Arial" w:hAnsi="Arial" w:cs="Arial"/>
                <w:sz w:val="22"/>
                <w:szCs w:val="22"/>
              </w:rPr>
              <w:t xml:space="preserve">Training begins with a Learning Style Assessment completed by the trainee. </w:t>
            </w:r>
          </w:p>
          <w:p w:rsidR="004058AE" w:rsidRPr="006C5814" w:rsidRDefault="004058AE" w:rsidP="00A12E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Assessment results are discussed with the trainer.</w:t>
            </w:r>
          </w:p>
          <w:p w:rsidR="004058AE" w:rsidRPr="006C5814" w:rsidRDefault="004058AE" w:rsidP="00A12E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 xml:space="preserve">Assessment results are utilized during training by all trainers to adapt training to the individual learning style.  </w:t>
            </w:r>
          </w:p>
          <w:p w:rsidR="004058AE" w:rsidRPr="006C5814" w:rsidRDefault="004058AE" w:rsidP="00A12E0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6C5814">
              <w:rPr>
                <w:rFonts w:ascii="Arial" w:hAnsi="Arial" w:cs="Arial"/>
              </w:rPr>
              <w:t xml:space="preserve">The Learning Style Assessment can be found at:   </w:t>
            </w:r>
            <w:hyperlink r:id="rId8" w:history="1">
              <w:r w:rsidRPr="006C5814">
                <w:rPr>
                  <w:rStyle w:val="Hyperlink"/>
                  <w:rFonts w:ascii="Arial" w:hAnsi="Arial" w:cs="Arial"/>
                </w:rPr>
                <w:t>www.engr.ncsu.edu/learningstyles/ilsweb.html</w:t>
              </w:r>
            </w:hyperlink>
          </w:p>
          <w:p w:rsidR="00A12E07" w:rsidRDefault="00A12E07" w:rsidP="00A12E07">
            <w:pPr>
              <w:rPr>
                <w:rFonts w:ascii="Arial" w:hAnsi="Arial" w:cs="Arial"/>
                <w:sz w:val="22"/>
              </w:rPr>
            </w:pPr>
          </w:p>
          <w:p w:rsidR="004058AE" w:rsidRPr="00A12E07" w:rsidRDefault="004058AE" w:rsidP="00A12E07">
            <w:pPr>
              <w:rPr>
                <w:rFonts w:ascii="Arial" w:hAnsi="Arial" w:cs="Arial"/>
                <w:sz w:val="22"/>
              </w:rPr>
            </w:pPr>
            <w:r w:rsidRPr="00A12E07">
              <w:rPr>
                <w:rFonts w:ascii="Arial" w:hAnsi="Arial" w:cs="Arial"/>
                <w:sz w:val="22"/>
              </w:rPr>
              <w:t>Training for all employees includes:</w:t>
            </w:r>
          </w:p>
          <w:p w:rsidR="002B0192" w:rsidRPr="006C5814" w:rsidRDefault="002B0192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 xml:space="preserve">Sunquest LIS </w:t>
            </w:r>
          </w:p>
          <w:p w:rsidR="004058AE" w:rsidRPr="006C5814" w:rsidRDefault="00D42930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Sample Receipt and Processing</w:t>
            </w:r>
            <w:r w:rsidR="004058AE" w:rsidRPr="006C5814">
              <w:rPr>
                <w:rFonts w:ascii="Arial" w:hAnsi="Arial" w:cs="Arial"/>
              </w:rPr>
              <w:t>.</w:t>
            </w:r>
          </w:p>
          <w:p w:rsidR="004058AE" w:rsidRPr="006C5814" w:rsidRDefault="004058AE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I</w:t>
            </w:r>
            <w:r w:rsidR="00D42930" w:rsidRPr="006C5814">
              <w:rPr>
                <w:rFonts w:ascii="Arial" w:hAnsi="Arial" w:cs="Arial"/>
              </w:rPr>
              <w:t>nventory Management</w:t>
            </w:r>
          </w:p>
          <w:p w:rsidR="004058AE" w:rsidRPr="006C5814" w:rsidRDefault="004058AE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Receipt, Storage, and Tracking of Cranial Bone Flaps</w:t>
            </w:r>
          </w:p>
          <w:p w:rsidR="004058AE" w:rsidRPr="006C5814" w:rsidRDefault="00D42930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Emergency Response</w:t>
            </w:r>
          </w:p>
          <w:p w:rsidR="004058AE" w:rsidRPr="006C5814" w:rsidRDefault="00D42930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Equipment Maintenance and Quality Controls</w:t>
            </w:r>
          </w:p>
          <w:p w:rsidR="004058AE" w:rsidRPr="006C5814" w:rsidRDefault="00D42930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 xml:space="preserve">Safety </w:t>
            </w:r>
            <w:r w:rsidR="00706CF8" w:rsidRPr="006C5814">
              <w:rPr>
                <w:rFonts w:ascii="Arial" w:hAnsi="Arial" w:cs="Arial"/>
              </w:rPr>
              <w:t>(</w:t>
            </w:r>
            <w:r w:rsidRPr="006C5814">
              <w:rPr>
                <w:rFonts w:ascii="Arial" w:hAnsi="Arial" w:cs="Arial"/>
              </w:rPr>
              <w:t>in addition to the departmental training</w:t>
            </w:r>
            <w:r w:rsidR="00706CF8" w:rsidRPr="006C5814">
              <w:rPr>
                <w:rFonts w:ascii="Arial" w:hAnsi="Arial" w:cs="Arial"/>
              </w:rPr>
              <w:t>)</w:t>
            </w:r>
          </w:p>
          <w:p w:rsidR="004058AE" w:rsidRPr="006C5814" w:rsidRDefault="000F49BE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Pre and Post Transfusion Testing</w:t>
            </w:r>
          </w:p>
          <w:p w:rsidR="004058AE" w:rsidRDefault="000F49BE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cGMP and Quality Plan</w:t>
            </w:r>
          </w:p>
          <w:p w:rsidR="005B0688" w:rsidRPr="005B0688" w:rsidRDefault="005B0688" w:rsidP="00A12E0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20"/>
              <w:rPr>
                <w:rFonts w:ascii="Arial" w:hAnsi="Arial" w:cs="Arial"/>
                <w:highlight w:val="yellow"/>
              </w:rPr>
            </w:pPr>
            <w:r w:rsidRPr="005B0688">
              <w:rPr>
                <w:rFonts w:ascii="Arial" w:hAnsi="Arial" w:cs="Arial"/>
                <w:highlight w:val="yellow"/>
              </w:rPr>
              <w:t>Downtime Processes</w:t>
            </w:r>
          </w:p>
          <w:p w:rsidR="00A12E07" w:rsidRDefault="00A12E07" w:rsidP="00A12E07">
            <w:pPr>
              <w:rPr>
                <w:rFonts w:ascii="Arial" w:hAnsi="Arial" w:cs="Arial"/>
              </w:rPr>
            </w:pPr>
          </w:p>
          <w:p w:rsidR="004058AE" w:rsidRPr="00A12E07" w:rsidRDefault="006D7A3B" w:rsidP="00A12E07">
            <w:pPr>
              <w:rPr>
                <w:rFonts w:ascii="Arial" w:hAnsi="Arial" w:cs="Arial"/>
                <w:sz w:val="22"/>
              </w:rPr>
            </w:pPr>
            <w:r w:rsidRPr="00A12E07">
              <w:rPr>
                <w:rFonts w:ascii="Arial" w:hAnsi="Arial" w:cs="Arial"/>
                <w:sz w:val="22"/>
              </w:rPr>
              <w:t>UW Laboratory Medicine provides a Lab Medicine Department orientation that is required for all staff hired to the department.</w:t>
            </w:r>
          </w:p>
          <w:p w:rsidR="00A12E07" w:rsidRPr="00A12E07" w:rsidRDefault="00A12E07" w:rsidP="00A12E07">
            <w:pPr>
              <w:rPr>
                <w:rFonts w:ascii="Arial" w:hAnsi="Arial" w:cs="Arial"/>
                <w:sz w:val="22"/>
              </w:rPr>
            </w:pPr>
          </w:p>
          <w:p w:rsidR="004058AE" w:rsidRPr="00A12E07" w:rsidRDefault="00D42930" w:rsidP="00A12E07">
            <w:pPr>
              <w:rPr>
                <w:rFonts w:ascii="Arial" w:hAnsi="Arial" w:cs="Arial"/>
                <w:sz w:val="22"/>
              </w:rPr>
            </w:pPr>
            <w:r w:rsidRPr="00A12E07">
              <w:rPr>
                <w:rFonts w:ascii="Arial" w:hAnsi="Arial" w:cs="Arial"/>
                <w:sz w:val="22"/>
              </w:rPr>
              <w:t>Subsequent Training for process improvement</w:t>
            </w:r>
            <w:r w:rsidR="00706CF8" w:rsidRPr="00A12E07">
              <w:rPr>
                <w:rFonts w:ascii="Arial" w:hAnsi="Arial" w:cs="Arial"/>
                <w:sz w:val="22"/>
              </w:rPr>
              <w:t>s</w:t>
            </w:r>
            <w:r w:rsidR="004A659F" w:rsidRPr="00A12E07">
              <w:rPr>
                <w:rFonts w:ascii="Arial" w:hAnsi="Arial" w:cs="Arial"/>
                <w:sz w:val="22"/>
              </w:rPr>
              <w:t xml:space="preserve"> will be delivered by </w:t>
            </w:r>
            <w:r w:rsidRPr="00A12E07">
              <w:rPr>
                <w:rFonts w:ascii="Arial" w:hAnsi="Arial" w:cs="Arial"/>
                <w:sz w:val="22"/>
              </w:rPr>
              <w:t>trainers.</w:t>
            </w:r>
          </w:p>
          <w:p w:rsidR="005B0688" w:rsidRPr="00273F68" w:rsidRDefault="005B0688" w:rsidP="00A12E0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  <w:highlight w:val="yellow"/>
              </w:rPr>
            </w:pPr>
            <w:r w:rsidRPr="0063132A">
              <w:rPr>
                <w:rFonts w:ascii="Arial" w:hAnsi="Arial" w:cs="Arial"/>
                <w:highlight w:val="yellow"/>
              </w:rPr>
              <w:t>Sep</w:t>
            </w:r>
            <w:r w:rsidR="0063132A" w:rsidRPr="0063132A">
              <w:rPr>
                <w:rFonts w:ascii="Arial" w:hAnsi="Arial" w:cs="Arial"/>
                <w:highlight w:val="yellow"/>
              </w:rPr>
              <w:t xml:space="preserve">arated employees and employees who return from </w:t>
            </w:r>
            <w:r w:rsidR="00691B6C">
              <w:rPr>
                <w:rFonts w:ascii="Arial" w:hAnsi="Arial" w:cs="Arial"/>
                <w:highlight w:val="yellow"/>
              </w:rPr>
              <w:t xml:space="preserve">an </w:t>
            </w:r>
            <w:r w:rsidR="0063132A" w:rsidRPr="0063132A">
              <w:rPr>
                <w:rFonts w:ascii="Arial" w:hAnsi="Arial" w:cs="Arial"/>
                <w:highlight w:val="yellow"/>
              </w:rPr>
              <w:t xml:space="preserve">extended leave of absence must </w:t>
            </w:r>
            <w:r w:rsidR="00691B6C">
              <w:rPr>
                <w:rFonts w:ascii="Arial" w:hAnsi="Arial" w:cs="Arial"/>
                <w:highlight w:val="yellow"/>
              </w:rPr>
              <w:t>complete refresher training consisting of</w:t>
            </w:r>
            <w:r w:rsidR="0063132A" w:rsidRPr="0063132A">
              <w:rPr>
                <w:rFonts w:ascii="Arial" w:hAnsi="Arial" w:cs="Arial"/>
                <w:highlight w:val="yellow"/>
              </w:rPr>
              <w:t xml:space="preserve"> all 6 </w:t>
            </w:r>
            <w:r w:rsidR="00273F68">
              <w:rPr>
                <w:rFonts w:ascii="Arial" w:hAnsi="Arial" w:cs="Arial"/>
                <w:highlight w:val="yellow"/>
              </w:rPr>
              <w:t xml:space="preserve">month assessments, quizzes, </w:t>
            </w:r>
            <w:r w:rsidR="0063132A" w:rsidRPr="0063132A">
              <w:rPr>
                <w:rFonts w:ascii="Arial" w:hAnsi="Arial" w:cs="Arial"/>
                <w:highlight w:val="yellow"/>
              </w:rPr>
              <w:t xml:space="preserve">direct </w:t>
            </w:r>
            <w:r w:rsidR="0063132A" w:rsidRPr="00273F68">
              <w:rPr>
                <w:rFonts w:ascii="Arial" w:hAnsi="Arial" w:cs="Arial"/>
                <w:highlight w:val="yellow"/>
              </w:rPr>
              <w:t>observations</w:t>
            </w:r>
            <w:r w:rsidR="00273F68" w:rsidRPr="00273F68">
              <w:rPr>
                <w:rFonts w:ascii="Arial" w:hAnsi="Arial" w:cs="Arial"/>
                <w:highlight w:val="yellow"/>
              </w:rPr>
              <w:t xml:space="preserve"> and any new processes introduced in the employee’s absence.</w:t>
            </w:r>
          </w:p>
          <w:p w:rsidR="00691B6C" w:rsidRPr="005B0688" w:rsidRDefault="00691B6C" w:rsidP="00A12E0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7D6893">
              <w:rPr>
                <w:rFonts w:ascii="Arial" w:hAnsi="Arial" w:cs="Arial"/>
                <w:highlight w:val="yellow"/>
              </w:rPr>
              <w:t>Complete retraining is required for all employees retur</w:t>
            </w:r>
            <w:r w:rsidR="007D6893" w:rsidRPr="007D6893">
              <w:rPr>
                <w:rFonts w:ascii="Arial" w:hAnsi="Arial" w:cs="Arial"/>
                <w:highlight w:val="yellow"/>
              </w:rPr>
              <w:t xml:space="preserve">ning </w:t>
            </w:r>
            <w:r w:rsidR="007D6893">
              <w:rPr>
                <w:rFonts w:ascii="Arial" w:hAnsi="Arial" w:cs="Arial"/>
                <w:highlight w:val="yellow"/>
              </w:rPr>
              <w:t xml:space="preserve">to HMC TSL </w:t>
            </w:r>
            <w:r w:rsidR="007D6893" w:rsidRPr="007D6893">
              <w:rPr>
                <w:rFonts w:ascii="Arial" w:hAnsi="Arial" w:cs="Arial"/>
                <w:highlight w:val="yellow"/>
              </w:rPr>
              <w:t xml:space="preserve">after </w:t>
            </w:r>
            <w:r w:rsidR="007D6893">
              <w:rPr>
                <w:rFonts w:ascii="Arial" w:hAnsi="Arial" w:cs="Arial"/>
                <w:highlight w:val="yellow"/>
              </w:rPr>
              <w:t>more than</w:t>
            </w:r>
            <w:r w:rsidR="007D6893" w:rsidRPr="007D6893">
              <w:rPr>
                <w:rFonts w:ascii="Arial" w:hAnsi="Arial" w:cs="Arial"/>
                <w:highlight w:val="yellow"/>
              </w:rPr>
              <w:t xml:space="preserve"> 6 months from their final day of work</w:t>
            </w:r>
            <w:r w:rsidR="007D6893">
              <w:rPr>
                <w:rFonts w:ascii="Arial" w:hAnsi="Arial" w:cs="Arial"/>
              </w:rPr>
              <w:t>.</w:t>
            </w:r>
          </w:p>
          <w:p w:rsidR="004058AE" w:rsidRPr="006C5814" w:rsidRDefault="004A659F" w:rsidP="00A12E0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Refresher training will be required for the following reasons:</w:t>
            </w:r>
          </w:p>
          <w:p w:rsidR="004058AE" w:rsidRDefault="00691B6C" w:rsidP="00A12E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080"/>
              <w:rPr>
                <w:rFonts w:ascii="Arial" w:hAnsi="Arial" w:cs="Arial"/>
              </w:rPr>
            </w:pPr>
            <w:r w:rsidRPr="00691B6C">
              <w:rPr>
                <w:rFonts w:ascii="Arial" w:hAnsi="Arial" w:cs="Arial"/>
                <w:highlight w:val="yellow"/>
              </w:rPr>
              <w:t>Leave of Absence ≥ 31</w:t>
            </w:r>
            <w:r>
              <w:rPr>
                <w:rFonts w:ascii="Arial" w:hAnsi="Arial" w:cs="Arial"/>
              </w:rPr>
              <w:t xml:space="preserve"> days </w:t>
            </w:r>
            <w:r w:rsidRPr="00691B6C">
              <w:rPr>
                <w:rFonts w:ascii="Arial" w:hAnsi="Arial" w:cs="Arial"/>
                <w:highlight w:val="yellow"/>
              </w:rPr>
              <w:t xml:space="preserve">but ≤ 6 </w:t>
            </w:r>
            <w:r w:rsidRPr="007D6893">
              <w:rPr>
                <w:rFonts w:ascii="Arial" w:hAnsi="Arial" w:cs="Arial"/>
                <w:highlight w:val="yellow"/>
              </w:rPr>
              <w:t>months</w:t>
            </w:r>
            <w:r w:rsidR="007D6893" w:rsidRPr="007D6893">
              <w:rPr>
                <w:rFonts w:ascii="Arial" w:hAnsi="Arial" w:cs="Arial"/>
                <w:highlight w:val="yellow"/>
              </w:rPr>
              <w:t xml:space="preserve"> from their final day of work</w:t>
            </w:r>
          </w:p>
          <w:p w:rsidR="00691B6C" w:rsidRPr="006C5814" w:rsidRDefault="00691B6C" w:rsidP="00A12E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S</w:t>
            </w:r>
            <w:r w:rsidR="007D6893">
              <w:rPr>
                <w:rFonts w:ascii="Arial" w:hAnsi="Arial" w:cs="Arial"/>
                <w:highlight w:val="yellow"/>
              </w:rPr>
              <w:t>eparation/</w:t>
            </w:r>
            <w:r>
              <w:rPr>
                <w:rFonts w:ascii="Arial" w:hAnsi="Arial" w:cs="Arial"/>
                <w:highlight w:val="yellow"/>
              </w:rPr>
              <w:t>r</w:t>
            </w:r>
            <w:r w:rsidRPr="00691B6C">
              <w:rPr>
                <w:rFonts w:ascii="Arial" w:hAnsi="Arial" w:cs="Arial"/>
                <w:highlight w:val="yellow"/>
              </w:rPr>
              <w:t>ehire</w:t>
            </w:r>
            <w:r w:rsidR="00A12E07">
              <w:rPr>
                <w:rFonts w:ascii="Arial" w:hAnsi="Arial" w:cs="Arial"/>
                <w:highlight w:val="yellow"/>
              </w:rPr>
              <w:t xml:space="preserve"> timeframe</w:t>
            </w:r>
            <w:r w:rsidRPr="00691B6C">
              <w:rPr>
                <w:rFonts w:ascii="Arial" w:hAnsi="Arial" w:cs="Arial"/>
                <w:highlight w:val="yellow"/>
              </w:rPr>
              <w:t xml:space="preserve"> ≥ 31</w:t>
            </w:r>
            <w:r>
              <w:rPr>
                <w:rFonts w:ascii="Arial" w:hAnsi="Arial" w:cs="Arial"/>
              </w:rPr>
              <w:t xml:space="preserve"> days </w:t>
            </w:r>
            <w:r w:rsidRPr="00691B6C">
              <w:rPr>
                <w:rFonts w:ascii="Arial" w:hAnsi="Arial" w:cs="Arial"/>
                <w:highlight w:val="yellow"/>
              </w:rPr>
              <w:t xml:space="preserve">but ≤ 6 </w:t>
            </w:r>
            <w:r w:rsidRPr="007D6893">
              <w:rPr>
                <w:rFonts w:ascii="Arial" w:hAnsi="Arial" w:cs="Arial"/>
                <w:highlight w:val="yellow"/>
              </w:rPr>
              <w:t>months</w:t>
            </w:r>
            <w:r w:rsidR="007D6893" w:rsidRPr="007D6893">
              <w:rPr>
                <w:rFonts w:ascii="Arial" w:hAnsi="Arial" w:cs="Arial"/>
                <w:highlight w:val="yellow"/>
              </w:rPr>
              <w:t xml:space="preserve"> from their final day of work</w:t>
            </w:r>
          </w:p>
          <w:p w:rsidR="004058AE" w:rsidRPr="006C5814" w:rsidRDefault="004A659F" w:rsidP="00A12E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08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Outcome of Quality Improvement Monitoring</w:t>
            </w:r>
          </w:p>
          <w:p w:rsidR="0023598C" w:rsidRPr="006C5814" w:rsidRDefault="0023598C" w:rsidP="00A12E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08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Proficiency Testing Failure</w:t>
            </w:r>
          </w:p>
          <w:p w:rsidR="0023598C" w:rsidRPr="006C5814" w:rsidRDefault="0023598C" w:rsidP="00A12E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108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Failure to attain 80% on original training evaluation</w:t>
            </w:r>
          </w:p>
          <w:p w:rsidR="004A659F" w:rsidRPr="006C5814" w:rsidRDefault="004A659F" w:rsidP="00A12E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  <w:r w:rsidRPr="006C5814">
              <w:rPr>
                <w:rFonts w:ascii="Arial" w:hAnsi="Arial" w:cs="Arial"/>
              </w:rPr>
              <w:t>At the request of the employee.</w:t>
            </w:r>
          </w:p>
        </w:tc>
      </w:tr>
      <w:tr w:rsidR="000F582E" w:rsidRPr="000F582E" w:rsidTr="004A659F">
        <w:trPr>
          <w:trHeight w:val="1790"/>
        </w:trPr>
        <w:tc>
          <w:tcPr>
            <w:tcW w:w="1800" w:type="dxa"/>
          </w:tcPr>
          <w:p w:rsidR="001128EB" w:rsidRPr="000F582E" w:rsidRDefault="00706CF8" w:rsidP="00A12E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Training Software</w:t>
            </w:r>
          </w:p>
        </w:tc>
        <w:tc>
          <w:tcPr>
            <w:tcW w:w="8264" w:type="dxa"/>
          </w:tcPr>
          <w:p w:rsidR="00706CF8" w:rsidRDefault="00706CF8" w:rsidP="008C36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Medtraining Systems (MTS)</w:t>
            </w:r>
          </w:p>
          <w:p w:rsidR="000F582E" w:rsidRDefault="000F582E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>The Transfusion Service</w:t>
            </w:r>
            <w:r w:rsidR="008A4662">
              <w:rPr>
                <w:rFonts w:ascii="Arial" w:hAnsi="Arial" w:cs="Arial"/>
                <w:sz w:val="22"/>
                <w:szCs w:val="22"/>
              </w:rPr>
              <w:t xml:space="preserve"> Laboratory</w:t>
            </w:r>
            <w:bookmarkStart w:id="0" w:name="_GoBack"/>
            <w:bookmarkEnd w:id="0"/>
            <w:r w:rsidRPr="000F58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930">
              <w:rPr>
                <w:rFonts w:ascii="Arial" w:hAnsi="Arial" w:cs="Arial"/>
                <w:sz w:val="22"/>
                <w:szCs w:val="22"/>
              </w:rPr>
              <w:t>utilizes MTS for the documentation of SOP and form sign off completion</w:t>
            </w:r>
          </w:p>
          <w:p w:rsidR="00D42930" w:rsidRDefault="00D42930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MTS allows the assignment of specific documents based on employee job description.</w:t>
            </w:r>
          </w:p>
          <w:p w:rsidR="00D42930" w:rsidRDefault="00D42930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evaluation questions will be added</w:t>
            </w:r>
            <w:r w:rsidR="00706CF8">
              <w:rPr>
                <w:rFonts w:ascii="Arial" w:hAnsi="Arial" w:cs="Arial"/>
                <w:sz w:val="22"/>
                <w:szCs w:val="22"/>
              </w:rPr>
              <w:t xml:space="preserve"> in MTS</w:t>
            </w:r>
            <w:r>
              <w:rPr>
                <w:rFonts w:ascii="Arial" w:hAnsi="Arial" w:cs="Arial"/>
                <w:sz w:val="22"/>
                <w:szCs w:val="22"/>
              </w:rPr>
              <w:t xml:space="preserve"> as appropriate.</w:t>
            </w:r>
          </w:p>
          <w:p w:rsidR="00706CF8" w:rsidRDefault="00706CF8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</w:t>
            </w:r>
            <w:r w:rsidR="0090515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access to MTS on the internet.</w:t>
            </w:r>
          </w:p>
          <w:p w:rsidR="00691B6C" w:rsidRPr="007D6893" w:rsidRDefault="00D42930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of MTS assignment completions will be forwarded to the TS</w:t>
            </w:r>
            <w:r w:rsidR="00A12E07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Manager on the date of implementation.</w:t>
            </w:r>
          </w:p>
          <w:p w:rsidR="00706CF8" w:rsidRDefault="00D42930" w:rsidP="00683FFB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report of MTS </w:t>
            </w:r>
            <w:r w:rsidR="00A12E07" w:rsidRPr="00A12E07">
              <w:rPr>
                <w:rFonts w:ascii="Arial" w:hAnsi="Arial" w:cs="Arial"/>
                <w:sz w:val="22"/>
                <w:szCs w:val="22"/>
                <w:highlight w:val="yellow"/>
              </w:rPr>
              <w:t>safety</w:t>
            </w:r>
            <w:r w:rsidR="00A12E0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assignment complet</w:t>
            </w:r>
            <w:r w:rsidR="00A12E07">
              <w:rPr>
                <w:rFonts w:ascii="Arial" w:hAnsi="Arial" w:cs="Arial"/>
                <w:sz w:val="22"/>
                <w:szCs w:val="22"/>
              </w:rPr>
              <w:t xml:space="preserve">ion will be printed and audited </w:t>
            </w:r>
            <w:r w:rsidR="00A12E07" w:rsidRPr="00A12E07">
              <w:rPr>
                <w:rFonts w:ascii="Arial" w:hAnsi="Arial" w:cs="Arial"/>
                <w:sz w:val="22"/>
                <w:szCs w:val="22"/>
                <w:highlight w:val="yellow"/>
              </w:rPr>
              <w:t>for biannual</w:t>
            </w:r>
            <w:r w:rsidR="00A12E07">
              <w:rPr>
                <w:rFonts w:ascii="Arial" w:hAnsi="Arial" w:cs="Arial"/>
                <w:sz w:val="22"/>
                <w:szCs w:val="22"/>
              </w:rPr>
              <w:t xml:space="preserve"> completion</w:t>
            </w:r>
          </w:p>
          <w:p w:rsidR="003768DE" w:rsidRPr="008A4662" w:rsidRDefault="00706CF8" w:rsidP="003768DE">
            <w:pPr>
              <w:numPr>
                <w:ilvl w:val="1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improvements to MTS are provided to the users, additional uses of MTS will be implemented in TSL.</w:t>
            </w:r>
          </w:p>
          <w:p w:rsidR="003768DE" w:rsidRDefault="003768DE" w:rsidP="0037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Health &amp; Safety</w:t>
            </w:r>
          </w:p>
          <w:p w:rsidR="003768DE" w:rsidRDefault="003768DE" w:rsidP="003768D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Bloodborne</w:t>
            </w:r>
            <w:proofErr w:type="spellEnd"/>
            <w:r>
              <w:rPr>
                <w:rFonts w:ascii="Arial" w:hAnsi="Arial" w:cs="Arial"/>
              </w:rPr>
              <w:t xml:space="preserve"> Pathogens</w:t>
            </w:r>
          </w:p>
          <w:p w:rsidR="003768DE" w:rsidRDefault="003768DE" w:rsidP="003768D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Shipping with dry ice</w:t>
            </w:r>
          </w:p>
          <w:p w:rsidR="003768DE" w:rsidRPr="008A4662" w:rsidRDefault="003768DE" w:rsidP="008A4662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Shipping Biological Category B</w:t>
            </w:r>
          </w:p>
          <w:p w:rsidR="000F49BE" w:rsidRDefault="003768DE" w:rsidP="008C3606">
            <w:pPr>
              <w:rPr>
                <w:rFonts w:ascii="Arial" w:hAnsi="Arial" w:cs="Arial"/>
                <w:sz w:val="22"/>
                <w:szCs w:val="22"/>
              </w:rPr>
            </w:pPr>
            <w:r w:rsidRPr="003768DE">
              <w:rPr>
                <w:rFonts w:ascii="Arial" w:hAnsi="Arial" w:cs="Arial"/>
                <w:sz w:val="22"/>
                <w:szCs w:val="22"/>
                <w:highlight w:val="yellow"/>
              </w:rPr>
              <w:t>The Learning Hub</w:t>
            </w:r>
          </w:p>
          <w:p w:rsidR="000F49BE" w:rsidRDefault="000F49BE" w:rsidP="00683FFB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University/Hospital based software</w:t>
            </w:r>
          </w:p>
          <w:p w:rsidR="00C91E55" w:rsidRDefault="00C91E55" w:rsidP="00683FFB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Used for testing and tracking:</w:t>
            </w:r>
          </w:p>
          <w:p w:rsidR="00C91E55" w:rsidRDefault="00C91E55" w:rsidP="00683FFB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HIPAA</w:t>
            </w:r>
          </w:p>
          <w:p w:rsidR="000F49BE" w:rsidRDefault="003768DE" w:rsidP="00683FFB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Fraud, Waste, and Abuse Prevention Training</w:t>
            </w:r>
          </w:p>
          <w:p w:rsidR="00C91E55" w:rsidRDefault="00C91E55" w:rsidP="00683FFB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Medicare Billing</w:t>
            </w:r>
          </w:p>
          <w:p w:rsidR="003768DE" w:rsidRDefault="003768DE" w:rsidP="00683FFB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Compliance Training</w:t>
            </w:r>
          </w:p>
          <w:p w:rsidR="007D6893" w:rsidRPr="008A4662" w:rsidRDefault="003768DE" w:rsidP="008A4662">
            <w:pPr>
              <w:numPr>
                <w:ilvl w:val="0"/>
                <w:numId w:val="13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Refresher Training</w:t>
            </w:r>
          </w:p>
          <w:p w:rsidR="007D6893" w:rsidRPr="00683FFB" w:rsidRDefault="007D6893" w:rsidP="00683FF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3FFB">
              <w:rPr>
                <w:rFonts w:ascii="Arial" w:hAnsi="Arial" w:cs="Arial"/>
                <w:sz w:val="22"/>
                <w:szCs w:val="22"/>
                <w:highlight w:val="yellow"/>
              </w:rPr>
              <w:t>Microsoft Office</w:t>
            </w:r>
          </w:p>
          <w:p w:rsidR="007D6893" w:rsidRPr="00683FFB" w:rsidRDefault="007D6893" w:rsidP="00683FFB">
            <w:pPr>
              <w:pStyle w:val="ListParagraph"/>
              <w:numPr>
                <w:ilvl w:val="0"/>
                <w:numId w:val="18"/>
              </w:numPr>
              <w:spacing w:after="0"/>
              <w:ind w:left="720"/>
              <w:rPr>
                <w:rFonts w:ascii="Arial" w:hAnsi="Arial" w:cs="Arial"/>
                <w:highlight w:val="yellow"/>
              </w:rPr>
            </w:pPr>
            <w:r w:rsidRPr="00683FFB">
              <w:rPr>
                <w:rFonts w:ascii="Arial" w:hAnsi="Arial" w:cs="Arial"/>
                <w:highlight w:val="yellow"/>
              </w:rPr>
              <w:t xml:space="preserve">The Transfusion Service utilizes Microsoft Office for </w:t>
            </w:r>
            <w:r w:rsidR="00E62CA3" w:rsidRPr="00683FFB">
              <w:rPr>
                <w:rFonts w:ascii="Arial" w:hAnsi="Arial" w:cs="Arial"/>
                <w:highlight w:val="yellow"/>
              </w:rPr>
              <w:t xml:space="preserve">the creation, storage and distribution of </w:t>
            </w:r>
            <w:r w:rsidRPr="00683FFB">
              <w:rPr>
                <w:rFonts w:ascii="Arial" w:hAnsi="Arial" w:cs="Arial"/>
                <w:highlight w:val="yellow"/>
              </w:rPr>
              <w:t>competency</w:t>
            </w:r>
            <w:r w:rsidR="00E62CA3" w:rsidRPr="00683FFB">
              <w:rPr>
                <w:rFonts w:ascii="Arial" w:hAnsi="Arial" w:cs="Arial"/>
                <w:highlight w:val="yellow"/>
              </w:rPr>
              <w:t xml:space="preserve"> related</w:t>
            </w:r>
            <w:r w:rsidRPr="00683FFB">
              <w:rPr>
                <w:rFonts w:ascii="Arial" w:hAnsi="Arial" w:cs="Arial"/>
                <w:highlight w:val="yellow"/>
              </w:rPr>
              <w:t xml:space="preserve"> </w:t>
            </w:r>
            <w:r w:rsidR="00E62CA3" w:rsidRPr="00683FFB">
              <w:rPr>
                <w:rFonts w:ascii="Arial" w:hAnsi="Arial" w:cs="Arial"/>
                <w:highlight w:val="yellow"/>
              </w:rPr>
              <w:t>documents and quizzes.</w:t>
            </w:r>
          </w:p>
          <w:p w:rsidR="007D6893" w:rsidRPr="00683FFB" w:rsidRDefault="00273F68" w:rsidP="00683FF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683FFB">
              <w:rPr>
                <w:rFonts w:ascii="Arial" w:hAnsi="Arial" w:cs="Arial"/>
                <w:sz w:val="22"/>
                <w:szCs w:val="22"/>
                <w:highlight w:val="yellow"/>
              </w:rPr>
              <w:t>Medialab</w:t>
            </w:r>
            <w:proofErr w:type="spellEnd"/>
          </w:p>
          <w:p w:rsidR="00273F68" w:rsidRDefault="00273F68" w:rsidP="00683FFB">
            <w:pPr>
              <w:pStyle w:val="ListParagraph"/>
              <w:numPr>
                <w:ilvl w:val="0"/>
                <w:numId w:val="18"/>
              </w:numPr>
              <w:spacing w:after="0"/>
              <w:ind w:left="720"/>
              <w:rPr>
                <w:rFonts w:ascii="Arial" w:hAnsi="Arial" w:cs="Arial"/>
              </w:rPr>
            </w:pPr>
            <w:r w:rsidRPr="00683FFB">
              <w:rPr>
                <w:rFonts w:ascii="Arial" w:hAnsi="Arial" w:cs="Arial"/>
                <w:highlight w:val="yellow"/>
              </w:rPr>
              <w:t xml:space="preserve">The Transfusion service utilizes </w:t>
            </w:r>
            <w:proofErr w:type="spellStart"/>
            <w:r w:rsidRPr="00683FFB">
              <w:rPr>
                <w:rFonts w:ascii="Arial" w:hAnsi="Arial" w:cs="Arial"/>
                <w:highlight w:val="yellow"/>
              </w:rPr>
              <w:t>MediaLab</w:t>
            </w:r>
            <w:proofErr w:type="spellEnd"/>
            <w:r w:rsidRPr="00683FFB">
              <w:rPr>
                <w:rFonts w:ascii="Arial" w:hAnsi="Arial" w:cs="Arial"/>
                <w:highlight w:val="yellow"/>
              </w:rPr>
              <w:t xml:space="preserve"> for acquiring, tracking, and applying continuing education credit.</w:t>
            </w:r>
          </w:p>
          <w:p w:rsidR="008A4662" w:rsidRPr="00273F68" w:rsidRDefault="008A4662" w:rsidP="00683FFB">
            <w:pPr>
              <w:pStyle w:val="ListParagraph"/>
              <w:numPr>
                <w:ilvl w:val="0"/>
                <w:numId w:val="18"/>
              </w:numPr>
              <w:spacing w:after="0"/>
              <w:ind w:left="720"/>
              <w:rPr>
                <w:rFonts w:ascii="Arial" w:hAnsi="Arial" w:cs="Arial"/>
              </w:rPr>
            </w:pPr>
            <w:r w:rsidRPr="008A4662">
              <w:rPr>
                <w:rFonts w:ascii="Arial" w:hAnsi="Arial" w:cs="Arial"/>
                <w:highlight w:val="yellow"/>
              </w:rPr>
              <w:t>The Department of Lab</w:t>
            </w:r>
            <w:r>
              <w:rPr>
                <w:rFonts w:ascii="Arial" w:hAnsi="Arial" w:cs="Arial"/>
                <w:highlight w:val="yellow"/>
              </w:rPr>
              <w:t xml:space="preserve">oratory </w:t>
            </w:r>
            <w:r w:rsidRPr="008A4662">
              <w:rPr>
                <w:rFonts w:ascii="Arial" w:hAnsi="Arial" w:cs="Arial"/>
                <w:highlight w:val="yellow"/>
              </w:rPr>
              <w:t>Med</w:t>
            </w:r>
            <w:r>
              <w:rPr>
                <w:rFonts w:ascii="Arial" w:hAnsi="Arial" w:cs="Arial"/>
                <w:highlight w:val="yellow"/>
              </w:rPr>
              <w:t>icine</w:t>
            </w:r>
            <w:r w:rsidRPr="008A4662">
              <w:rPr>
                <w:rFonts w:ascii="Arial" w:hAnsi="Arial" w:cs="Arial"/>
                <w:highlight w:val="yellow"/>
              </w:rPr>
              <w:t xml:space="preserve"> uses </w:t>
            </w:r>
            <w:proofErr w:type="spellStart"/>
            <w:r w:rsidRPr="008A4662">
              <w:rPr>
                <w:rFonts w:ascii="Arial" w:hAnsi="Arial" w:cs="Arial"/>
                <w:highlight w:val="yellow"/>
              </w:rPr>
              <w:t>MediaLab</w:t>
            </w:r>
            <w:proofErr w:type="spellEnd"/>
            <w:r w:rsidRPr="008A4662">
              <w:rPr>
                <w:rFonts w:ascii="Arial" w:hAnsi="Arial" w:cs="Arial"/>
                <w:highlight w:val="yellow"/>
              </w:rPr>
              <w:t xml:space="preserve"> for safety manuals and department wide procedures</w:t>
            </w:r>
          </w:p>
        </w:tc>
      </w:tr>
      <w:tr w:rsidR="000F582E" w:rsidRPr="000F582E" w:rsidTr="00706CF8">
        <w:trPr>
          <w:trHeight w:val="3635"/>
        </w:trPr>
        <w:tc>
          <w:tcPr>
            <w:tcW w:w="1800" w:type="dxa"/>
          </w:tcPr>
          <w:p w:rsidR="000F582E" w:rsidRPr="000F582E" w:rsidRDefault="00706CF8" w:rsidP="00706C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</w:t>
            </w:r>
            <w:r w:rsidR="000F582E" w:rsidRPr="000F582E">
              <w:rPr>
                <w:rFonts w:ascii="Arial" w:hAnsi="Arial" w:cs="Arial"/>
                <w:b/>
                <w:sz w:val="22"/>
                <w:szCs w:val="22"/>
              </w:rPr>
              <w:t>Records</w:t>
            </w:r>
          </w:p>
        </w:tc>
        <w:tc>
          <w:tcPr>
            <w:tcW w:w="8264" w:type="dxa"/>
            <w:vAlign w:val="center"/>
          </w:tcPr>
          <w:p w:rsidR="00706CF8" w:rsidRDefault="000F582E" w:rsidP="00683FFB">
            <w:pPr>
              <w:rPr>
                <w:rFonts w:ascii="Arial" w:hAnsi="Arial" w:cs="Arial"/>
                <w:sz w:val="22"/>
                <w:szCs w:val="22"/>
              </w:rPr>
            </w:pPr>
            <w:r w:rsidRPr="001128EB">
              <w:rPr>
                <w:rFonts w:ascii="Arial" w:hAnsi="Arial" w:cs="Arial"/>
                <w:sz w:val="22"/>
                <w:szCs w:val="22"/>
              </w:rPr>
              <w:t xml:space="preserve">The Transfusion Service and Laboratory Medicine Administration maintain </w:t>
            </w:r>
            <w:r w:rsidR="00706CF8" w:rsidRPr="001128EB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Pr="001128EB">
              <w:rPr>
                <w:rFonts w:ascii="Arial" w:hAnsi="Arial" w:cs="Arial"/>
                <w:sz w:val="22"/>
                <w:szCs w:val="22"/>
              </w:rPr>
              <w:t>records for each employee.</w:t>
            </w:r>
          </w:p>
          <w:p w:rsidR="00683FFB" w:rsidRPr="001128EB" w:rsidRDefault="00683FFB" w:rsidP="00683FFB">
            <w:pPr>
              <w:rPr>
                <w:rFonts w:ascii="Arial" w:hAnsi="Arial" w:cs="Arial"/>
                <w:sz w:val="22"/>
                <w:szCs w:val="22"/>
              </w:rPr>
            </w:pPr>
          </w:p>
          <w:p w:rsidR="000F582E" w:rsidRPr="000F582E" w:rsidRDefault="000F582E" w:rsidP="00683FFB">
            <w:pPr>
              <w:rPr>
                <w:rFonts w:ascii="Arial" w:hAnsi="Arial" w:cs="Arial"/>
                <w:sz w:val="22"/>
                <w:szCs w:val="22"/>
              </w:rPr>
            </w:pPr>
            <w:r w:rsidRPr="000F582E">
              <w:rPr>
                <w:rFonts w:ascii="Arial" w:hAnsi="Arial" w:cs="Arial"/>
                <w:sz w:val="22"/>
                <w:szCs w:val="22"/>
              </w:rPr>
              <w:t>The following records are maintained and retained for those authorized to perform or review critical tasks:</w:t>
            </w:r>
          </w:p>
          <w:p w:rsidR="004C1B83" w:rsidRPr="003354E7" w:rsidRDefault="004C1B83" w:rsidP="00683FF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3354E7">
              <w:rPr>
                <w:rFonts w:ascii="Arial" w:hAnsi="Arial" w:cs="Arial"/>
              </w:rPr>
              <w:t>Records of initial training, competency completion, and subsequent training</w:t>
            </w:r>
          </w:p>
          <w:p w:rsidR="004C1B83" w:rsidRPr="003354E7" w:rsidRDefault="000F49BE" w:rsidP="00683FF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document review at initial training, and prior to implementation of any new or revised document.</w:t>
            </w:r>
          </w:p>
          <w:p w:rsidR="00706CF8" w:rsidRDefault="00706CF8" w:rsidP="00683FF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semi-annual safety training</w:t>
            </w:r>
          </w:p>
          <w:p w:rsidR="003354E7" w:rsidRPr="001128EB" w:rsidRDefault="00706CF8" w:rsidP="00683FF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1128EB">
              <w:rPr>
                <w:rFonts w:ascii="Arial" w:hAnsi="Arial" w:cs="Arial"/>
              </w:rPr>
              <w:t>Records of annual compliance training</w:t>
            </w:r>
          </w:p>
          <w:p w:rsidR="00683FFB" w:rsidRDefault="00683FFB" w:rsidP="00683FFB">
            <w:pPr>
              <w:rPr>
                <w:rFonts w:ascii="Arial" w:hAnsi="Arial" w:cs="Arial"/>
              </w:rPr>
            </w:pPr>
          </w:p>
          <w:p w:rsidR="003354E7" w:rsidRPr="00683FFB" w:rsidRDefault="003354E7" w:rsidP="00683FFB">
            <w:pPr>
              <w:rPr>
                <w:rFonts w:ascii="Arial" w:hAnsi="Arial" w:cs="Arial"/>
                <w:sz w:val="22"/>
              </w:rPr>
            </w:pPr>
            <w:r w:rsidRPr="00683FFB">
              <w:rPr>
                <w:rFonts w:ascii="Arial" w:hAnsi="Arial" w:cs="Arial"/>
                <w:sz w:val="22"/>
              </w:rPr>
              <w:t>Archived Training Records</w:t>
            </w:r>
          </w:p>
          <w:p w:rsidR="003354E7" w:rsidRPr="00B20146" w:rsidRDefault="00905150" w:rsidP="00A12E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  <w:r w:rsidR="00C91E55">
              <w:rPr>
                <w:rFonts w:ascii="Arial" w:hAnsi="Arial" w:cs="Arial"/>
              </w:rPr>
              <w:t xml:space="preserve">aining Records will be retained </w:t>
            </w:r>
            <w:r w:rsidR="00A12E07">
              <w:rPr>
                <w:rFonts w:ascii="Arial" w:hAnsi="Arial" w:cs="Arial"/>
              </w:rPr>
              <w:t xml:space="preserve">per TSL </w:t>
            </w:r>
            <w:r w:rsidR="00A12E07">
              <w:rPr>
                <w:rFonts w:ascii="Arial" w:hAnsi="Arial" w:cs="Arial"/>
                <w:highlight w:val="yellow"/>
              </w:rPr>
              <w:t>Documents</w:t>
            </w:r>
            <w:r w:rsidR="00A12E07" w:rsidRPr="00A12E07">
              <w:rPr>
                <w:rFonts w:ascii="Arial" w:hAnsi="Arial" w:cs="Arial"/>
                <w:highlight w:val="yellow"/>
              </w:rPr>
              <w:t xml:space="preserve"> and</w:t>
            </w:r>
            <w:r w:rsidR="00A12E07">
              <w:rPr>
                <w:rFonts w:ascii="Arial" w:hAnsi="Arial" w:cs="Arial"/>
                <w:highlight w:val="yellow"/>
              </w:rPr>
              <w:t xml:space="preserve"> Records</w:t>
            </w:r>
            <w:r w:rsidR="00A12E07" w:rsidRPr="00A12E07">
              <w:rPr>
                <w:rFonts w:ascii="Arial" w:hAnsi="Arial" w:cs="Arial"/>
                <w:highlight w:val="yellow"/>
              </w:rPr>
              <w:t xml:space="preserve"> Retention Policy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F582E" w:rsidRDefault="000F582E" w:rsidP="00905150">
      <w:pPr>
        <w:rPr>
          <w:rFonts w:ascii="Arial" w:hAnsi="Arial" w:cs="Arial"/>
          <w:sz w:val="22"/>
          <w:szCs w:val="22"/>
        </w:rPr>
      </w:pPr>
    </w:p>
    <w:sectPr w:rsidR="000F582E" w:rsidSect="00683FF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0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2A" w:rsidRDefault="0088212A">
      <w:r>
        <w:separator/>
      </w:r>
    </w:p>
  </w:endnote>
  <w:endnote w:type="continuationSeparator" w:id="0">
    <w:p w:rsidR="0088212A" w:rsidRDefault="0088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B20146" w:rsidP="00B20146">
    <w:pPr>
      <w:pStyle w:val="Footer"/>
      <w:ind w:left="540" w:hanging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40C46">
      <w:rPr>
        <w:rFonts w:ascii="Arial" w:hAnsi="Arial" w:cs="Arial"/>
        <w:noProof/>
        <w:sz w:val="20"/>
        <w:szCs w:val="20"/>
      </w:rPr>
      <w:t>2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40C46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B20146" w:rsidRDefault="00B20146" w:rsidP="00B20146">
    <w:pPr>
      <w:pStyle w:val="Footer"/>
      <w:ind w:left="540" w:hanging="72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98104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B2014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2A" w:rsidRDefault="0088212A">
      <w:r>
        <w:separator/>
      </w:r>
    </w:p>
  </w:footnote>
  <w:footnote w:type="continuationSeparator" w:id="0">
    <w:p w:rsidR="0088212A" w:rsidRDefault="0088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Pr="004A659F" w:rsidRDefault="004A659F" w:rsidP="004A659F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Quality Process:  Training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6" w:rsidRDefault="00C91E55" w:rsidP="00B20146">
    <w:pPr>
      <w:ind w:hanging="180"/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0BEE4F2" wp14:editId="66620B87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443" w:rsidRDefault="00A83443" w:rsidP="00B20146">
    <w:pPr>
      <w:ind w:hanging="180"/>
      <w:jc w:val="both"/>
    </w:pP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247"/>
      <w:gridCol w:w="2747"/>
      <w:gridCol w:w="2086"/>
    </w:tblGrid>
    <w:tr w:rsidR="00B20146" w:rsidTr="00B20146">
      <w:trPr>
        <w:cantSplit/>
        <w:trHeight w:val="480"/>
      </w:trPr>
      <w:tc>
        <w:tcPr>
          <w:tcW w:w="524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20146" w:rsidRPr="009409A7" w:rsidRDefault="00B20146" w:rsidP="0090515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91E55">
            <w:rPr>
              <w:rFonts w:ascii="Arial" w:hAnsi="Arial" w:cs="Arial"/>
              <w:sz w:val="22"/>
              <w:szCs w:val="22"/>
            </w:rPr>
            <w:t>1/15/14</w:t>
          </w:r>
        </w:p>
      </w:tc>
      <w:tc>
        <w:tcPr>
          <w:tcW w:w="2086" w:type="dxa"/>
          <w:tcBorders>
            <w:top w:val="double" w:sz="4" w:space="0" w:color="auto"/>
            <w:left w:val="nil"/>
            <w:bottom w:val="nil"/>
          </w:tcBorders>
        </w:tcPr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20146" w:rsidRPr="009409A7" w:rsidRDefault="00683FFB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1202-2</w:t>
          </w:r>
        </w:p>
      </w:tc>
    </w:tr>
    <w:tr w:rsidR="00B20146" w:rsidTr="00B20146">
      <w:trPr>
        <w:cantSplit/>
        <w:trHeight w:val="132"/>
      </w:trPr>
      <w:tc>
        <w:tcPr>
          <w:tcW w:w="524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20146" w:rsidRPr="009409A7" w:rsidRDefault="00B2014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20146" w:rsidRPr="009409A7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20146" w:rsidRPr="009409A7" w:rsidRDefault="00683FFB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11/4/19</w:t>
          </w:r>
        </w:p>
      </w:tc>
      <w:tc>
        <w:tcPr>
          <w:tcW w:w="208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03525" w:rsidRDefault="00B2014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B20146" w:rsidRPr="009409A7" w:rsidRDefault="0060352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20146" w:rsidTr="00B20146">
      <w:trPr>
        <w:cantSplit/>
        <w:trHeight w:val="485"/>
      </w:trPr>
      <w:tc>
        <w:tcPr>
          <w:tcW w:w="10080" w:type="dxa"/>
          <w:gridSpan w:val="3"/>
          <w:tcBorders>
            <w:top w:val="nil"/>
          </w:tcBorders>
          <w:vAlign w:val="center"/>
        </w:tcPr>
        <w:p w:rsidR="00B20146" w:rsidRPr="006C5814" w:rsidRDefault="00B20146" w:rsidP="00683FFB">
          <w:pPr>
            <w:rPr>
              <w:rFonts w:ascii="Arial" w:hAnsi="Arial" w:cs="Arial"/>
              <w:sz w:val="28"/>
              <w:szCs w:val="28"/>
            </w:rPr>
          </w:pPr>
          <w:r w:rsidRPr="006C5814">
            <w:rPr>
              <w:rFonts w:ascii="Arial" w:hAnsi="Arial" w:cs="Arial"/>
              <w:sz w:val="28"/>
              <w:szCs w:val="28"/>
            </w:rPr>
            <w:t xml:space="preserve">TITLE:  </w:t>
          </w:r>
          <w:r w:rsidR="00296139" w:rsidRPr="006C5814">
            <w:rPr>
              <w:rFonts w:ascii="Arial" w:hAnsi="Arial" w:cs="Arial"/>
              <w:sz w:val="28"/>
              <w:szCs w:val="28"/>
            </w:rPr>
            <w:t>QSE</w:t>
          </w:r>
          <w:r w:rsidR="00060FCE" w:rsidRPr="006C5814">
            <w:rPr>
              <w:rFonts w:ascii="Arial" w:hAnsi="Arial" w:cs="Arial"/>
              <w:sz w:val="28"/>
              <w:szCs w:val="28"/>
            </w:rPr>
            <w:t xml:space="preserve">:  </w:t>
          </w:r>
          <w:r w:rsidR="00E820BA" w:rsidRPr="006C5814">
            <w:rPr>
              <w:rFonts w:ascii="Arial" w:hAnsi="Arial" w:cs="Arial"/>
              <w:sz w:val="28"/>
              <w:szCs w:val="28"/>
            </w:rPr>
            <w:t>Resourc</w:t>
          </w:r>
          <w:r w:rsidR="00296139" w:rsidRPr="006C5814">
            <w:rPr>
              <w:rFonts w:ascii="Arial" w:hAnsi="Arial" w:cs="Arial"/>
              <w:sz w:val="28"/>
              <w:szCs w:val="28"/>
            </w:rPr>
            <w:t xml:space="preserve">e  </w:t>
          </w:r>
          <w:r w:rsidRPr="006C5814">
            <w:rPr>
              <w:rFonts w:ascii="Arial" w:hAnsi="Arial" w:cs="Arial"/>
              <w:sz w:val="28"/>
              <w:szCs w:val="28"/>
            </w:rPr>
            <w:t xml:space="preserve">Quality </w:t>
          </w:r>
          <w:r w:rsidR="00E820BA" w:rsidRPr="006C5814">
            <w:rPr>
              <w:rFonts w:ascii="Arial" w:hAnsi="Arial" w:cs="Arial"/>
              <w:sz w:val="28"/>
              <w:szCs w:val="28"/>
            </w:rPr>
            <w:t xml:space="preserve">Process:  Training </w:t>
          </w:r>
        </w:p>
      </w:tc>
    </w:tr>
  </w:tbl>
  <w:p w:rsidR="00B20146" w:rsidRDefault="00B201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D57"/>
    <w:multiLevelType w:val="hybridMultilevel"/>
    <w:tmpl w:val="B1E064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83841"/>
    <w:multiLevelType w:val="hybridMultilevel"/>
    <w:tmpl w:val="AEBAA7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9208B"/>
    <w:multiLevelType w:val="hybridMultilevel"/>
    <w:tmpl w:val="0C4E79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CA057E8"/>
    <w:multiLevelType w:val="hybridMultilevel"/>
    <w:tmpl w:val="F9A00B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46B5"/>
    <w:multiLevelType w:val="hybridMultilevel"/>
    <w:tmpl w:val="ABB26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24379"/>
    <w:multiLevelType w:val="hybridMultilevel"/>
    <w:tmpl w:val="40045E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D5D71"/>
    <w:multiLevelType w:val="hybridMultilevel"/>
    <w:tmpl w:val="1BA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5BDB"/>
    <w:multiLevelType w:val="hybridMultilevel"/>
    <w:tmpl w:val="9CD65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53B16"/>
    <w:multiLevelType w:val="hybridMultilevel"/>
    <w:tmpl w:val="E5EC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C57EE"/>
    <w:multiLevelType w:val="hybridMultilevel"/>
    <w:tmpl w:val="77E860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D7037"/>
    <w:multiLevelType w:val="hybridMultilevel"/>
    <w:tmpl w:val="86E81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B361A"/>
    <w:multiLevelType w:val="hybridMultilevel"/>
    <w:tmpl w:val="1750E1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008A2"/>
    <w:multiLevelType w:val="hybridMultilevel"/>
    <w:tmpl w:val="9F341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E7272"/>
    <w:multiLevelType w:val="hybridMultilevel"/>
    <w:tmpl w:val="90601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2486"/>
    <w:multiLevelType w:val="hybridMultilevel"/>
    <w:tmpl w:val="BD10A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30113A"/>
    <w:multiLevelType w:val="hybridMultilevel"/>
    <w:tmpl w:val="ACE2D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87DB0"/>
    <w:multiLevelType w:val="hybridMultilevel"/>
    <w:tmpl w:val="6E1E16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C53BF"/>
    <w:multiLevelType w:val="hybridMultilevel"/>
    <w:tmpl w:val="09405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A439B6"/>
    <w:multiLevelType w:val="hybridMultilevel"/>
    <w:tmpl w:val="99D032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84F29"/>
    <w:multiLevelType w:val="hybridMultilevel"/>
    <w:tmpl w:val="457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5520B"/>
    <w:multiLevelType w:val="hybridMultilevel"/>
    <w:tmpl w:val="ECE0D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00D0F"/>
    <w:multiLevelType w:val="hybridMultilevel"/>
    <w:tmpl w:val="8D627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50559"/>
    <w:multiLevelType w:val="hybridMultilevel"/>
    <w:tmpl w:val="9EE44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11"/>
  </w:num>
  <w:num w:numId="6">
    <w:abstractNumId w:val="16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21"/>
  </w:num>
  <w:num w:numId="14">
    <w:abstractNumId w:val="19"/>
  </w:num>
  <w:num w:numId="15">
    <w:abstractNumId w:val="20"/>
  </w:num>
  <w:num w:numId="16">
    <w:abstractNumId w:val="13"/>
  </w:num>
  <w:num w:numId="17">
    <w:abstractNumId w:val="18"/>
  </w:num>
  <w:num w:numId="18">
    <w:abstractNumId w:val="2"/>
  </w:num>
  <w:num w:numId="19">
    <w:abstractNumId w:val="22"/>
  </w:num>
  <w:num w:numId="20">
    <w:abstractNumId w:val="8"/>
  </w:num>
  <w:num w:numId="21">
    <w:abstractNumId w:val="17"/>
  </w:num>
  <w:num w:numId="22">
    <w:abstractNumId w:val="14"/>
  </w:num>
  <w:num w:numId="2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37009"/>
    <w:rsid w:val="00060FCE"/>
    <w:rsid w:val="000772AD"/>
    <w:rsid w:val="0009088F"/>
    <w:rsid w:val="0009474D"/>
    <w:rsid w:val="000C293D"/>
    <w:rsid w:val="000F3E06"/>
    <w:rsid w:val="000F49BE"/>
    <w:rsid w:val="000F582E"/>
    <w:rsid w:val="000F6AAE"/>
    <w:rsid w:val="00103469"/>
    <w:rsid w:val="00106C14"/>
    <w:rsid w:val="001128EB"/>
    <w:rsid w:val="00134001"/>
    <w:rsid w:val="00141E11"/>
    <w:rsid w:val="00160237"/>
    <w:rsid w:val="001D5DD7"/>
    <w:rsid w:val="001D640D"/>
    <w:rsid w:val="0023598C"/>
    <w:rsid w:val="0025315A"/>
    <w:rsid w:val="00260EA6"/>
    <w:rsid w:val="00273F68"/>
    <w:rsid w:val="00292148"/>
    <w:rsid w:val="00296139"/>
    <w:rsid w:val="002A6E0C"/>
    <w:rsid w:val="002B0192"/>
    <w:rsid w:val="003354E7"/>
    <w:rsid w:val="00371126"/>
    <w:rsid w:val="003768DE"/>
    <w:rsid w:val="003B3BCF"/>
    <w:rsid w:val="003D33CF"/>
    <w:rsid w:val="004002C8"/>
    <w:rsid w:val="004058AE"/>
    <w:rsid w:val="0042240B"/>
    <w:rsid w:val="00426386"/>
    <w:rsid w:val="00481A50"/>
    <w:rsid w:val="00494F55"/>
    <w:rsid w:val="004A659F"/>
    <w:rsid w:val="004C1B83"/>
    <w:rsid w:val="00517BDC"/>
    <w:rsid w:val="00536FF8"/>
    <w:rsid w:val="0054092F"/>
    <w:rsid w:val="00555178"/>
    <w:rsid w:val="00583003"/>
    <w:rsid w:val="005B0688"/>
    <w:rsid w:val="00603525"/>
    <w:rsid w:val="00607F11"/>
    <w:rsid w:val="00614052"/>
    <w:rsid w:val="00626BFE"/>
    <w:rsid w:val="0063132A"/>
    <w:rsid w:val="00664A70"/>
    <w:rsid w:val="00674B54"/>
    <w:rsid w:val="00683FFB"/>
    <w:rsid w:val="00685CA6"/>
    <w:rsid w:val="00691B6C"/>
    <w:rsid w:val="006B51B4"/>
    <w:rsid w:val="006C5814"/>
    <w:rsid w:val="006D7A3B"/>
    <w:rsid w:val="00706CF8"/>
    <w:rsid w:val="00710E03"/>
    <w:rsid w:val="00712FF0"/>
    <w:rsid w:val="007228A1"/>
    <w:rsid w:val="00725BB9"/>
    <w:rsid w:val="007306F8"/>
    <w:rsid w:val="007D6893"/>
    <w:rsid w:val="007E3CD1"/>
    <w:rsid w:val="00801CE0"/>
    <w:rsid w:val="00845984"/>
    <w:rsid w:val="00846C27"/>
    <w:rsid w:val="0088212A"/>
    <w:rsid w:val="00884377"/>
    <w:rsid w:val="008A4662"/>
    <w:rsid w:val="008B1340"/>
    <w:rsid w:val="008C3606"/>
    <w:rsid w:val="008C7BF0"/>
    <w:rsid w:val="00905150"/>
    <w:rsid w:val="00924038"/>
    <w:rsid w:val="009247E1"/>
    <w:rsid w:val="009355E6"/>
    <w:rsid w:val="009378D5"/>
    <w:rsid w:val="009409A7"/>
    <w:rsid w:val="00952B09"/>
    <w:rsid w:val="00977F64"/>
    <w:rsid w:val="009C3428"/>
    <w:rsid w:val="009C79FD"/>
    <w:rsid w:val="009E6AE6"/>
    <w:rsid w:val="00A12E07"/>
    <w:rsid w:val="00A23E1C"/>
    <w:rsid w:val="00A46AA3"/>
    <w:rsid w:val="00A74A94"/>
    <w:rsid w:val="00A83443"/>
    <w:rsid w:val="00AB193D"/>
    <w:rsid w:val="00AB68C2"/>
    <w:rsid w:val="00AC1E75"/>
    <w:rsid w:val="00AC4DD1"/>
    <w:rsid w:val="00B00DB1"/>
    <w:rsid w:val="00B138A9"/>
    <w:rsid w:val="00B20146"/>
    <w:rsid w:val="00B67C39"/>
    <w:rsid w:val="00B87D2D"/>
    <w:rsid w:val="00BE17DB"/>
    <w:rsid w:val="00BE5CD0"/>
    <w:rsid w:val="00C50C16"/>
    <w:rsid w:val="00C72EAA"/>
    <w:rsid w:val="00C8302C"/>
    <w:rsid w:val="00C91E55"/>
    <w:rsid w:val="00CF6D43"/>
    <w:rsid w:val="00D079A5"/>
    <w:rsid w:val="00D40C46"/>
    <w:rsid w:val="00D42930"/>
    <w:rsid w:val="00DF2F3B"/>
    <w:rsid w:val="00E074EB"/>
    <w:rsid w:val="00E22EFD"/>
    <w:rsid w:val="00E46C88"/>
    <w:rsid w:val="00E62CA3"/>
    <w:rsid w:val="00E820BA"/>
    <w:rsid w:val="00EA24D6"/>
    <w:rsid w:val="00EE35D9"/>
    <w:rsid w:val="00EF2F27"/>
    <w:rsid w:val="00F04C71"/>
    <w:rsid w:val="00F05766"/>
    <w:rsid w:val="00F30573"/>
    <w:rsid w:val="00F7532C"/>
    <w:rsid w:val="00F83324"/>
    <w:rsid w:val="00F90239"/>
    <w:rsid w:val="00FC26FE"/>
    <w:rsid w:val="00FF49CA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C91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C91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ncsu.edu/learningstyles/ilsweb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5726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Erin Tuott</cp:lastModifiedBy>
  <cp:revision>9</cp:revision>
  <cp:lastPrinted>2019-10-21T20:50:00Z</cp:lastPrinted>
  <dcterms:created xsi:type="dcterms:W3CDTF">2019-10-08T22:05:00Z</dcterms:created>
  <dcterms:modified xsi:type="dcterms:W3CDTF">2019-10-21T20:51:00Z</dcterms:modified>
</cp:coreProperties>
</file>