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E862" w14:textId="77777777"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07798">
        <w:rPr>
          <w:rFonts w:ascii="Arial" w:hAnsi="Arial" w:cs="Arial"/>
          <w:b/>
          <w:sz w:val="22"/>
          <w:szCs w:val="22"/>
        </w:rPr>
        <w:t>Purpose</w:t>
      </w:r>
    </w:p>
    <w:p w14:paraId="2CF5DA45" w14:textId="77777777"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guidelines for the testing and resulting of eluates and to describe the exclusion and confirmation techniques used for the process. </w:t>
      </w:r>
    </w:p>
    <w:p w14:paraId="6EC34C33" w14:textId="77777777"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14:paraId="554F3723" w14:textId="77777777"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Policy</w:t>
      </w:r>
    </w:p>
    <w:p w14:paraId="232B5C91" w14:textId="77777777" w:rsidR="006A4F8F" w:rsidRPr="009C5A31" w:rsidRDefault="006A4F8F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The HMC TSL uses the Elution technique as follows:</w:t>
      </w:r>
    </w:p>
    <w:p w14:paraId="518AE730" w14:textId="77777777" w:rsidR="006A4F8F" w:rsidRPr="009C5A31" w:rsidRDefault="006A4F8F" w:rsidP="008C15FA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identify clinically significant antibodies that are bound to a patient’s red cells, in order to </w:t>
      </w:r>
      <w:r w:rsidR="000F49E5" w:rsidRPr="009C5A31">
        <w:rPr>
          <w:rFonts w:ascii="Arial" w:hAnsi="Arial" w:cs="Arial"/>
          <w:sz w:val="22"/>
          <w:szCs w:val="22"/>
        </w:rPr>
        <w:t>provide antigen</w:t>
      </w:r>
      <w:r w:rsidR="007F47D5" w:rsidRPr="009C5A31">
        <w:rPr>
          <w:rFonts w:ascii="Arial" w:hAnsi="Arial" w:cs="Arial"/>
          <w:sz w:val="22"/>
          <w:szCs w:val="22"/>
        </w:rPr>
        <w:t xml:space="preserve"> negative </w:t>
      </w:r>
      <w:r w:rsidRPr="009C5A31">
        <w:rPr>
          <w:rFonts w:ascii="Arial" w:hAnsi="Arial" w:cs="Arial"/>
          <w:sz w:val="22"/>
          <w:szCs w:val="22"/>
        </w:rPr>
        <w:t>units for the patient.</w:t>
      </w:r>
    </w:p>
    <w:p w14:paraId="58D40556" w14:textId="77777777" w:rsidR="007F47D5" w:rsidRPr="009C5A31" w:rsidRDefault="006A4F8F" w:rsidP="008C15FA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clinical diagnostic information to the medical staff in order to provide better patient care. </w:t>
      </w:r>
    </w:p>
    <w:p w14:paraId="58DD9978" w14:textId="77777777" w:rsidR="006A4F8F" w:rsidRPr="009C5A31" w:rsidRDefault="006A4F8F" w:rsidP="007F47D5">
      <w:pPr>
        <w:rPr>
          <w:rFonts w:ascii="Arial" w:hAnsi="Arial" w:cs="Arial"/>
          <w:b/>
          <w:sz w:val="22"/>
          <w:szCs w:val="22"/>
        </w:rPr>
      </w:pPr>
    </w:p>
    <w:p w14:paraId="485579A5" w14:textId="77777777"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Interpretation</w:t>
      </w:r>
    </w:p>
    <w:p w14:paraId="05FFA0EF" w14:textId="20C37077" w:rsidR="007F47D5" w:rsidRPr="008C15FA" w:rsidRDefault="007F47D5" w:rsidP="007F47D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C15FA">
        <w:rPr>
          <w:rFonts w:ascii="Arial" w:hAnsi="Arial" w:cs="Arial"/>
          <w:b/>
          <w:sz w:val="22"/>
          <w:szCs w:val="22"/>
        </w:rPr>
        <w:t>Positive Result:</w:t>
      </w:r>
      <w:r w:rsidRPr="008C15FA">
        <w:rPr>
          <w:rFonts w:ascii="Arial" w:hAnsi="Arial" w:cs="Arial"/>
          <w:sz w:val="22"/>
          <w:szCs w:val="22"/>
        </w:rPr>
        <w:t xml:space="preserve"> Presence of hemolysis or agglutination at any phase of testing indicates the presence of anti</w:t>
      </w:r>
      <w:r w:rsidR="00EC3A6D" w:rsidRPr="008C15FA">
        <w:rPr>
          <w:rFonts w:ascii="Arial" w:hAnsi="Arial" w:cs="Arial"/>
          <w:sz w:val="22"/>
          <w:szCs w:val="22"/>
        </w:rPr>
        <w:t xml:space="preserve">body. </w:t>
      </w:r>
      <w:r w:rsidR="006A4F8F" w:rsidRPr="008C15FA">
        <w:rPr>
          <w:rFonts w:ascii="Arial" w:hAnsi="Arial" w:cs="Arial"/>
          <w:sz w:val="22"/>
          <w:szCs w:val="22"/>
        </w:rPr>
        <w:t xml:space="preserve">Report the results </w:t>
      </w:r>
      <w:r w:rsidRPr="008C15FA">
        <w:rPr>
          <w:rFonts w:ascii="Arial" w:hAnsi="Arial" w:cs="Arial"/>
          <w:sz w:val="22"/>
          <w:szCs w:val="22"/>
        </w:rPr>
        <w:t xml:space="preserve">in </w:t>
      </w:r>
      <w:r w:rsidR="006A4F8F" w:rsidRPr="008C15FA">
        <w:rPr>
          <w:rFonts w:ascii="Arial" w:hAnsi="Arial" w:cs="Arial"/>
          <w:sz w:val="22"/>
          <w:szCs w:val="22"/>
        </w:rPr>
        <w:t>Sunquest using</w:t>
      </w:r>
      <w:r w:rsidRPr="008C15FA">
        <w:rPr>
          <w:rFonts w:ascii="Arial" w:hAnsi="Arial" w:cs="Arial"/>
          <w:sz w:val="22"/>
          <w:szCs w:val="22"/>
        </w:rPr>
        <w:t xml:space="preserve"> appropriate antibody codes.</w:t>
      </w:r>
    </w:p>
    <w:p w14:paraId="46E5F46B" w14:textId="77777777" w:rsidR="008C15FA" w:rsidRDefault="007F47D5" w:rsidP="007F47D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C15FA">
        <w:rPr>
          <w:rFonts w:ascii="Arial" w:hAnsi="Arial" w:cs="Arial"/>
          <w:b/>
          <w:sz w:val="22"/>
          <w:szCs w:val="22"/>
        </w:rPr>
        <w:t>Negative Result:</w:t>
      </w:r>
      <w:r w:rsidRPr="008C15FA">
        <w:rPr>
          <w:rFonts w:ascii="Arial" w:hAnsi="Arial" w:cs="Arial"/>
          <w:sz w:val="22"/>
          <w:szCs w:val="22"/>
        </w:rPr>
        <w:t xml:space="preserve"> Absence of agglutination or hemolysis through all the steps of testing indicates that the antibody is not pre</w:t>
      </w:r>
      <w:r w:rsidR="00EC3A6D" w:rsidRPr="008C15FA">
        <w:rPr>
          <w:rFonts w:ascii="Arial" w:hAnsi="Arial" w:cs="Arial"/>
          <w:sz w:val="22"/>
          <w:szCs w:val="22"/>
        </w:rPr>
        <w:t xml:space="preserve">sent. </w:t>
      </w:r>
      <w:r w:rsidR="006A4F8F" w:rsidRPr="008C15FA">
        <w:rPr>
          <w:rFonts w:ascii="Arial" w:hAnsi="Arial" w:cs="Arial"/>
          <w:sz w:val="22"/>
          <w:szCs w:val="22"/>
        </w:rPr>
        <w:t>Report the results in Sunquest using</w:t>
      </w:r>
      <w:r w:rsidRPr="008C15FA">
        <w:rPr>
          <w:rFonts w:ascii="Arial" w:hAnsi="Arial" w:cs="Arial"/>
          <w:sz w:val="22"/>
          <w:szCs w:val="22"/>
        </w:rPr>
        <w:t xml:space="preserve"> code </w:t>
      </w:r>
      <w:r w:rsidR="008C7685" w:rsidRPr="008C15FA">
        <w:rPr>
          <w:rFonts w:ascii="Arial" w:hAnsi="Arial" w:cs="Arial"/>
          <w:sz w:val="22"/>
          <w:szCs w:val="22"/>
        </w:rPr>
        <w:t>NOABE</w:t>
      </w:r>
      <w:r w:rsidRPr="008C15FA">
        <w:rPr>
          <w:rFonts w:ascii="Arial" w:hAnsi="Arial" w:cs="Arial"/>
          <w:sz w:val="22"/>
          <w:szCs w:val="22"/>
        </w:rPr>
        <w:t xml:space="preserve"> (No antibody activity demonstrated in eluate).</w:t>
      </w:r>
    </w:p>
    <w:p w14:paraId="7BC3FC70" w14:textId="7EDE8A74" w:rsidR="007F47D5" w:rsidRPr="008C15FA" w:rsidRDefault="007F47D5" w:rsidP="007F47D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C15FA">
        <w:rPr>
          <w:rFonts w:ascii="Arial" w:hAnsi="Arial" w:cs="Arial"/>
          <w:b/>
          <w:sz w:val="22"/>
          <w:szCs w:val="22"/>
        </w:rPr>
        <w:t>Rule-outs:</w:t>
      </w:r>
      <w:r w:rsidRPr="008C15FA">
        <w:rPr>
          <w:rFonts w:ascii="Arial" w:hAnsi="Arial" w:cs="Arial"/>
          <w:sz w:val="22"/>
          <w:szCs w:val="22"/>
        </w:rPr>
        <w:t xml:space="preserve"> Rule-outs should be performed per antibody identification guidelines.</w:t>
      </w:r>
    </w:p>
    <w:p w14:paraId="28B848E7" w14:textId="77777777" w:rsidR="007F47D5" w:rsidRPr="009C5A31" w:rsidRDefault="007F47D5" w:rsidP="007F47D5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14:paraId="40D19544" w14:textId="77777777" w:rsidR="007F47D5" w:rsidRPr="009C5A31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Sample Requirements</w:t>
      </w:r>
    </w:p>
    <w:p w14:paraId="2A994D81" w14:textId="77777777" w:rsidR="007F47D5" w:rsidRPr="009C5A31" w:rsidRDefault="007F47D5" w:rsidP="008C15FA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Purple or Pink Top EDTA</w:t>
      </w:r>
    </w:p>
    <w:p w14:paraId="563F0E00" w14:textId="77777777" w:rsidR="007F47D5" w:rsidRPr="009C5A31" w:rsidRDefault="007F47D5" w:rsidP="008C15FA">
      <w:pPr>
        <w:pStyle w:val="ListParagraph"/>
        <w:numPr>
          <w:ilvl w:val="0"/>
          <w:numId w:val="2"/>
        </w:numPr>
        <w:tabs>
          <w:tab w:val="left" w:pos="930"/>
        </w:tabs>
        <w:ind w:left="720"/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Retain sufficient cells and plasma in the original tube for compatibility testing.</w:t>
      </w:r>
    </w:p>
    <w:p w14:paraId="4C09026C" w14:textId="77777777" w:rsidR="007F47D5" w:rsidRPr="009C5A31" w:rsidRDefault="007F47D5" w:rsidP="008C15FA">
      <w:pPr>
        <w:pStyle w:val="ListParagraph"/>
        <w:numPr>
          <w:ilvl w:val="0"/>
          <w:numId w:val="2"/>
        </w:numPr>
        <w:tabs>
          <w:tab w:val="left" w:pos="930"/>
        </w:tabs>
        <w:ind w:left="720"/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Order entered as battery DAT</w:t>
      </w:r>
      <w:r w:rsidR="00EC3A6D">
        <w:rPr>
          <w:rFonts w:ascii="Arial" w:hAnsi="Arial" w:cs="Arial"/>
          <w:sz w:val="22"/>
          <w:szCs w:val="22"/>
        </w:rPr>
        <w:t xml:space="preserve"> </w:t>
      </w:r>
      <w:r w:rsidR="00EC3A6D" w:rsidRPr="00545525">
        <w:rPr>
          <w:rFonts w:ascii="Arial" w:hAnsi="Arial" w:cs="Arial"/>
          <w:sz w:val="22"/>
          <w:szCs w:val="22"/>
          <w:highlight w:val="yellow"/>
        </w:rPr>
        <w:t xml:space="preserve">if </w:t>
      </w:r>
      <w:r w:rsidR="00545525" w:rsidRPr="00545525">
        <w:rPr>
          <w:rFonts w:ascii="Arial" w:hAnsi="Arial" w:cs="Arial"/>
          <w:sz w:val="22"/>
          <w:szCs w:val="22"/>
          <w:highlight w:val="yellow"/>
        </w:rPr>
        <w:t>Eluate is not a reflex test for an existing TSCR/TRRX</w:t>
      </w:r>
      <w:r w:rsidR="00545525">
        <w:rPr>
          <w:rFonts w:ascii="Arial" w:hAnsi="Arial" w:cs="Arial"/>
          <w:sz w:val="22"/>
          <w:szCs w:val="22"/>
        </w:rPr>
        <w:t>.</w:t>
      </w:r>
    </w:p>
    <w:p w14:paraId="10AEBCB5" w14:textId="77777777" w:rsidR="007F47D5" w:rsidRPr="009C5A31" w:rsidRDefault="007F47D5" w:rsidP="008C15FA">
      <w:pPr>
        <w:pStyle w:val="ListParagraph"/>
        <w:numPr>
          <w:ilvl w:val="0"/>
          <w:numId w:val="2"/>
        </w:numPr>
        <w:tabs>
          <w:tab w:val="left" w:pos="930"/>
        </w:tabs>
        <w:ind w:left="720"/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Perform DAT prior to performing eluate.</w:t>
      </w:r>
    </w:p>
    <w:p w14:paraId="1A8A2C92" w14:textId="77777777" w:rsidR="007F47D5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14:paraId="41DC9516" w14:textId="77777777"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331"/>
        <w:gridCol w:w="1449"/>
        <w:gridCol w:w="3789"/>
        <w:gridCol w:w="2619"/>
      </w:tblGrid>
      <w:tr w:rsidR="007F47D5" w14:paraId="4EC4A080" w14:textId="77777777" w:rsidTr="008C15FA">
        <w:tc>
          <w:tcPr>
            <w:tcW w:w="2331" w:type="dxa"/>
            <w:shd w:val="clear" w:color="auto" w:fill="BFBFBF" w:themeFill="background1" w:themeFillShade="BF"/>
          </w:tcPr>
          <w:p w14:paraId="465041BC" w14:textId="77777777"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14:paraId="0FF6B3D9" w14:textId="77777777"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3789" w:type="dxa"/>
          </w:tcPr>
          <w:p w14:paraId="065E4A8D" w14:textId="77777777"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2619" w:type="dxa"/>
          </w:tcPr>
          <w:p w14:paraId="6A5EB7F8" w14:textId="77777777"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7F47D5" w:rsidRPr="0008565C" w14:paraId="3EE4126D" w14:textId="77777777" w:rsidTr="008C15FA">
        <w:tc>
          <w:tcPr>
            <w:tcW w:w="2331" w:type="dxa"/>
          </w:tcPr>
          <w:p w14:paraId="684E2E8E" w14:textId="77777777" w:rsidR="007F47D5" w:rsidRPr="0008565C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8565C">
              <w:rPr>
                <w:rFonts w:ascii="Arial" w:hAnsi="Arial" w:cs="Arial"/>
                <w:b/>
                <w:sz w:val="22"/>
                <w:szCs w:val="22"/>
              </w:rPr>
              <w:t>Original Sample</w:t>
            </w:r>
          </w:p>
        </w:tc>
        <w:tc>
          <w:tcPr>
            <w:tcW w:w="1449" w:type="dxa"/>
          </w:tcPr>
          <w:p w14:paraId="1A5CF88C" w14:textId="77777777" w:rsidR="007F47D5" w:rsidRPr="0008565C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3789" w:type="dxa"/>
          </w:tcPr>
          <w:p w14:paraId="7BB7C91B" w14:textId="77777777" w:rsidR="007F47D5" w:rsidRPr="0008565C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Within 3 days of draw</w:t>
            </w:r>
          </w:p>
        </w:tc>
        <w:tc>
          <w:tcPr>
            <w:tcW w:w="2619" w:type="dxa"/>
          </w:tcPr>
          <w:p w14:paraId="54AAFE21" w14:textId="77777777" w:rsidR="007F47D5" w:rsidRPr="0008565C" w:rsidRDefault="00EE5B2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45</w:t>
            </w:r>
            <w:r w:rsidR="007F47D5" w:rsidRPr="0008565C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</w:tc>
      </w:tr>
      <w:tr w:rsidR="007F47D5" w14:paraId="48E23D99" w14:textId="77777777" w:rsidTr="008C15FA">
        <w:tc>
          <w:tcPr>
            <w:tcW w:w="2331" w:type="dxa"/>
          </w:tcPr>
          <w:p w14:paraId="4EA3C2A7" w14:textId="77777777" w:rsidR="007F47D5" w:rsidRPr="0008565C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8565C">
              <w:rPr>
                <w:rFonts w:ascii="Arial" w:hAnsi="Arial" w:cs="Arial"/>
                <w:b/>
                <w:sz w:val="22"/>
                <w:szCs w:val="22"/>
              </w:rPr>
              <w:t>Eluate</w:t>
            </w:r>
          </w:p>
        </w:tc>
        <w:tc>
          <w:tcPr>
            <w:tcW w:w="1449" w:type="dxa"/>
          </w:tcPr>
          <w:p w14:paraId="7B6F5F73" w14:textId="77777777" w:rsidR="007F47D5" w:rsidRPr="0008565C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3789" w:type="dxa"/>
          </w:tcPr>
          <w:p w14:paraId="7AADB65C" w14:textId="77777777" w:rsidR="001344C6" w:rsidRPr="0008565C" w:rsidRDefault="001344C6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Within 7 days of preparation</w:t>
            </w:r>
          </w:p>
        </w:tc>
        <w:tc>
          <w:tcPr>
            <w:tcW w:w="2619" w:type="dxa"/>
          </w:tcPr>
          <w:p w14:paraId="7539E3BA" w14:textId="77777777" w:rsidR="007F47D5" w:rsidRPr="00092D64" w:rsidRDefault="001344C6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8565C">
              <w:rPr>
                <w:rFonts w:ascii="Arial" w:hAnsi="Arial" w:cs="Arial"/>
                <w:sz w:val="22"/>
                <w:szCs w:val="22"/>
              </w:rPr>
              <w:t>7</w:t>
            </w:r>
            <w:r w:rsidR="007F47D5" w:rsidRPr="0008565C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</w:tc>
      </w:tr>
    </w:tbl>
    <w:p w14:paraId="2A61E722" w14:textId="77777777"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08ECC0F2" w14:textId="77777777"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Testing Frequency</w:t>
      </w:r>
    </w:p>
    <w:p w14:paraId="4DF87491" w14:textId="77777777" w:rsidR="00A9567E" w:rsidRPr="00A9567E" w:rsidRDefault="007F47D5" w:rsidP="00A9567E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Samples will be tested based on the process below.</w:t>
      </w:r>
    </w:p>
    <w:p w14:paraId="4F9CB91D" w14:textId="1465F66A"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</w:t>
      </w:r>
      <w:r w:rsidR="003F7C18" w:rsidRPr="003F7C18">
        <w:rPr>
          <w:rFonts w:ascii="Arial" w:hAnsi="Arial" w:cs="Arial"/>
          <w:sz w:val="22"/>
          <w:szCs w:val="22"/>
          <w:highlight w:val="yellow"/>
        </w:rPr>
        <w:t>s</w:t>
      </w:r>
      <w:r>
        <w:rPr>
          <w:rFonts w:ascii="Arial" w:hAnsi="Arial" w:cs="Arial"/>
          <w:sz w:val="22"/>
          <w:szCs w:val="22"/>
        </w:rPr>
        <w:t xml:space="preserve">amples will be retested only when the patient has been transfused within the previous three months </w:t>
      </w:r>
      <w:r w:rsidRPr="006A4F8F">
        <w:rPr>
          <w:rFonts w:ascii="Arial" w:hAnsi="Arial" w:cs="Arial"/>
          <w:b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there is a clinical indication for subsequent elution, i.e. </w:t>
      </w:r>
      <w:r w:rsidR="003F7C18" w:rsidRPr="003F7C18">
        <w:rPr>
          <w:rFonts w:ascii="Arial" w:hAnsi="Arial" w:cs="Arial"/>
          <w:sz w:val="22"/>
          <w:szCs w:val="22"/>
          <w:highlight w:val="yellow"/>
        </w:rPr>
        <w:t xml:space="preserve">an increase in DAT </w:t>
      </w:r>
      <w:r w:rsidR="003F7C18">
        <w:rPr>
          <w:rFonts w:ascii="Arial" w:hAnsi="Arial" w:cs="Arial"/>
          <w:sz w:val="22"/>
          <w:szCs w:val="22"/>
          <w:highlight w:val="yellow"/>
        </w:rPr>
        <w:t xml:space="preserve">IgG </w:t>
      </w:r>
      <w:r w:rsidR="003F7C18" w:rsidRPr="003F7C18">
        <w:rPr>
          <w:rFonts w:ascii="Arial" w:hAnsi="Arial" w:cs="Arial"/>
          <w:sz w:val="22"/>
          <w:szCs w:val="22"/>
          <w:highlight w:val="yellow"/>
        </w:rPr>
        <w:t>reactivity</w:t>
      </w:r>
      <w:r w:rsidR="003F7C18"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sz w:val="22"/>
          <w:szCs w:val="22"/>
        </w:rPr>
        <w:t>the patient is having a delayed transfusion reaction and there is reason to sus</w:t>
      </w:r>
      <w:r w:rsidR="00545525">
        <w:rPr>
          <w:rFonts w:ascii="Arial" w:hAnsi="Arial" w:cs="Arial"/>
          <w:sz w:val="22"/>
          <w:szCs w:val="22"/>
        </w:rPr>
        <w:t xml:space="preserve">pect new antibody activity. </w:t>
      </w:r>
      <w:r>
        <w:rPr>
          <w:rFonts w:ascii="Arial" w:hAnsi="Arial" w:cs="Arial"/>
          <w:sz w:val="22"/>
          <w:szCs w:val="22"/>
        </w:rPr>
        <w:t>Consult TSL manager or medical director if there is any question.</w:t>
      </w:r>
    </w:p>
    <w:p w14:paraId="4A767097" w14:textId="39072FDB" w:rsidR="007F47D5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14:paraId="63C3B1A8" w14:textId="04BE5B7A" w:rsidR="008C15FA" w:rsidRDefault="008C15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5C80D6C" w14:textId="77777777" w:rsidR="008C15FA" w:rsidRPr="00506DFD" w:rsidRDefault="008C15FA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14:paraId="3CCA2FA4" w14:textId="77777777"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255"/>
        <w:gridCol w:w="2673"/>
      </w:tblGrid>
      <w:tr w:rsidR="007F47D5" w:rsidRPr="009C5A31" w14:paraId="7D39739E" w14:textId="77777777" w:rsidTr="008C15FA">
        <w:tc>
          <w:tcPr>
            <w:tcW w:w="693" w:type="dxa"/>
            <w:vAlign w:val="bottom"/>
          </w:tcPr>
          <w:p w14:paraId="150AC96B" w14:textId="77777777"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255" w:type="dxa"/>
            <w:vAlign w:val="bottom"/>
          </w:tcPr>
          <w:p w14:paraId="59DDCE75" w14:textId="77777777"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73" w:type="dxa"/>
            <w:vAlign w:val="bottom"/>
          </w:tcPr>
          <w:p w14:paraId="2D464E60" w14:textId="77777777"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F47D5" w:rsidRPr="009C5A31" w14:paraId="1D4BA989" w14:textId="77777777" w:rsidTr="008C15F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DD3" w14:textId="1F0E4D67" w:rsidR="007F47D5" w:rsidRPr="009C5A31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3101" w14:textId="77777777"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 addition to the Guidelines for Antibody Identification, the following steps must be completed:</w:t>
            </w:r>
          </w:p>
          <w:p w14:paraId="6B0DECE5" w14:textId="77777777" w:rsidR="007F47D5" w:rsidRPr="009C5A31" w:rsidRDefault="007F47D5" w:rsidP="008C15FA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by a 2</w:t>
            </w:r>
            <w:r w:rsidRPr="009C5A3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tech prior to the release of results or blood products</w:t>
            </w:r>
          </w:p>
          <w:p w14:paraId="1045FF03" w14:textId="77777777" w:rsidR="007F47D5" w:rsidRPr="009C5A31" w:rsidRDefault="007F47D5" w:rsidP="008C15FA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Describe additional steps to be considered on the Antibody ID Worksheet.</w:t>
            </w:r>
          </w:p>
          <w:p w14:paraId="6854C644" w14:textId="77777777" w:rsidR="007F47D5" w:rsidRPr="009C5A31" w:rsidRDefault="007F47D5" w:rsidP="008C15FA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Confirm any allocated red b</w:t>
            </w:r>
            <w:bookmarkStart w:id="0" w:name="_GoBack"/>
            <w:bookmarkEnd w:id="0"/>
            <w:r w:rsidRPr="009C5A31">
              <w:rPr>
                <w:rFonts w:ascii="Arial" w:hAnsi="Arial" w:cs="Arial"/>
                <w:sz w:val="22"/>
                <w:szCs w:val="22"/>
              </w:rPr>
              <w:t>lood cells are antigen negative for any clinically significant alloantibodies detected in the eluate.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170A" w14:textId="77777777" w:rsidR="007F47D5" w:rsidRPr="008C15FA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8C15FA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7F47D5" w:rsidRPr="009C5A31" w14:paraId="73078AED" w14:textId="77777777" w:rsidTr="008C15F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A82" w14:textId="02BC3107" w:rsidR="007F47D5" w:rsidRPr="009C5A31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0D7" w14:textId="77777777"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Following the identification of a clinically significant alloantibody in the eluate, </w:t>
            </w:r>
          </w:p>
          <w:p w14:paraId="17DB8C70" w14:textId="77777777" w:rsidR="007F47D5" w:rsidRPr="009C5A31" w:rsidRDefault="007F47D5" w:rsidP="008C15FA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plasma/serum testing</w:t>
            </w:r>
          </w:p>
          <w:p w14:paraId="5CA7607B" w14:textId="77777777" w:rsidR="007F47D5" w:rsidRPr="009C5A31" w:rsidRDefault="007F47D5" w:rsidP="008C15FA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Perform enhanced techniques</w:t>
            </w:r>
            <w:r w:rsidR="002A1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9B4" w:rsidRPr="005139B4">
              <w:rPr>
                <w:rFonts w:ascii="Arial" w:hAnsi="Arial" w:cs="Arial"/>
                <w:sz w:val="22"/>
                <w:szCs w:val="22"/>
                <w:highlight w:val="yellow"/>
              </w:rPr>
              <w:t>on patient sample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to confirm antibody in the eluate is not present in the patient plasma</w:t>
            </w:r>
            <w:r w:rsidR="002A1F32">
              <w:rPr>
                <w:rFonts w:ascii="Arial" w:hAnsi="Arial" w:cs="Arial"/>
                <w:sz w:val="22"/>
                <w:szCs w:val="22"/>
              </w:rPr>
              <w:t>/serum</w:t>
            </w:r>
            <w:r w:rsidRPr="009C5A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694" w14:textId="2407CBCE" w:rsidR="007F47D5" w:rsidRDefault="007F47D5" w:rsidP="008C15FA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8C15FA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Screen by Polyethylene Glycol (PEG) Tube IAT Method</w:t>
            </w:r>
          </w:p>
          <w:p w14:paraId="5A225941" w14:textId="77777777" w:rsidR="008C15FA" w:rsidRPr="008C15FA" w:rsidRDefault="008C15FA" w:rsidP="008C15FA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14:paraId="0B2DB1B8" w14:textId="77777777" w:rsidR="007F47D5" w:rsidRPr="008C15FA" w:rsidRDefault="007F47D5" w:rsidP="008C15FA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8C15FA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Panel using Enzyme-Treated Cells</w:t>
            </w:r>
          </w:p>
        </w:tc>
      </w:tr>
      <w:tr w:rsidR="007F47D5" w:rsidRPr="009C5A31" w14:paraId="495C93B1" w14:textId="77777777" w:rsidTr="008C15FA">
        <w:trPr>
          <w:trHeight w:val="2589"/>
        </w:trPr>
        <w:tc>
          <w:tcPr>
            <w:tcW w:w="693" w:type="dxa"/>
          </w:tcPr>
          <w:p w14:paraId="03EA6EA8" w14:textId="42DF9209" w:rsidR="007F47D5" w:rsidRPr="009C5A31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55" w:type="dxa"/>
          </w:tcPr>
          <w:p w14:paraId="53A3D53B" w14:textId="77777777"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For non-group </w:t>
            </w:r>
            <w:proofErr w:type="spellStart"/>
            <w:r w:rsidRPr="009C5A31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Pr="009C5A31">
              <w:rPr>
                <w:rFonts w:ascii="Arial" w:hAnsi="Arial" w:cs="Arial"/>
                <w:sz w:val="22"/>
                <w:szCs w:val="22"/>
              </w:rPr>
              <w:t xml:space="preserve"> patients</w:t>
            </w:r>
          </w:p>
          <w:p w14:paraId="3926EACE" w14:textId="77777777" w:rsidR="007F47D5" w:rsidRPr="009C5A31" w:rsidRDefault="007F47D5" w:rsidP="008C15F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the eluate is non-reactive with group O reagent red cells:</w:t>
            </w:r>
          </w:p>
          <w:p w14:paraId="250AA8B2" w14:textId="399D5356"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51D">
              <w:rPr>
                <w:rFonts w:ascii="Arial" w:hAnsi="Arial" w:cs="Arial"/>
                <w:sz w:val="22"/>
                <w:szCs w:val="22"/>
              </w:rPr>
              <w:t>Review Transfusion Data printout to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1D">
              <w:rPr>
                <w:rFonts w:ascii="Arial" w:hAnsi="Arial" w:cs="Arial"/>
                <w:sz w:val="22"/>
                <w:szCs w:val="22"/>
              </w:rPr>
              <w:t>d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etermine if </w:t>
            </w:r>
            <w:r w:rsidR="005139B4">
              <w:rPr>
                <w:rFonts w:ascii="Arial" w:hAnsi="Arial" w:cs="Arial"/>
                <w:sz w:val="22"/>
                <w:szCs w:val="22"/>
                <w:highlight w:val="yellow"/>
              </w:rPr>
              <w:t>whole blood</w:t>
            </w:r>
            <w:r w:rsidR="008C15FA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out of group </w:t>
            </w:r>
            <w:r w:rsidR="005139B4">
              <w:rPr>
                <w:rFonts w:ascii="Arial" w:hAnsi="Arial" w:cs="Arial"/>
                <w:sz w:val="22"/>
                <w:szCs w:val="22"/>
                <w:highlight w:val="yellow"/>
              </w:rPr>
              <w:t>p</w:t>
            </w:r>
            <w:r w:rsidR="005139B4" w:rsidRPr="005139B4">
              <w:rPr>
                <w:rFonts w:ascii="Arial" w:hAnsi="Arial" w:cs="Arial"/>
                <w:sz w:val="22"/>
                <w:szCs w:val="22"/>
                <w:highlight w:val="yellow"/>
              </w:rPr>
              <w:t>lasma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components have been transfused. </w:t>
            </w:r>
          </w:p>
          <w:p w14:paraId="24F66F8F" w14:textId="77777777"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Include Transfusion Data</w:t>
            </w:r>
            <w:r w:rsidR="0090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1D" w:rsidRPr="0090651D">
              <w:rPr>
                <w:rFonts w:ascii="Arial" w:hAnsi="Arial" w:cs="Arial"/>
                <w:sz w:val="22"/>
                <w:szCs w:val="22"/>
                <w:highlight w:val="yellow"/>
              </w:rPr>
              <w:t>printout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in the patient folder.</w:t>
            </w:r>
          </w:p>
          <w:p w14:paraId="5245D850" w14:textId="2BE78A86" w:rsidR="007F47D5" w:rsidRPr="009C5A31" w:rsidRDefault="007F47D5" w:rsidP="008C15F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patient has received</w:t>
            </w:r>
            <w:r w:rsidR="0090651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whole blood</w:t>
            </w:r>
            <w:r w:rsidR="008C15FA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out of group </w:t>
            </w:r>
            <w:r w:rsidR="0090651D" w:rsidRPr="0090651D"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="0090651D" w:rsidRPr="0090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components during the last 28 days, include A1 and B reagent red cell testing for ABO </w:t>
            </w:r>
            <w:proofErr w:type="spellStart"/>
            <w:r w:rsidRPr="009C5A31">
              <w:rPr>
                <w:rFonts w:ascii="Arial" w:hAnsi="Arial" w:cs="Arial"/>
                <w:sz w:val="22"/>
                <w:szCs w:val="22"/>
              </w:rPr>
              <w:t>isoagglutinins</w:t>
            </w:r>
            <w:proofErr w:type="spellEnd"/>
            <w:r w:rsidRPr="009C5A3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886860" w14:textId="77777777"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Last wash</w:t>
            </w:r>
          </w:p>
          <w:p w14:paraId="7819199E" w14:textId="77777777"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Eluate</w:t>
            </w:r>
          </w:p>
        </w:tc>
        <w:tc>
          <w:tcPr>
            <w:tcW w:w="2673" w:type="dxa"/>
          </w:tcPr>
          <w:p w14:paraId="603AC320" w14:textId="631F9557" w:rsidR="007F47D5" w:rsidRPr="008C15FA" w:rsidRDefault="00705DE9" w:rsidP="008C1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15F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Antibody Elution Using Gamma </w:t>
            </w:r>
            <w:proofErr w:type="spellStart"/>
            <w:r w:rsidRPr="008C15FA">
              <w:rPr>
                <w:rFonts w:ascii="Arial" w:hAnsi="Arial" w:cs="Arial"/>
                <w:sz w:val="22"/>
                <w:szCs w:val="22"/>
                <w:highlight w:val="yellow"/>
              </w:rPr>
              <w:t>EluKit</w:t>
            </w:r>
            <w:proofErr w:type="spellEnd"/>
          </w:p>
        </w:tc>
      </w:tr>
      <w:tr w:rsidR="007F47D5" w:rsidRPr="00EA3655" w14:paraId="4B2F6138" w14:textId="77777777" w:rsidTr="008C15FA">
        <w:tc>
          <w:tcPr>
            <w:tcW w:w="693" w:type="dxa"/>
          </w:tcPr>
          <w:p w14:paraId="7F9ACACF" w14:textId="35741F3F" w:rsidR="007F47D5" w:rsidRPr="009C5A31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55" w:type="dxa"/>
          </w:tcPr>
          <w:p w14:paraId="70635B69" w14:textId="77777777"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Result eluate under test ELU</w:t>
            </w:r>
            <w:r w:rsidR="0090651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90651D" w:rsidRPr="0090651D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r w:rsidR="0090651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B6C0DC" w14:textId="77777777" w:rsidR="007F47D5" w:rsidRPr="009C5A31" w:rsidRDefault="0090651D" w:rsidP="008C15FA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Non-reactive eluate:</w:t>
            </w:r>
            <w:r w:rsidR="007F47D5" w:rsidRPr="009C5A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685" w:rsidRPr="00EF6818">
              <w:rPr>
                <w:rFonts w:ascii="Arial" w:hAnsi="Arial" w:cs="Arial"/>
                <w:sz w:val="22"/>
                <w:szCs w:val="22"/>
              </w:rPr>
              <w:t>NOABE</w:t>
            </w:r>
            <w:r w:rsidR="007F47D5" w:rsidRPr="009C5A31">
              <w:rPr>
                <w:rFonts w:ascii="Arial" w:hAnsi="Arial" w:cs="Arial"/>
                <w:sz w:val="22"/>
                <w:szCs w:val="22"/>
              </w:rPr>
              <w:t xml:space="preserve"> – no antibody activity demonstrated in eluate</w:t>
            </w:r>
          </w:p>
          <w:p w14:paraId="3411792F" w14:textId="77777777" w:rsidR="007F47D5" w:rsidRPr="009C5A31" w:rsidRDefault="0090651D" w:rsidP="008C15FA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Identified antibody: </w:t>
            </w:r>
            <w:r w:rsidR="007F47D5" w:rsidRPr="009C5A31">
              <w:rPr>
                <w:rFonts w:ascii="Arial" w:hAnsi="Arial" w:cs="Arial"/>
                <w:sz w:val="22"/>
                <w:szCs w:val="22"/>
              </w:rPr>
              <w:t>appropriate SQ antibody code</w:t>
            </w:r>
          </w:p>
          <w:p w14:paraId="1D62E1EF" w14:textId="77777777" w:rsidR="007F47D5" w:rsidRPr="009C5A31" w:rsidRDefault="007F47D5" w:rsidP="008C15FA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Multiple eluates should have a Comment in the BAD file including the date of testing.</w:t>
            </w:r>
          </w:p>
          <w:p w14:paraId="758249D7" w14:textId="77777777" w:rsidR="007F47D5" w:rsidRPr="009C5A31" w:rsidRDefault="007F47D5" w:rsidP="007F47D5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Example:  Non-reactive eluate 03172014, 3757</w:t>
            </w:r>
          </w:p>
          <w:p w14:paraId="2257A9E7" w14:textId="77777777" w:rsidR="00705DE9" w:rsidRPr="009C5A31" w:rsidRDefault="007F47D5" w:rsidP="00705DE9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                 ANTI JKA 02112014, 1234</w:t>
            </w:r>
          </w:p>
        </w:tc>
        <w:tc>
          <w:tcPr>
            <w:tcW w:w="2673" w:type="dxa"/>
          </w:tcPr>
          <w:p w14:paraId="181DD2DF" w14:textId="77777777" w:rsidR="007F47D5" w:rsidRPr="008C15FA" w:rsidRDefault="007F47D5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8C15F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7F47D5" w:rsidRPr="00EA3655" w14:paraId="1C3502AD" w14:textId="77777777" w:rsidTr="008C15FA">
        <w:tc>
          <w:tcPr>
            <w:tcW w:w="693" w:type="dxa"/>
          </w:tcPr>
          <w:p w14:paraId="73B181A0" w14:textId="15F232D9" w:rsidR="007F47D5" w:rsidRPr="00705DE9" w:rsidRDefault="007F47D5" w:rsidP="008C15F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5DE9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255" w:type="dxa"/>
          </w:tcPr>
          <w:p w14:paraId="7BC6C09F" w14:textId="77777777" w:rsidR="007F47D5" w:rsidRPr="00705DE9" w:rsidRDefault="00705DE9" w:rsidP="002060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05DE9">
              <w:rPr>
                <w:rFonts w:ascii="Arial" w:hAnsi="Arial" w:cs="Arial"/>
                <w:sz w:val="22"/>
                <w:szCs w:val="22"/>
                <w:highlight w:val="yellow"/>
              </w:rPr>
              <w:t>Result eluate under ‘Comments’ section of the Eluate Testing Form and on the Antibody Identification Worksheet.</w:t>
            </w:r>
          </w:p>
        </w:tc>
        <w:tc>
          <w:tcPr>
            <w:tcW w:w="2673" w:type="dxa"/>
          </w:tcPr>
          <w:p w14:paraId="12D88A60" w14:textId="77777777" w:rsidR="00705DE9" w:rsidRPr="008C15FA" w:rsidRDefault="00705DE9" w:rsidP="008C15F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C15FA">
              <w:rPr>
                <w:rFonts w:ascii="Arial" w:hAnsi="Arial" w:cs="Arial"/>
                <w:sz w:val="22"/>
                <w:szCs w:val="22"/>
              </w:rPr>
              <w:t>Eluate Testing Form</w:t>
            </w:r>
          </w:p>
          <w:p w14:paraId="1CAFC04A" w14:textId="77777777" w:rsidR="008C15FA" w:rsidRDefault="008C15FA" w:rsidP="008C15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14D09" w14:textId="1844A662" w:rsidR="007F47D5" w:rsidRPr="008C15FA" w:rsidRDefault="00705DE9" w:rsidP="008C15FA">
            <w:pPr>
              <w:rPr>
                <w:rFonts w:ascii="Arial" w:hAnsi="Arial" w:cs="Arial"/>
                <w:sz w:val="22"/>
                <w:szCs w:val="22"/>
              </w:rPr>
            </w:pPr>
            <w:r w:rsidRPr="008C15FA">
              <w:rPr>
                <w:rFonts w:ascii="Arial" w:hAnsi="Arial" w:cs="Arial"/>
                <w:sz w:val="22"/>
                <w:szCs w:val="22"/>
              </w:rPr>
              <w:t>Antibody Identification Worksheet</w:t>
            </w:r>
          </w:p>
        </w:tc>
      </w:tr>
      <w:tr w:rsidR="00705DE9" w:rsidRPr="00EA3655" w14:paraId="6C8B5A93" w14:textId="77777777" w:rsidTr="008C15FA">
        <w:tc>
          <w:tcPr>
            <w:tcW w:w="693" w:type="dxa"/>
          </w:tcPr>
          <w:p w14:paraId="38B4675D" w14:textId="07955E91" w:rsidR="00705DE9" w:rsidRPr="009C5A31" w:rsidRDefault="00705DE9" w:rsidP="008C15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55" w:type="dxa"/>
          </w:tcPr>
          <w:p w14:paraId="7BEE1D51" w14:textId="77777777" w:rsidR="00705DE9" w:rsidRPr="009C5A31" w:rsidRDefault="00705DE9" w:rsidP="00124DE6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Contact the Medical Director if there are any questions concerning eluate testing and/or findings.</w:t>
            </w:r>
          </w:p>
        </w:tc>
        <w:tc>
          <w:tcPr>
            <w:tcW w:w="2673" w:type="dxa"/>
          </w:tcPr>
          <w:p w14:paraId="78E7B804" w14:textId="77777777" w:rsidR="00705DE9" w:rsidRPr="00EA3655" w:rsidRDefault="00705DE9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6AF26E" w14:textId="1D70A3B0"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14:paraId="05445163" w14:textId="36B7A141" w:rsidR="008C15FA" w:rsidRDefault="008C15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DFC3F6" w14:textId="77777777" w:rsidR="008C15FA" w:rsidRDefault="008C15FA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p w14:paraId="40E32414" w14:textId="6F8CE2A5" w:rsidR="007F47D5" w:rsidRDefault="00705DE9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 w:rsidRPr="00705DE9">
        <w:rPr>
          <w:rFonts w:ascii="Arial" w:hAnsi="Arial" w:cs="Arial"/>
          <w:b/>
          <w:sz w:val="22"/>
          <w:szCs w:val="22"/>
          <w:highlight w:val="yellow"/>
        </w:rPr>
        <w:t>Initial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F47D5">
        <w:rPr>
          <w:rFonts w:ascii="Arial" w:hAnsi="Arial" w:cs="Arial"/>
          <w:b/>
          <w:sz w:val="22"/>
          <w:szCs w:val="22"/>
        </w:rPr>
        <w:t>Eluate Testing Process</w:t>
      </w:r>
    </w:p>
    <w:p w14:paraId="1220B795" w14:textId="77777777" w:rsidR="007F47D5" w:rsidRDefault="00D8131F">
      <w:r>
        <w:object w:dxaOrig="10919" w:dyaOrig="6744" w14:anchorId="77812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pt;height:316.45pt" o:ole="">
            <v:imagedata r:id="rId7" o:title=""/>
          </v:shape>
          <o:OLEObject Type="Embed" ProgID="Visio.Drawing.11" ShapeID="_x0000_i1025" DrawAspect="Content" ObjectID="_1655016734" r:id="rId8"/>
        </w:object>
      </w:r>
    </w:p>
    <w:p w14:paraId="1921DE69" w14:textId="77777777" w:rsidR="007F47D5" w:rsidRDefault="007F47D5"/>
    <w:p w14:paraId="0C1CBEAD" w14:textId="6B607C49" w:rsidR="007F47D5" w:rsidRDefault="007F47D5" w:rsidP="007F47D5">
      <w:pPr>
        <w:rPr>
          <w:rFonts w:ascii="Arial" w:hAnsi="Arial" w:cs="Arial"/>
          <w:b/>
          <w:sz w:val="22"/>
          <w:szCs w:val="22"/>
        </w:rPr>
      </w:pPr>
      <w:r w:rsidRPr="007F5E3F">
        <w:rPr>
          <w:rFonts w:ascii="Arial" w:hAnsi="Arial" w:cs="Arial"/>
          <w:b/>
          <w:sz w:val="22"/>
          <w:szCs w:val="22"/>
        </w:rPr>
        <w:t>References</w:t>
      </w:r>
    </w:p>
    <w:p w14:paraId="45CBBB27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ELU-KIT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II IC3021-2</w:t>
      </w:r>
    </w:p>
    <w:p w14:paraId="33D7ABDF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Package Insert Gamma </w:t>
      </w:r>
      <w:proofErr w:type="spellStart"/>
      <w:r>
        <w:rPr>
          <w:rFonts w:ascii="Arial" w:hAnsi="Arial" w:cs="Arial"/>
          <w:sz w:val="22"/>
          <w:szCs w:val="22"/>
        </w:rPr>
        <w:t>PeG</w:t>
      </w:r>
      <w:proofErr w:type="spellEnd"/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IC3026-3</w:t>
      </w:r>
    </w:p>
    <w:p w14:paraId="73E968A5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14:paraId="5C606B97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Immunohematology, Current Edition</w:t>
      </w:r>
    </w:p>
    <w:p w14:paraId="7A0C5E30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14:paraId="47864B94" w14:textId="77777777"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sectPr w:rsidR="007F47D5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66BA" w14:textId="77777777" w:rsidR="009551F8" w:rsidRDefault="009551F8" w:rsidP="009551F8">
      <w:r>
        <w:separator/>
      </w:r>
    </w:p>
  </w:endnote>
  <w:endnote w:type="continuationSeparator" w:id="0">
    <w:p w14:paraId="5C692678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251720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9567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9567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F504BC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61C37F87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B9B4" w14:textId="77777777" w:rsidR="009551F8" w:rsidRDefault="009551F8" w:rsidP="009551F8">
      <w:r>
        <w:separator/>
      </w:r>
    </w:p>
  </w:footnote>
  <w:footnote w:type="continuationSeparator" w:id="0">
    <w:p w14:paraId="61D78697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6B3C" w14:textId="0F97367D" w:rsidR="009551F8" w:rsidRPr="007F47D5" w:rsidRDefault="007F47D5" w:rsidP="00D3281B">
    <w:pPr>
      <w:pStyle w:val="Header"/>
    </w:pPr>
    <w:r w:rsidRPr="007F47D5">
      <w:rPr>
        <w:b/>
        <w:sz w:val="22"/>
        <w:szCs w:val="22"/>
      </w:rPr>
      <w:t>Eluate Testing Guidelines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117C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291804C" wp14:editId="02F3BCDA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B984E2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2E535D41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BACD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30928CA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12B70C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7A92A1BD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6653BDE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5A84D9C" w14:textId="77777777" w:rsidR="00D3281B" w:rsidRPr="0008565C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14B63097" w14:textId="77777777" w:rsidR="00D3281B" w:rsidRPr="0008565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F47D5" w:rsidRPr="0008565C">
            <w:rPr>
              <w:rFonts w:ascii="Arial" w:hAnsi="Arial" w:cs="Arial"/>
              <w:b/>
              <w:sz w:val="22"/>
              <w:szCs w:val="22"/>
            </w:rPr>
            <w:t>August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2C72DF4F" w14:textId="77777777" w:rsidR="00D3281B" w:rsidRPr="0008565C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DED93FE" w14:textId="18D6FBEF" w:rsidR="00D3281B" w:rsidRPr="0008565C" w:rsidRDefault="007F47D5" w:rsidP="00EF6818">
          <w:pPr>
            <w:tabs>
              <w:tab w:val="right" w:pos="2035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>5417-</w:t>
          </w:r>
          <w:r w:rsidR="008C15FA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14:paraId="3F7BAFB2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F2D424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653A7EF" w14:textId="77777777" w:rsidR="00D3281B" w:rsidRPr="0008565C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25E3A04" w14:textId="6BB6118D" w:rsidR="00D3281B" w:rsidRPr="00A27088" w:rsidRDefault="008C15FA" w:rsidP="008A464E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A27088">
            <w:rPr>
              <w:rFonts w:ascii="Arial" w:hAnsi="Arial" w:cs="Arial"/>
              <w:bCs/>
              <w:sz w:val="22"/>
              <w:szCs w:val="22"/>
            </w:rPr>
            <w:t>7/</w:t>
          </w:r>
          <w:r w:rsidR="00FD2543">
            <w:rPr>
              <w:rFonts w:ascii="Arial" w:hAnsi="Arial" w:cs="Arial"/>
              <w:bCs/>
              <w:sz w:val="22"/>
              <w:szCs w:val="22"/>
            </w:rPr>
            <w:t>7</w:t>
          </w:r>
          <w:r w:rsidRPr="00A27088">
            <w:rPr>
              <w:rFonts w:ascii="Arial" w:hAnsi="Arial" w:cs="Arial"/>
              <w:bCs/>
              <w:sz w:val="22"/>
              <w:szCs w:val="22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3E47C27" w14:textId="45EF1D9E" w:rsidR="00D3281B" w:rsidRPr="0008565C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8565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F47D5" w:rsidRPr="0008565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10393555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07101D1A" w14:textId="77777777"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F47D5" w:rsidRPr="00307798">
            <w:rPr>
              <w:rFonts w:ascii="Arial" w:hAnsi="Arial" w:cs="Arial"/>
              <w:b/>
              <w:sz w:val="28"/>
              <w:szCs w:val="28"/>
            </w:rPr>
            <w:t>Eluate Testing Guidelines</w:t>
          </w:r>
        </w:p>
      </w:tc>
    </w:tr>
  </w:tbl>
  <w:p w14:paraId="7DBFAAE8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F88"/>
    <w:multiLevelType w:val="hybridMultilevel"/>
    <w:tmpl w:val="E2C65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52C47"/>
    <w:multiLevelType w:val="hybridMultilevel"/>
    <w:tmpl w:val="0F2E9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73ED3"/>
    <w:multiLevelType w:val="hybridMultilevel"/>
    <w:tmpl w:val="F094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53B5C"/>
    <w:multiLevelType w:val="hybridMultilevel"/>
    <w:tmpl w:val="D32495F4"/>
    <w:lvl w:ilvl="0" w:tplc="B70CF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1771F"/>
    <w:multiLevelType w:val="hybridMultilevel"/>
    <w:tmpl w:val="8490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AE5327"/>
    <w:multiLevelType w:val="hybridMultilevel"/>
    <w:tmpl w:val="900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B02205"/>
    <w:multiLevelType w:val="hybridMultilevel"/>
    <w:tmpl w:val="9778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EC767B"/>
    <w:multiLevelType w:val="hybridMultilevel"/>
    <w:tmpl w:val="85EE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549B7"/>
    <w:multiLevelType w:val="hybridMultilevel"/>
    <w:tmpl w:val="8CBA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E02A6C"/>
    <w:multiLevelType w:val="hybridMultilevel"/>
    <w:tmpl w:val="74D0C6A8"/>
    <w:lvl w:ilvl="0" w:tplc="B70CF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AC6ABC"/>
    <w:multiLevelType w:val="hybridMultilevel"/>
    <w:tmpl w:val="FAE48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8565C"/>
    <w:rsid w:val="000F49E5"/>
    <w:rsid w:val="001065F9"/>
    <w:rsid w:val="001344C6"/>
    <w:rsid w:val="001A731F"/>
    <w:rsid w:val="001D2D8F"/>
    <w:rsid w:val="00260E4A"/>
    <w:rsid w:val="002A1F32"/>
    <w:rsid w:val="003735F1"/>
    <w:rsid w:val="003816DA"/>
    <w:rsid w:val="003F7B90"/>
    <w:rsid w:val="003F7C18"/>
    <w:rsid w:val="004D16C5"/>
    <w:rsid w:val="005139B4"/>
    <w:rsid w:val="00545525"/>
    <w:rsid w:val="0056167C"/>
    <w:rsid w:val="006720F8"/>
    <w:rsid w:val="006A4F8F"/>
    <w:rsid w:val="006E7B0D"/>
    <w:rsid w:val="00705DE9"/>
    <w:rsid w:val="007502F2"/>
    <w:rsid w:val="00750D94"/>
    <w:rsid w:val="007763E7"/>
    <w:rsid w:val="007F47D5"/>
    <w:rsid w:val="008660E7"/>
    <w:rsid w:val="00867374"/>
    <w:rsid w:val="008A464E"/>
    <w:rsid w:val="008C15FA"/>
    <w:rsid w:val="008C7685"/>
    <w:rsid w:val="008F4BFB"/>
    <w:rsid w:val="00903F57"/>
    <w:rsid w:val="0090651D"/>
    <w:rsid w:val="009551F8"/>
    <w:rsid w:val="009836A9"/>
    <w:rsid w:val="009C5A31"/>
    <w:rsid w:val="009D0337"/>
    <w:rsid w:val="00A044A7"/>
    <w:rsid w:val="00A27088"/>
    <w:rsid w:val="00A36B90"/>
    <w:rsid w:val="00A9567E"/>
    <w:rsid w:val="00B1529D"/>
    <w:rsid w:val="00B82064"/>
    <w:rsid w:val="00C6184B"/>
    <w:rsid w:val="00D3281B"/>
    <w:rsid w:val="00D8131F"/>
    <w:rsid w:val="00E915B7"/>
    <w:rsid w:val="00EC3A6D"/>
    <w:rsid w:val="00EC6DE5"/>
    <w:rsid w:val="00EE5B25"/>
    <w:rsid w:val="00EF6818"/>
    <w:rsid w:val="00F23719"/>
    <w:rsid w:val="00F777BA"/>
    <w:rsid w:val="00FD2543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FABE40B"/>
  <w15:docId w15:val="{8242FF8F-2AEF-4C39-A26E-AB74F98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7</cp:revision>
  <cp:lastPrinted>2015-04-30T20:56:00Z</cp:lastPrinted>
  <dcterms:created xsi:type="dcterms:W3CDTF">2020-05-05T18:47:00Z</dcterms:created>
  <dcterms:modified xsi:type="dcterms:W3CDTF">2020-06-30T17:06:00Z</dcterms:modified>
</cp:coreProperties>
</file>