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D70C" w14:textId="77777777" w:rsidR="00617659" w:rsidRDefault="00F20330" w:rsidP="00617659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EB788C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14:paraId="7820E084" w14:textId="77777777" w:rsidR="00617659" w:rsidRDefault="00F20330" w:rsidP="00D76AC4">
      <w:pPr>
        <w:pStyle w:val="Header"/>
        <w:tabs>
          <w:tab w:val="clear" w:pos="4320"/>
          <w:tab w:val="clear" w:pos="8640"/>
        </w:tabs>
        <w:spacing w:before="0" w:after="0"/>
        <w:rPr>
          <w:rFonts w:ascii="Arial" w:hAnsi="Arial" w:cs="Arial"/>
          <w:kern w:val="0"/>
          <w:sz w:val="22"/>
          <w:szCs w:val="22"/>
        </w:rPr>
      </w:pPr>
      <w:r w:rsidRPr="00EB788C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EB788C">
        <w:rPr>
          <w:rFonts w:ascii="Arial" w:hAnsi="Arial" w:cs="Arial"/>
          <w:kern w:val="0"/>
          <w:sz w:val="22"/>
          <w:szCs w:val="22"/>
        </w:rPr>
        <w:t>es instructions for how to perform</w:t>
      </w:r>
      <w:r w:rsidR="003D1D58" w:rsidRPr="00EB788C">
        <w:rPr>
          <w:rFonts w:ascii="Arial" w:hAnsi="Arial" w:cs="Arial"/>
          <w:kern w:val="0"/>
          <w:sz w:val="22"/>
          <w:szCs w:val="22"/>
        </w:rPr>
        <w:t xml:space="preserve"> </w:t>
      </w:r>
      <w:r w:rsidR="004C2B2E" w:rsidRPr="00EB788C">
        <w:rPr>
          <w:rFonts w:ascii="Arial" w:hAnsi="Arial" w:cs="Arial"/>
          <w:kern w:val="0"/>
          <w:sz w:val="22"/>
          <w:szCs w:val="22"/>
        </w:rPr>
        <w:t xml:space="preserve">type confirmation </w:t>
      </w:r>
      <w:r w:rsidR="009971F9" w:rsidRPr="00EB788C">
        <w:rPr>
          <w:rFonts w:ascii="Arial" w:hAnsi="Arial" w:cs="Arial"/>
          <w:kern w:val="0"/>
          <w:sz w:val="22"/>
          <w:szCs w:val="22"/>
        </w:rPr>
        <w:t xml:space="preserve">for </w:t>
      </w:r>
      <w:r w:rsidR="00617659">
        <w:rPr>
          <w:rFonts w:ascii="Arial" w:hAnsi="Arial" w:cs="Arial"/>
          <w:kern w:val="0"/>
          <w:sz w:val="22"/>
          <w:szCs w:val="22"/>
        </w:rPr>
        <w:t xml:space="preserve">ABO/Rh tube </w:t>
      </w:r>
      <w:r w:rsidR="00CE52C7">
        <w:rPr>
          <w:rFonts w:ascii="Arial" w:hAnsi="Arial" w:cs="Arial"/>
          <w:kern w:val="0"/>
          <w:sz w:val="22"/>
          <w:szCs w:val="22"/>
        </w:rPr>
        <w:t>testing</w:t>
      </w:r>
      <w:r w:rsidR="00617659">
        <w:rPr>
          <w:rFonts w:ascii="Arial" w:hAnsi="Arial" w:cs="Arial"/>
          <w:kern w:val="0"/>
          <w:sz w:val="22"/>
          <w:szCs w:val="22"/>
        </w:rPr>
        <w:t xml:space="preserve"> on all red blood cell and granulocyte components received by the Harborview Medical </w:t>
      </w:r>
      <w:r w:rsidR="00F04089">
        <w:rPr>
          <w:rFonts w:ascii="Arial" w:hAnsi="Arial" w:cs="Arial"/>
          <w:kern w:val="0"/>
          <w:sz w:val="22"/>
          <w:szCs w:val="22"/>
        </w:rPr>
        <w:t xml:space="preserve">Center Transfusion Service </w:t>
      </w:r>
      <w:r w:rsidR="00F04089" w:rsidRPr="00F04089">
        <w:rPr>
          <w:rFonts w:ascii="Arial" w:hAnsi="Arial" w:cs="Arial"/>
          <w:kern w:val="0"/>
          <w:sz w:val="22"/>
          <w:szCs w:val="22"/>
          <w:highlight w:val="yellow"/>
        </w:rPr>
        <w:t>Laboratory</w:t>
      </w:r>
      <w:r w:rsidR="00F04089">
        <w:rPr>
          <w:rFonts w:ascii="Arial" w:hAnsi="Arial" w:cs="Arial"/>
          <w:kern w:val="0"/>
          <w:sz w:val="22"/>
          <w:szCs w:val="22"/>
        </w:rPr>
        <w:t>.</w:t>
      </w:r>
      <w:r w:rsidR="00617659">
        <w:rPr>
          <w:rFonts w:ascii="Arial" w:hAnsi="Arial" w:cs="Arial"/>
          <w:kern w:val="0"/>
          <w:sz w:val="22"/>
          <w:szCs w:val="22"/>
        </w:rPr>
        <w:t xml:space="preserve"> This type confirmation is required</w:t>
      </w:r>
      <w:r w:rsidR="00CE52C7">
        <w:rPr>
          <w:rFonts w:ascii="Arial" w:hAnsi="Arial" w:cs="Arial"/>
          <w:kern w:val="0"/>
          <w:sz w:val="22"/>
          <w:szCs w:val="22"/>
        </w:rPr>
        <w:t xml:space="preserve"> </w:t>
      </w:r>
      <w:r w:rsidR="00617659">
        <w:rPr>
          <w:rFonts w:ascii="Arial" w:hAnsi="Arial" w:cs="Arial"/>
          <w:kern w:val="0"/>
          <w:sz w:val="22"/>
          <w:szCs w:val="22"/>
        </w:rPr>
        <w:t>before these components can be</w:t>
      </w:r>
      <w:r w:rsidR="00D76AC4">
        <w:rPr>
          <w:rFonts w:ascii="Arial" w:hAnsi="Arial" w:cs="Arial"/>
          <w:kern w:val="0"/>
          <w:sz w:val="22"/>
          <w:szCs w:val="22"/>
        </w:rPr>
        <w:t xml:space="preserve"> </w:t>
      </w:r>
      <w:r w:rsidR="00617659">
        <w:rPr>
          <w:rFonts w:ascii="Arial" w:hAnsi="Arial" w:cs="Arial"/>
          <w:kern w:val="0"/>
          <w:sz w:val="22"/>
          <w:szCs w:val="22"/>
        </w:rPr>
        <w:t>placed into available inventory</w:t>
      </w:r>
      <w:r w:rsidR="00CE52C7">
        <w:rPr>
          <w:rFonts w:ascii="Arial" w:hAnsi="Arial" w:cs="Arial"/>
          <w:kern w:val="0"/>
          <w:sz w:val="22"/>
          <w:szCs w:val="22"/>
        </w:rPr>
        <w:t>.</w:t>
      </w:r>
    </w:p>
    <w:p w14:paraId="20521D38" w14:textId="77777777" w:rsidR="00617659" w:rsidRDefault="00617659" w:rsidP="00F04089">
      <w:pPr>
        <w:pStyle w:val="Header"/>
        <w:tabs>
          <w:tab w:val="clear" w:pos="4320"/>
          <w:tab w:val="clear" w:pos="8640"/>
        </w:tabs>
        <w:spacing w:before="0" w:after="0"/>
        <w:ind w:left="1440" w:hanging="1440"/>
        <w:rPr>
          <w:rFonts w:ascii="Arial" w:hAnsi="Arial" w:cs="Arial"/>
          <w:kern w:val="0"/>
          <w:sz w:val="22"/>
          <w:szCs w:val="22"/>
        </w:rPr>
      </w:pPr>
    </w:p>
    <w:p w14:paraId="0937AB2A" w14:textId="77777777" w:rsidR="00F20330" w:rsidRPr="00EB788C" w:rsidRDefault="00F20330" w:rsidP="0061765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 w:rsidRPr="00EB788C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9360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063"/>
        <w:gridCol w:w="1260"/>
        <w:gridCol w:w="557"/>
        <w:gridCol w:w="890"/>
        <w:gridCol w:w="2520"/>
        <w:gridCol w:w="10"/>
        <w:gridCol w:w="2340"/>
      </w:tblGrid>
      <w:tr w:rsidR="00660965" w:rsidRPr="00EB788C" w14:paraId="4E673110" w14:textId="77777777" w:rsidTr="00D76AC4">
        <w:trPr>
          <w:cantSplit/>
          <w:trHeight w:val="322"/>
        </w:trPr>
        <w:tc>
          <w:tcPr>
            <w:tcW w:w="720" w:type="dxa"/>
          </w:tcPr>
          <w:p w14:paraId="37AE181D" w14:textId="77777777" w:rsidR="00660965" w:rsidRPr="00EB788C" w:rsidRDefault="00D76AC4" w:rsidP="0061765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290" w:type="dxa"/>
            <w:gridSpan w:val="5"/>
          </w:tcPr>
          <w:p w14:paraId="2CDFF0AB" w14:textId="77777777" w:rsidR="00660965" w:rsidRPr="00EB788C" w:rsidRDefault="00660965" w:rsidP="00617659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88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350" w:type="dxa"/>
            <w:gridSpan w:val="2"/>
          </w:tcPr>
          <w:p w14:paraId="2620ABAF" w14:textId="77777777" w:rsidR="00660965" w:rsidRPr="00EB788C" w:rsidRDefault="00660965" w:rsidP="00617659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88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20330" w:rsidRPr="00EB788C" w14:paraId="00CBCE48" w14:textId="77777777" w:rsidTr="002E524B">
        <w:trPr>
          <w:trHeight w:val="3328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7D22081" w14:textId="77777777" w:rsidR="00F20330" w:rsidRPr="00D76AC4" w:rsidRDefault="00DC7D64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300" w:type="dxa"/>
            <w:gridSpan w:val="6"/>
            <w:tcMar>
              <w:left w:w="115" w:type="dxa"/>
              <w:right w:w="115" w:type="dxa"/>
            </w:tcMar>
          </w:tcPr>
          <w:p w14:paraId="0335F213" w14:textId="77777777" w:rsidR="00617659" w:rsidRPr="00D76AC4" w:rsidRDefault="003D1D58" w:rsidP="002E524B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Prepare computer entry field or downtime worksheet for unit</w:t>
            </w:r>
            <w:r w:rsid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BE1F6F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confirmation typing. </w:t>
            </w:r>
          </w:p>
          <w:p w14:paraId="47946405" w14:textId="77777777" w:rsidR="002E524B" w:rsidRDefault="001E386D" w:rsidP="002E524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0" w:after="0"/>
              <w:ind w:left="64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Note ABO/Rh type </w:t>
            </w:r>
            <w:r w:rsidR="004D522B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printed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on component label.</w:t>
            </w:r>
          </w:p>
          <w:p w14:paraId="22CDF899" w14:textId="77777777" w:rsidR="00EB788C" w:rsidRPr="002E524B" w:rsidRDefault="00C15FBF" w:rsidP="002E524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0" w:after="0"/>
              <w:ind w:left="64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Select antisera necess</w:t>
            </w:r>
            <w:r w:rsidR="00EB788C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ary for unit type confirmation</w:t>
            </w:r>
            <w:r w:rsidR="00BE1F6F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EB788C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as </w:t>
            </w:r>
            <w:r w:rsidR="003A17B0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</w:t>
            </w:r>
            <w:r w:rsidR="00EB788C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llows:</w:t>
            </w:r>
          </w:p>
          <w:p w14:paraId="52C6DBD3" w14:textId="77777777" w:rsidR="00EB788C" w:rsidRDefault="00EB788C" w:rsidP="002E524B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0" w:after="0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Only 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Rh Negative</w:t>
            </w:r>
            <w:proofErr w:type="gram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units are retyped for D</w:t>
            </w:r>
          </w:p>
          <w:p w14:paraId="31EC0A1D" w14:textId="77777777" w:rsidR="00EB788C" w:rsidRDefault="00EB788C" w:rsidP="002E524B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0" w:after="0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 O units are typed with Anti-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A,B</w:t>
            </w:r>
            <w:proofErr w:type="gram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only</w:t>
            </w:r>
          </w:p>
          <w:p w14:paraId="474CD9EB" w14:textId="77777777" w:rsidR="00EB788C" w:rsidRDefault="00EB788C" w:rsidP="002E524B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0" w:after="0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 other groups are typed with Anti-A and Anti-B</w:t>
            </w:r>
          </w:p>
          <w:p w14:paraId="6A50EEF9" w14:textId="77777777" w:rsidR="002E524B" w:rsidRDefault="00F20330" w:rsidP="002E524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0" w:after="0"/>
              <w:ind w:left="64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  <w:r w:rsidR="00A62C02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4F29BE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 established procedure</w:t>
            </w:r>
            <w:r w:rsidR="00EB788C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14:paraId="3DECC829" w14:textId="77777777" w:rsidR="002E524B" w:rsidRDefault="005579D7" w:rsidP="002E524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0" w:after="0"/>
              <w:ind w:left="64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="004F29BE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="00EB788C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eagents per established procedure</w:t>
            </w:r>
            <w:r w:rsid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2E524B" w:rsidRPr="002E524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and reagent package insert</w:t>
            </w:r>
            <w:r w:rsidR="00EB788C"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14:paraId="3FC7907B" w14:textId="77777777" w:rsidR="00F20330" w:rsidRPr="002E524B" w:rsidRDefault="00F20330" w:rsidP="002E524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0" w:after="0"/>
              <w:ind w:left="64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E524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a visual check to ensure that the reagent volume is correct.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65FE9260" w14:textId="77777777" w:rsidR="00B60E8D" w:rsidRPr="00EB788C" w:rsidRDefault="000D42E5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788C">
              <w:rPr>
                <w:rFonts w:ascii="Arial" w:hAnsi="Arial" w:cs="Arial"/>
                <w:kern w:val="0"/>
                <w:sz w:val="22"/>
                <w:szCs w:val="22"/>
              </w:rPr>
              <w:t xml:space="preserve">Manual Bench Testing </w:t>
            </w:r>
            <w:r w:rsidR="00B60E8D" w:rsidRPr="00EB788C">
              <w:rPr>
                <w:rFonts w:ascii="Arial" w:hAnsi="Arial" w:cs="Arial"/>
                <w:kern w:val="0"/>
                <w:sz w:val="22"/>
                <w:szCs w:val="22"/>
              </w:rPr>
              <w:t>R</w:t>
            </w:r>
            <w:r w:rsidRPr="00EB788C">
              <w:rPr>
                <w:rFonts w:ascii="Arial" w:hAnsi="Arial" w:cs="Arial"/>
                <w:kern w:val="0"/>
                <w:sz w:val="22"/>
                <w:szCs w:val="22"/>
              </w:rPr>
              <w:t>esult</w:t>
            </w:r>
            <w:r w:rsidR="00F42003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B788C">
              <w:rPr>
                <w:rFonts w:ascii="Arial" w:hAnsi="Arial" w:cs="Arial"/>
                <w:kern w:val="0"/>
                <w:sz w:val="22"/>
                <w:szCs w:val="22"/>
              </w:rPr>
              <w:t>Form</w:t>
            </w:r>
          </w:p>
          <w:p w14:paraId="724268F4" w14:textId="77777777" w:rsidR="00D76AC4" w:rsidRDefault="00D76AC4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78C1510C" w14:textId="77777777" w:rsidR="00A62C02" w:rsidRDefault="00646485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ABO</w:t>
            </w:r>
            <w:r w:rsidRPr="00646485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/D Typing by</w:t>
            </w:r>
            <w:r w:rsidR="00EB788C">
              <w:rPr>
                <w:rFonts w:ascii="Arial" w:hAnsi="Arial" w:cs="Arial"/>
                <w:kern w:val="0"/>
                <w:sz w:val="22"/>
                <w:szCs w:val="22"/>
              </w:rPr>
              <w:t xml:space="preserve"> Tube Method.</w:t>
            </w:r>
          </w:p>
          <w:p w14:paraId="2B4F35AB" w14:textId="77777777" w:rsidR="00646485" w:rsidRDefault="00646485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18CAA1C9" w14:textId="77777777" w:rsidR="00646485" w:rsidRDefault="00646485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46485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Labeling Tubes for Manual Bench Testing</w:t>
            </w:r>
          </w:p>
          <w:p w14:paraId="30AD6C7E" w14:textId="77777777" w:rsidR="00D76AC4" w:rsidRDefault="00D76AC4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0827FAC3" w14:textId="77777777" w:rsidR="00EB788C" w:rsidRPr="00EB788C" w:rsidRDefault="00EB788C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Reagent Manufacturer Package insert</w:t>
            </w:r>
          </w:p>
        </w:tc>
      </w:tr>
      <w:tr w:rsidR="00F20330" w:rsidRPr="00EB788C" w14:paraId="58F6D61D" w14:textId="77777777" w:rsidTr="002E524B">
        <w:trPr>
          <w:trHeight w:val="1474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25B53F8E" w14:textId="77777777" w:rsidR="00F20330" w:rsidRPr="00D76AC4" w:rsidRDefault="005F7CAF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6300" w:type="dxa"/>
            <w:gridSpan w:val="6"/>
            <w:tcMar>
              <w:left w:w="115" w:type="dxa"/>
              <w:right w:w="115" w:type="dxa"/>
            </w:tcMar>
          </w:tcPr>
          <w:p w14:paraId="3553E22F" w14:textId="77777777" w:rsidR="00F20330" w:rsidRPr="00EB788C" w:rsidRDefault="00DC7D64" w:rsidP="002E524B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Prepare a 3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to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5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cell suspension of </w:t>
            </w:r>
            <w:r w:rsidR="007B48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component</w:t>
            </w:r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red cells per established procedure.</w:t>
            </w:r>
          </w:p>
          <w:p w14:paraId="6E1901DF" w14:textId="77777777" w:rsidR="00F20330" w:rsidRPr="00EB788C" w:rsidRDefault="00F20330" w:rsidP="002E524B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0" w:after="0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="00DC7D64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3% to 5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suspension of the </w:t>
            </w:r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donor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red cells to tubes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containing reagent antisera (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nti-A, 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nti-B, </w:t>
            </w:r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anti-</w:t>
            </w:r>
            <w:proofErr w:type="gramStart"/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A,B</w:t>
            </w:r>
            <w:proofErr w:type="gramEnd"/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and/or 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nti-D)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14:paraId="5069B392" w14:textId="77777777" w:rsidR="00F20330" w:rsidRPr="00EB788C" w:rsidRDefault="00F20330" w:rsidP="002E524B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0" w:after="0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Mix all tubes.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021ACB53" w14:textId="77777777" w:rsidR="00F20330" w:rsidRPr="00EB788C" w:rsidRDefault="00D76AC4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Preparation of </w:t>
            </w:r>
            <w:r w:rsidR="00DC7D64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to </w:t>
            </w:r>
            <w:r w:rsidR="00DC7D64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5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Red 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Cell Suspension</w:t>
            </w:r>
          </w:p>
        </w:tc>
      </w:tr>
      <w:tr w:rsidR="00F20330" w:rsidRPr="00EB788C" w14:paraId="3F3698F3" w14:textId="77777777" w:rsidTr="005D6CA6">
        <w:tc>
          <w:tcPr>
            <w:tcW w:w="720" w:type="dxa"/>
            <w:tcMar>
              <w:left w:w="115" w:type="dxa"/>
              <w:right w:w="115" w:type="dxa"/>
            </w:tcMar>
          </w:tcPr>
          <w:p w14:paraId="108101C3" w14:textId="77777777" w:rsidR="00F20330" w:rsidRPr="00D76AC4" w:rsidRDefault="005F7CAF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300" w:type="dxa"/>
            <w:gridSpan w:val="6"/>
            <w:tcMar>
              <w:left w:w="115" w:type="dxa"/>
              <w:right w:w="115" w:type="dxa"/>
            </w:tcMar>
          </w:tcPr>
          <w:p w14:paraId="402D5D8C" w14:textId="77777777" w:rsidR="003A17B0" w:rsidRPr="00B07E88" w:rsidRDefault="00F20330" w:rsidP="002E524B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optimal time in a calibr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ated</w:t>
            </w:r>
            <w:r w:rsidR="009926D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3A17B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serologic centrifuge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276A972E" w14:textId="77777777" w:rsidR="00F20330" w:rsidRPr="00EB788C" w:rsidRDefault="00F20330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EB788C" w14:paraId="634F9149" w14:textId="77777777" w:rsidTr="002E524B">
        <w:trPr>
          <w:trHeight w:val="1294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2C9688EE" w14:textId="77777777" w:rsidR="00F20330" w:rsidRPr="00D76AC4" w:rsidRDefault="005F7CAF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6300" w:type="dxa"/>
            <w:gridSpan w:val="6"/>
            <w:tcMar>
              <w:left w:w="115" w:type="dxa"/>
              <w:right w:w="115" w:type="dxa"/>
            </w:tcMar>
          </w:tcPr>
          <w:p w14:paraId="260FE675" w14:textId="77777777" w:rsidR="00F20330" w:rsidRPr="00EB788C" w:rsidRDefault="00F20330" w:rsidP="002E524B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z w:val="22"/>
                <w:szCs w:val="22"/>
              </w:rPr>
              <w:t>Remove the tubes from the centrifuge.</w:t>
            </w:r>
          </w:p>
          <w:p w14:paraId="4B08E1BB" w14:textId="77777777" w:rsidR="00CE52C7" w:rsidRPr="00EB788C" w:rsidRDefault="00F20330" w:rsidP="002E524B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0" w:after="0"/>
              <w:ind w:left="72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Check </w:t>
            </w:r>
            <w:r w:rsidR="00660965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that </w:t>
            </w:r>
            <w:r w:rsidR="004B7CEC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="004C5B15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component</w:t>
            </w:r>
            <w:r w:rsidR="00DC7D64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4C5B15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</w:t>
            </w:r>
            <w:r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each tube is comparable with the</w:t>
            </w:r>
            <w:r w:rsidR="00DC7D64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4C5B15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last 3 digits of the component </w:t>
            </w:r>
            <w:r w:rsidR="00DC7D64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number </w:t>
            </w:r>
            <w:r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</w:t>
            </w:r>
            <w:r w:rsidR="004C5B15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corresponding product bag and </w:t>
            </w:r>
            <w:r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="00FA7581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computer </w:t>
            </w:r>
            <w:r w:rsidR="004C5B15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entry </w:t>
            </w:r>
            <w:r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screen or </w:t>
            </w:r>
            <w:r w:rsidR="004C5B15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downtime </w:t>
            </w:r>
            <w:r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worksheet</w:t>
            </w:r>
            <w:r w:rsidR="009971F9" w:rsidRPr="00D76A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2EC8AADC" w14:textId="77777777" w:rsidR="00F20330" w:rsidRPr="00EB788C" w:rsidRDefault="00F20330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A17B0" w:rsidRPr="00EB788C" w14:paraId="5473A507" w14:textId="77777777" w:rsidTr="005D6CA6">
        <w:tc>
          <w:tcPr>
            <w:tcW w:w="720" w:type="dxa"/>
            <w:tcMar>
              <w:left w:w="115" w:type="dxa"/>
              <w:right w:w="115" w:type="dxa"/>
            </w:tcMar>
          </w:tcPr>
          <w:p w14:paraId="7E8595C7" w14:textId="77777777" w:rsidR="003A17B0" w:rsidRPr="00D76AC4" w:rsidRDefault="00AE345B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300" w:type="dxa"/>
            <w:gridSpan w:val="6"/>
            <w:tcMar>
              <w:left w:w="115" w:type="dxa"/>
              <w:right w:w="115" w:type="dxa"/>
            </w:tcMar>
            <w:vAlign w:val="center"/>
          </w:tcPr>
          <w:p w14:paraId="65CFE196" w14:textId="77777777" w:rsidR="003A17B0" w:rsidRPr="0035630B" w:rsidRDefault="003A17B0" w:rsidP="002E524B">
            <w:pPr>
              <w:pStyle w:val="Header"/>
              <w:tabs>
                <w:tab w:val="clear" w:pos="4320"/>
                <w:tab w:val="clear" w:pos="8640"/>
                <w:tab w:val="left" w:pos="-108"/>
                <w:tab w:val="left" w:pos="252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Gently resuspend the cell button.</w:t>
            </w:r>
          </w:p>
          <w:p w14:paraId="730E1FB7" w14:textId="77777777" w:rsidR="002E524B" w:rsidRDefault="003A17B0" w:rsidP="002E524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-108"/>
                <w:tab w:val="left" w:pos="252"/>
              </w:tabs>
              <w:spacing w:before="0" w:after="0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Examine macroscopically for </w:t>
            </w:r>
            <w:proofErr w:type="spellStart"/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hemolysis</w:t>
            </w:r>
            <w:proofErr w:type="spellEnd"/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 and agglutination per established procedure.</w:t>
            </w:r>
          </w:p>
          <w:p w14:paraId="7FE3A2B7" w14:textId="77777777" w:rsidR="003A17B0" w:rsidRPr="002E524B" w:rsidRDefault="003A17B0" w:rsidP="002E524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-108"/>
                <w:tab w:val="left" w:pos="252"/>
              </w:tabs>
              <w:spacing w:before="0" w:after="0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524B">
              <w:rPr>
                <w:rFonts w:ascii="Arial" w:hAnsi="Arial" w:cs="Arial"/>
                <w:sz w:val="22"/>
                <w:szCs w:val="22"/>
                <w:lang w:val="en-GB"/>
              </w:rPr>
              <w:t>Grade and record</w:t>
            </w:r>
            <w:r w:rsidR="00617659" w:rsidRPr="002E524B">
              <w:rPr>
                <w:rFonts w:ascii="Arial" w:hAnsi="Arial" w:cs="Arial"/>
                <w:sz w:val="22"/>
                <w:szCs w:val="22"/>
                <w:lang w:val="en-GB"/>
              </w:rPr>
              <w:t xml:space="preserve"> the results in SQ or on </w:t>
            </w:r>
            <w:r w:rsidRPr="002E524B">
              <w:rPr>
                <w:rFonts w:ascii="Arial" w:hAnsi="Arial" w:cs="Arial"/>
                <w:sz w:val="22"/>
                <w:szCs w:val="22"/>
                <w:lang w:val="en-GB"/>
              </w:rPr>
              <w:t>worksheet.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  <w:vAlign w:val="center"/>
          </w:tcPr>
          <w:p w14:paraId="5AE654C5" w14:textId="77777777" w:rsidR="003A17B0" w:rsidRDefault="00D76AC4" w:rsidP="00D76AC4">
            <w:pPr>
              <w:spacing w:before="0" w:after="0" w:line="260" w:lineRule="exact"/>
              <w:rPr>
                <w:rFonts w:ascii="Arial" w:hAnsi="Arial" w:cs="Arial"/>
                <w:sz w:val="22"/>
                <w:szCs w:val="22"/>
              </w:rPr>
            </w:pPr>
            <w:r w:rsidRPr="00D76AC4">
              <w:rPr>
                <w:rFonts w:ascii="Arial" w:hAnsi="Arial" w:cs="Arial"/>
                <w:sz w:val="22"/>
                <w:szCs w:val="22"/>
                <w:highlight w:val="yellow"/>
              </w:rPr>
              <w:t>Reading and Grading Tube Hemagglutination</w:t>
            </w:r>
          </w:p>
          <w:p w14:paraId="514EE102" w14:textId="77777777" w:rsidR="002E524B" w:rsidRDefault="002E524B" w:rsidP="00D76AC4">
            <w:pPr>
              <w:spacing w:before="0" w:after="0" w:line="26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A1AE297" w14:textId="77777777" w:rsidR="005D6CA6" w:rsidRPr="00D76AC4" w:rsidRDefault="005D6CA6" w:rsidP="00D76AC4">
            <w:pPr>
              <w:spacing w:before="0" w:after="0" w:line="260" w:lineRule="exact"/>
              <w:rPr>
                <w:rFonts w:ascii="Arial" w:hAnsi="Arial" w:cs="Arial"/>
                <w:sz w:val="22"/>
                <w:szCs w:val="22"/>
              </w:rPr>
            </w:pPr>
            <w:r w:rsidRPr="005D6CA6">
              <w:rPr>
                <w:rFonts w:ascii="Arial" w:hAnsi="Arial" w:cs="Arial"/>
                <w:sz w:val="22"/>
                <w:szCs w:val="22"/>
                <w:highlight w:val="yellow"/>
              </w:rPr>
              <w:t>Blood Product Testing in Sunquest</w:t>
            </w:r>
          </w:p>
        </w:tc>
      </w:tr>
      <w:tr w:rsidR="005F5462" w:rsidRPr="00EB788C" w14:paraId="57BE9854" w14:textId="77777777" w:rsidTr="00992B1D"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14:paraId="738EE624" w14:textId="77777777" w:rsidR="005F5462" w:rsidRPr="00D76AC4" w:rsidRDefault="005F5462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8640" w:type="dxa"/>
            <w:gridSpan w:val="7"/>
            <w:tcMar>
              <w:left w:w="115" w:type="dxa"/>
              <w:right w:w="115" w:type="dxa"/>
            </w:tcMar>
            <w:vAlign w:val="center"/>
          </w:tcPr>
          <w:p w14:paraId="7E4C7F5A" w14:textId="54D5B771" w:rsidR="005F5462" w:rsidRPr="00EB788C" w:rsidRDefault="005F5462" w:rsidP="00FD5385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</w:rPr>
              <w:t>Use the following table to interpret the results:</w:t>
            </w:r>
          </w:p>
        </w:tc>
      </w:tr>
      <w:tr w:rsidR="00EF0A06" w:rsidRPr="0035630B" w14:paraId="7B763BEA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45E6B970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770" w:type="dxa"/>
            <w:gridSpan w:val="4"/>
            <w:tcMar>
              <w:left w:w="115" w:type="dxa"/>
              <w:right w:w="115" w:type="dxa"/>
            </w:tcMar>
            <w:vAlign w:val="center"/>
          </w:tcPr>
          <w:p w14:paraId="3F64DF3F" w14:textId="77777777" w:rsidR="00EF0A06" w:rsidRPr="0035630B" w:rsidRDefault="00EF0A06" w:rsidP="003A17B0">
            <w:pPr>
              <w:pStyle w:val="Header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</w:t>
            </w: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the forward grouping reaction of donor cells with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BD53A66" w14:textId="77777777" w:rsidR="00EF0A06" w:rsidRDefault="00EF0A06" w:rsidP="003A17B0">
            <w:pPr>
              <w:pStyle w:val="Header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ND</w:t>
            </w: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the reaction</w:t>
            </w:r>
          </w:p>
          <w:p w14:paraId="5E2E0B9B" w14:textId="77777777" w:rsidR="00EF0A06" w:rsidRPr="0035630B" w:rsidRDefault="00EF0A06" w:rsidP="003A17B0">
            <w:pPr>
              <w:pStyle w:val="Header"/>
              <w:spacing w:before="0" w:after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of donor cells with</w:t>
            </w:r>
          </w:p>
        </w:tc>
        <w:tc>
          <w:tcPr>
            <w:tcW w:w="2350" w:type="dxa"/>
            <w:gridSpan w:val="2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7802E20" w14:textId="77777777" w:rsidR="00EF0A06" w:rsidRPr="0035630B" w:rsidRDefault="00EF0A06" w:rsidP="00D76AC4">
            <w:pPr>
              <w:pStyle w:val="Header"/>
              <w:spacing w:before="0" w:after="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 interpret the A</w:t>
            </w: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BO/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type as</w:t>
            </w:r>
          </w:p>
        </w:tc>
      </w:tr>
      <w:tr w:rsidR="00EF0A06" w:rsidRPr="0035630B" w14:paraId="178277B3" w14:textId="77777777" w:rsidTr="00D76AC4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01E58C5A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  <w:vAlign w:val="center"/>
          </w:tcPr>
          <w:p w14:paraId="5E461469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 is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14:paraId="4189F76F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Anti-B is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64E62E65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</w:t>
            </w:r>
            <w:proofErr w:type="gramStart"/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A,B</w:t>
            </w:r>
            <w:proofErr w:type="gramEnd"/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is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D8EC70F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Anti-D is</w:t>
            </w:r>
          </w:p>
        </w:tc>
        <w:tc>
          <w:tcPr>
            <w:tcW w:w="2350" w:type="dxa"/>
            <w:gridSpan w:val="2"/>
            <w:vMerge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97779A5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F0A06" w:rsidRPr="0035630B" w14:paraId="72F61D5F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0336CFD2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</w:tcPr>
          <w:p w14:paraId="68CF4AD5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14:paraId="7376B946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2CAEB8DA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45F657F0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16987CBD" w14:textId="77777777"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O,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-positive</w:t>
            </w:r>
          </w:p>
        </w:tc>
      </w:tr>
      <w:tr w:rsidR="00EF0A06" w:rsidRPr="0035630B" w14:paraId="5F67C9BE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66D1C6FC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</w:tcPr>
          <w:p w14:paraId="18CBACF5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14:paraId="58B6ECB3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7CA3639E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2331A760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42EED4D5" w14:textId="77777777"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O,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-negative</w:t>
            </w:r>
          </w:p>
        </w:tc>
      </w:tr>
      <w:tr w:rsidR="00EF0A06" w:rsidRPr="0035630B" w14:paraId="55FC9155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2BB35A1D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</w:tcPr>
          <w:p w14:paraId="1A94C714" w14:textId="31B94EFF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</w:t>
            </w:r>
            <w:r w:rsidR="00CE06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14:paraId="58A61B1D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776B00FF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5F123231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581C6FDF" w14:textId="77777777"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A,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-positive</w:t>
            </w:r>
          </w:p>
        </w:tc>
      </w:tr>
      <w:tr w:rsidR="00EF0A06" w:rsidRPr="0035630B" w14:paraId="2F312421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5560431E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</w:tcPr>
          <w:p w14:paraId="68FBBC8C" w14:textId="2D18620E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</w:t>
            </w:r>
            <w:r w:rsidR="00CE06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14:paraId="1C7D4138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C3BCC93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6D23E4F6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1513AF1A" w14:textId="77777777"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A,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-negative</w:t>
            </w:r>
          </w:p>
        </w:tc>
      </w:tr>
      <w:tr w:rsidR="00EF0A06" w:rsidRPr="0035630B" w14:paraId="29285BC4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0B43DBDC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</w:tcPr>
          <w:p w14:paraId="4556408B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14:paraId="18F6E220" w14:textId="7E11E10B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</w:t>
            </w:r>
            <w:r w:rsidR="00CE06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bookmarkStart w:id="0" w:name="_GoBack"/>
            <w:bookmarkEnd w:id="0"/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524D9FFE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06FFC039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1C7E023B" w14:textId="77777777"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B,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-positive</w:t>
            </w:r>
          </w:p>
        </w:tc>
      </w:tr>
      <w:tr w:rsidR="00EF0A06" w:rsidRPr="0035630B" w14:paraId="5AAEC110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0C5528E0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</w:tcPr>
          <w:p w14:paraId="3A0DD578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14:paraId="3FC329FF" w14:textId="798F00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</w:t>
            </w:r>
            <w:r w:rsidR="00CE06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3D2EE777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4B72932D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585021D" w14:textId="77777777"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B,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-negative</w:t>
            </w:r>
          </w:p>
        </w:tc>
      </w:tr>
      <w:tr w:rsidR="00EF0A06" w:rsidRPr="0035630B" w14:paraId="65C3EB4C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7D317B4B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</w:tcPr>
          <w:p w14:paraId="6E53EF71" w14:textId="1B768FA0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</w:t>
            </w:r>
            <w:r w:rsidR="00CE06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14:paraId="2515C45A" w14:textId="37A96B88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</w:t>
            </w:r>
            <w:r w:rsidR="00CE06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4F1A85BD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478983B8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18EFE71" w14:textId="77777777"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AB,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-positive</w:t>
            </w:r>
          </w:p>
        </w:tc>
      </w:tr>
      <w:tr w:rsidR="00EF0A06" w:rsidRPr="0035630B" w14:paraId="2F3E84BA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2826AFEF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063" w:type="dxa"/>
            <w:tcMar>
              <w:left w:w="115" w:type="dxa"/>
              <w:right w:w="115" w:type="dxa"/>
            </w:tcMar>
          </w:tcPr>
          <w:p w14:paraId="6F382349" w14:textId="2E70AD1D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</w:t>
            </w:r>
            <w:r w:rsidR="00CE06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14:paraId="57AEA1F4" w14:textId="33AE1005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</w:t>
            </w:r>
            <w:r w:rsidR="00CE06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6187DFFC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34A8B84A" w14:textId="77777777"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47B2BE62" w14:textId="77777777"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AB,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-negative</w:t>
            </w:r>
          </w:p>
        </w:tc>
      </w:tr>
      <w:tr w:rsidR="00EF0A06" w:rsidRPr="0035630B" w14:paraId="50F883D0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0C76A638" w14:textId="77777777" w:rsidR="00EF0A0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Mar>
              <w:left w:w="115" w:type="dxa"/>
              <w:right w:w="115" w:type="dxa"/>
            </w:tcMar>
          </w:tcPr>
          <w:p w14:paraId="3ED3733B" w14:textId="77777777" w:rsidR="00EF0A06" w:rsidRPr="00B83BE6" w:rsidRDefault="00B83BE6" w:rsidP="00B83BE6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B83BE6"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  <w:t xml:space="preserve">Note: </w:t>
            </w:r>
            <w:r w:rsidR="00EF0A06" w:rsidRPr="00B83BE6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NT = Not Tested</w:t>
            </w:r>
          </w:p>
        </w:tc>
      </w:tr>
      <w:tr w:rsidR="00D26356" w:rsidRPr="0035630B" w14:paraId="44AC1ED0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14:paraId="68E5932F" w14:textId="77777777" w:rsidR="00D2635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300" w:type="dxa"/>
            <w:gridSpan w:val="6"/>
            <w:tcMar>
              <w:left w:w="115" w:type="dxa"/>
              <w:right w:w="115" w:type="dxa"/>
            </w:tcMar>
          </w:tcPr>
          <w:p w14:paraId="4A4C5CFF" w14:textId="77777777" w:rsidR="00D26356" w:rsidRPr="0035630B" w:rsidRDefault="00D26356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Evaluate the </w:t>
            </w:r>
            <w:r w:rsidR="002F3F37" w:rsidRPr="0035630B">
              <w:rPr>
                <w:rFonts w:ascii="Arial" w:hAnsi="Arial" w:cs="Arial"/>
                <w:sz w:val="22"/>
                <w:szCs w:val="22"/>
                <w:lang w:val="en-GB"/>
              </w:rPr>
              <w:t>test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 results.</w:t>
            </w:r>
          </w:p>
        </w:tc>
        <w:tc>
          <w:tcPr>
            <w:tcW w:w="2340" w:type="dxa"/>
            <w:vMerge w:val="restart"/>
            <w:tcMar>
              <w:left w:w="115" w:type="dxa"/>
              <w:right w:w="115" w:type="dxa"/>
            </w:tcMar>
          </w:tcPr>
          <w:p w14:paraId="6E988431" w14:textId="17D03168" w:rsidR="00D26356" w:rsidRPr="0035630B" w:rsidRDefault="005F5462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F5462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ABO Discrepancy Resolution Process</w:t>
            </w:r>
          </w:p>
          <w:p w14:paraId="6C1438AB" w14:textId="77777777" w:rsidR="00D76AC4" w:rsidRDefault="00D76AC4" w:rsidP="00D76AC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ECEF579" w14:textId="77777777" w:rsidR="00D26356" w:rsidRPr="0035630B" w:rsidRDefault="00D26356" w:rsidP="00D76AC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</w:rPr>
              <w:t xml:space="preserve">Weak D </w:t>
            </w:r>
            <w:r w:rsidR="00EC69A6" w:rsidRPr="0035630B">
              <w:rPr>
                <w:rFonts w:ascii="Arial" w:hAnsi="Arial" w:cs="Arial"/>
                <w:sz w:val="22"/>
                <w:szCs w:val="22"/>
              </w:rPr>
              <w:t xml:space="preserve">Test by </w:t>
            </w:r>
            <w:r w:rsidR="00EF0A06">
              <w:rPr>
                <w:rFonts w:ascii="Arial" w:hAnsi="Arial" w:cs="Arial"/>
                <w:sz w:val="22"/>
                <w:szCs w:val="22"/>
              </w:rPr>
              <w:t>T</w:t>
            </w:r>
            <w:r w:rsidR="00EC69A6" w:rsidRPr="0035630B">
              <w:rPr>
                <w:rFonts w:ascii="Arial" w:hAnsi="Arial" w:cs="Arial"/>
                <w:sz w:val="22"/>
                <w:szCs w:val="22"/>
              </w:rPr>
              <w:t>ube</w:t>
            </w:r>
            <w:r w:rsidRPr="0035630B">
              <w:rPr>
                <w:rFonts w:ascii="Arial" w:hAnsi="Arial" w:cs="Arial"/>
                <w:sz w:val="22"/>
                <w:szCs w:val="22"/>
              </w:rPr>
              <w:t xml:space="preserve"> Procedure</w:t>
            </w:r>
          </w:p>
        </w:tc>
      </w:tr>
      <w:tr w:rsidR="00D26356" w:rsidRPr="0035630B" w14:paraId="423D7563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1A26F512" w14:textId="77777777" w:rsidR="00D26356" w:rsidRPr="00D76AC4" w:rsidRDefault="00D2635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Mar>
              <w:left w:w="115" w:type="dxa"/>
              <w:right w:w="115" w:type="dxa"/>
            </w:tcMar>
          </w:tcPr>
          <w:p w14:paraId="63946F68" w14:textId="77777777" w:rsidR="00D26356" w:rsidRPr="0035630B" w:rsidRDefault="00D2635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If </w:t>
            </w:r>
          </w:p>
        </w:tc>
        <w:tc>
          <w:tcPr>
            <w:tcW w:w="3420" w:type="dxa"/>
            <w:gridSpan w:val="3"/>
            <w:tcMar>
              <w:left w:w="115" w:type="dxa"/>
              <w:right w:w="115" w:type="dxa"/>
            </w:tcMar>
          </w:tcPr>
          <w:p w14:paraId="5082C7A4" w14:textId="77777777" w:rsidR="00D26356" w:rsidRPr="0035630B" w:rsidRDefault="00D2635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14:paraId="4431B6C5" w14:textId="77777777" w:rsidR="00D26356" w:rsidRPr="0035630B" w:rsidRDefault="00D26356" w:rsidP="00DA1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35630B" w14:paraId="3A53774C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14:paraId="4ACD3E4A" w14:textId="77777777" w:rsidR="00D26356" w:rsidRPr="00D76AC4" w:rsidRDefault="00D2635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Mar>
              <w:left w:w="115" w:type="dxa"/>
              <w:right w:w="115" w:type="dxa"/>
            </w:tcMar>
          </w:tcPr>
          <w:p w14:paraId="3EDB893B" w14:textId="77777777" w:rsidR="00D26356" w:rsidRPr="0035630B" w:rsidRDefault="00B83BE6" w:rsidP="009926DB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9926DB">
              <w:rPr>
                <w:rFonts w:ascii="Arial" w:hAnsi="Arial" w:cs="Arial"/>
                <w:sz w:val="22"/>
                <w:szCs w:val="22"/>
                <w:lang w:val="en-GB"/>
              </w:rPr>
              <w:t xml:space="preserve">here are any discrepancies in results when compared to the 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table in </w:t>
            </w:r>
            <w:r w:rsidR="00660965" w:rsidRPr="0035630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C7D64"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="00646485" w:rsidRPr="00646485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6</w:t>
            </w:r>
          </w:p>
        </w:tc>
        <w:tc>
          <w:tcPr>
            <w:tcW w:w="3420" w:type="dxa"/>
            <w:gridSpan w:val="3"/>
            <w:tcMar>
              <w:left w:w="115" w:type="dxa"/>
              <w:right w:w="115" w:type="dxa"/>
            </w:tcMar>
          </w:tcPr>
          <w:p w14:paraId="072C68F0" w14:textId="77777777" w:rsidR="00D26356" w:rsidRPr="0035630B" w:rsidRDefault="00066C87" w:rsidP="009926DB">
            <w:pPr>
              <w:tabs>
                <w:tab w:val="left" w:pos="-720"/>
                <w:tab w:val="left" w:pos="0"/>
              </w:tabs>
              <w:suppressAutoHyphens/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>esolve the discrepancy,</w:t>
            </w:r>
            <w:r w:rsidR="00D26356" w:rsidRPr="0035630B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660965" w:rsidRPr="0035630B">
              <w:rPr>
                <w:rFonts w:ascii="Arial" w:hAnsi="Arial" w:cs="Arial"/>
                <w:sz w:val="22"/>
                <w:szCs w:val="22"/>
                <w:lang w:val="en-GB"/>
              </w:rPr>
              <w:t>per established procedure,</w:t>
            </w:r>
            <w:r w:rsidR="00EF0A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60965" w:rsidRPr="0035630B">
              <w:rPr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="00EF0A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roceed to </w:t>
            </w:r>
            <w:r w:rsidR="00660965" w:rsidRPr="0035630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C66691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="00C66691" w:rsidRPr="00C6669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8</w:t>
            </w:r>
            <w:r w:rsidR="00EF0A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>once</w:t>
            </w:r>
            <w:r w:rsidR="00EF0A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>the discrepancy is resolved.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14:paraId="4DC2841F" w14:textId="77777777" w:rsidR="00D26356" w:rsidRPr="0035630B" w:rsidRDefault="00D2635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F4D56" w:rsidRPr="0035630B" w14:paraId="2533D997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</w:tcPr>
          <w:p w14:paraId="2F1476E0" w14:textId="77777777" w:rsidR="00BF4D56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300" w:type="dxa"/>
            <w:gridSpan w:val="6"/>
          </w:tcPr>
          <w:p w14:paraId="3F21482A" w14:textId="77777777" w:rsidR="00BF4D56" w:rsidRPr="0035630B" w:rsidRDefault="00BF4D56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Record the interpretation in the computer or on the worksheet</w:t>
            </w:r>
          </w:p>
        </w:tc>
        <w:tc>
          <w:tcPr>
            <w:tcW w:w="2340" w:type="dxa"/>
          </w:tcPr>
          <w:p w14:paraId="7ADA5676" w14:textId="77777777" w:rsidR="00BF4D56" w:rsidRPr="0035630B" w:rsidRDefault="00BF4D5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B788C" w:rsidRPr="0035630B" w14:paraId="074CACA9" w14:textId="77777777" w:rsidTr="00D76A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</w:tcPr>
          <w:p w14:paraId="512F3EE9" w14:textId="77777777" w:rsidR="00EB788C" w:rsidRPr="00D76AC4" w:rsidRDefault="00EF0A06" w:rsidP="00D76A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D76AC4">
              <w:rPr>
                <w:rFonts w:ascii="Arial" w:hAnsi="Arial" w:cs="Arial"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6300" w:type="dxa"/>
            <w:gridSpan w:val="6"/>
          </w:tcPr>
          <w:p w14:paraId="1C8D4E4F" w14:textId="77777777" w:rsidR="00EB788C" w:rsidRPr="0035630B" w:rsidRDefault="00EB788C" w:rsidP="00D76AC4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Resolve any discrepancy</w:t>
            </w:r>
            <w:r w:rsidR="008F5175">
              <w:rPr>
                <w:rFonts w:ascii="Arial" w:hAnsi="Arial" w:cs="Arial"/>
                <w:sz w:val="22"/>
                <w:szCs w:val="22"/>
                <w:lang w:val="en-GB"/>
              </w:rPr>
              <w:t xml:space="preserve"> between result and unit label before</w:t>
            </w:r>
            <w:r w:rsidR="00D76AC4">
              <w:rPr>
                <w:rFonts w:ascii="Arial" w:hAnsi="Arial" w:cs="Arial"/>
                <w:sz w:val="22"/>
                <w:szCs w:val="22"/>
                <w:lang w:val="en-GB"/>
              </w:rPr>
              <w:t xml:space="preserve"> resulting</w:t>
            </w:r>
            <w:r w:rsidR="008F5175">
              <w:rPr>
                <w:rFonts w:ascii="Arial" w:hAnsi="Arial" w:cs="Arial"/>
                <w:sz w:val="22"/>
                <w:szCs w:val="22"/>
                <w:lang w:val="en-GB"/>
              </w:rPr>
              <w:t xml:space="preserve"> or placing product into available inventory</w:t>
            </w:r>
          </w:p>
        </w:tc>
        <w:tc>
          <w:tcPr>
            <w:tcW w:w="2340" w:type="dxa"/>
          </w:tcPr>
          <w:p w14:paraId="7401E21F" w14:textId="77777777" w:rsidR="00EB788C" w:rsidRPr="0035630B" w:rsidRDefault="00EB788C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23888A5D" w14:textId="77777777" w:rsidR="003A17B0" w:rsidRDefault="003A17B0" w:rsidP="008F5175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14:paraId="4830E9C0" w14:textId="77777777" w:rsidR="008F5175" w:rsidRPr="00EF0A06" w:rsidRDefault="008F5175" w:rsidP="00AE345B">
      <w:pPr>
        <w:pStyle w:val="Header"/>
        <w:tabs>
          <w:tab w:val="clear" w:pos="4320"/>
          <w:tab w:val="clear" w:pos="8640"/>
        </w:tabs>
        <w:spacing w:before="0" w:after="0"/>
        <w:ind w:left="-180"/>
        <w:rPr>
          <w:rFonts w:ascii="Arial" w:hAnsi="Arial" w:cs="Arial"/>
          <w:sz w:val="22"/>
          <w:szCs w:val="22"/>
        </w:rPr>
      </w:pPr>
      <w:r w:rsidRPr="00EF0A06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14:paraId="17844E08" w14:textId="77777777" w:rsidR="00EF0A06" w:rsidRPr="00B65D78" w:rsidRDefault="00EF0A06" w:rsidP="00AE345B">
      <w:pPr>
        <w:widowControl w:val="0"/>
        <w:spacing w:before="0" w:after="0"/>
        <w:ind w:left="-180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Standards for Blood Banks and Transfusion Services, Current Edition, American Association of Blood Banks.</w:t>
      </w:r>
      <w:r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place">
        <w:smartTag w:uri="urn:schemas-microsoft-com:office:smarttags" w:element="City">
          <w:r w:rsidRPr="00B65D78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B65D78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B65D78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B65D78">
        <w:rPr>
          <w:rFonts w:ascii="Arial" w:hAnsi="Arial" w:cs="Arial"/>
          <w:sz w:val="22"/>
          <w:szCs w:val="22"/>
        </w:rPr>
        <w:t>:</w:t>
      </w:r>
    </w:p>
    <w:p w14:paraId="49B2563B" w14:textId="77777777" w:rsidR="00EF0A06" w:rsidRPr="00B65D78" w:rsidRDefault="00EF0A06" w:rsidP="00AE345B">
      <w:pPr>
        <w:pStyle w:val="Header"/>
        <w:tabs>
          <w:tab w:val="clear" w:pos="4320"/>
          <w:tab w:val="clear" w:pos="8640"/>
        </w:tabs>
        <w:spacing w:before="0" w:after="0"/>
        <w:ind w:left="-180"/>
        <w:rPr>
          <w:rFonts w:ascii="Arial" w:hAnsi="Arial" w:cs="Arial"/>
          <w:sz w:val="22"/>
          <w:szCs w:val="22"/>
        </w:rPr>
      </w:pPr>
    </w:p>
    <w:p w14:paraId="59A300A8" w14:textId="77777777" w:rsidR="00EF0A06" w:rsidRPr="00B65D78" w:rsidRDefault="00EF0A06" w:rsidP="00AE345B">
      <w:pPr>
        <w:pStyle w:val="Header"/>
        <w:tabs>
          <w:tab w:val="clear" w:pos="4320"/>
          <w:tab w:val="clear" w:pos="8640"/>
        </w:tabs>
        <w:spacing w:before="0" w:after="0"/>
        <w:ind w:left="-180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Current manufacturer’s package insert instructions.</w:t>
      </w:r>
    </w:p>
    <w:p w14:paraId="5D5D0419" w14:textId="77777777" w:rsidR="00404E58" w:rsidRPr="00EF0A06" w:rsidRDefault="00404E58" w:rsidP="00EF0A06">
      <w:pPr>
        <w:pStyle w:val="Header"/>
        <w:tabs>
          <w:tab w:val="clear" w:pos="4320"/>
          <w:tab w:val="clear" w:pos="8640"/>
        </w:tabs>
        <w:spacing w:before="0" w:after="0"/>
      </w:pPr>
    </w:p>
    <w:sectPr w:rsidR="00404E58" w:rsidRPr="00EF0A06" w:rsidSect="00F04089">
      <w:headerReference w:type="default" r:id="rId7"/>
      <w:footerReference w:type="default" r:id="rId8"/>
      <w:headerReference w:type="first" r:id="rId9"/>
      <w:pgSz w:w="12240" w:h="15840" w:code="1"/>
      <w:pgMar w:top="108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6A10" w14:textId="77777777" w:rsidR="00351460" w:rsidRDefault="00351460" w:rsidP="00F20330">
      <w:r>
        <w:separator/>
      </w:r>
    </w:p>
  </w:endnote>
  <w:endnote w:type="continuationSeparator" w:id="0">
    <w:p w14:paraId="61796479" w14:textId="77777777" w:rsidR="00351460" w:rsidRDefault="00351460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9CE3" w14:textId="77777777" w:rsidR="00330CCD" w:rsidRDefault="00330CCD" w:rsidP="00623B7A">
    <w:pPr>
      <w:pStyle w:val="Footer"/>
      <w:spacing w:before="0" w:after="0"/>
      <w:ind w:left="547" w:hanging="54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66691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66691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14:paraId="0DB3A1E9" w14:textId="77777777" w:rsidR="00330CCD" w:rsidRPr="00623B7A" w:rsidRDefault="00330CCD" w:rsidP="00623B7A">
    <w:pPr>
      <w:pStyle w:val="Footer"/>
      <w:spacing w:before="0" w:after="0"/>
      <w:ind w:left="547" w:hanging="547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0F78" w14:textId="77777777" w:rsidR="00351460" w:rsidRDefault="00351460" w:rsidP="00F20330">
      <w:r>
        <w:separator/>
      </w:r>
    </w:p>
  </w:footnote>
  <w:footnote w:type="continuationSeparator" w:id="0">
    <w:p w14:paraId="7A21FE73" w14:textId="77777777" w:rsidR="00351460" w:rsidRDefault="00351460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E0C7E" w14:textId="77777777" w:rsidR="00330CCD" w:rsidRPr="00B07E88" w:rsidRDefault="00330CCD" w:rsidP="00B07E88">
    <w:pPr>
      <w:pStyle w:val="Header"/>
      <w:tabs>
        <w:tab w:val="clear" w:pos="4320"/>
        <w:tab w:val="clear" w:pos="8640"/>
        <w:tab w:val="center" w:pos="4680"/>
        <w:tab w:val="right" w:pos="9360"/>
      </w:tabs>
      <w:spacing w:before="0" w:after="0"/>
      <w:rPr>
        <w:rFonts w:ascii="Arial" w:hAnsi="Arial" w:cs="Arial"/>
        <w:b/>
        <w:sz w:val="20"/>
      </w:rPr>
    </w:pPr>
    <w:r w:rsidRPr="00F04089">
      <w:rPr>
        <w:rFonts w:ascii="Arial" w:hAnsi="Arial" w:cs="Arial"/>
        <w:b/>
        <w:sz w:val="22"/>
      </w:rPr>
      <w:t>Unit Type Confirmation Using Tube Method</w:t>
    </w:r>
    <w:r w:rsidRPr="00B07E88">
      <w:rPr>
        <w:rFonts w:ascii="Arial" w:hAnsi="Arial" w:cs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05AE" w14:textId="77777777" w:rsidR="00330CCD" w:rsidRDefault="006251B8" w:rsidP="00623B7A">
    <w:pPr>
      <w:pStyle w:val="Header"/>
      <w:spacing w:before="0" w:after="0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C069A67" wp14:editId="345E4A65">
          <wp:extent cx="59436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C8EFF" w14:textId="77777777" w:rsidR="00330CCD" w:rsidRDefault="00330CCD" w:rsidP="00623B7A">
    <w:pPr>
      <w:pStyle w:val="Header"/>
      <w:spacing w:before="0" w:after="0"/>
      <w:rPr>
        <w:sz w:val="16"/>
        <w:szCs w:val="16"/>
      </w:rPr>
    </w:pPr>
  </w:p>
  <w:tbl>
    <w:tblPr>
      <w:tblW w:w="980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1882"/>
    </w:tblGrid>
    <w:tr w:rsidR="00330CCD" w14:paraId="0B8D8AA5" w14:textId="77777777" w:rsidTr="00B07E88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369B9C" w14:textId="77777777"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4AFC9ABE" w14:textId="77777777"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14:paraId="57C95A97" w14:textId="77777777"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smartTag w:uri="urn:schemas-microsoft-com:office:smarttags" w:element="Street">
            <w:r w:rsidRPr="003D4866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D486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D4866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proofErr w:type="gramStart"/>
          <w:r w:rsidRPr="003D4866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62A53E73" w14:textId="77777777"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859BBAF" w14:textId="77777777"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58216B9" w14:textId="77777777"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AAE6B49" w14:textId="77777777" w:rsidR="00330CCD" w:rsidRPr="00B07E88" w:rsidRDefault="00330CCD" w:rsidP="00B07E88">
          <w:pPr>
            <w:spacing w:before="0" w:after="0"/>
            <w:jc w:val="both"/>
            <w:rPr>
              <w:rFonts w:ascii="Arial" w:hAnsi="Arial" w:cs="Arial"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B07E88">
            <w:rPr>
              <w:rFonts w:ascii="Arial" w:hAnsi="Arial" w:cs="Arial"/>
              <w:sz w:val="22"/>
              <w:szCs w:val="22"/>
            </w:rPr>
            <w:t>April 1</w:t>
          </w:r>
          <w:r w:rsidRPr="00B07E8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B07E8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882" w:type="dxa"/>
          <w:tcBorders>
            <w:top w:val="double" w:sz="4" w:space="0" w:color="auto"/>
            <w:left w:val="nil"/>
            <w:bottom w:val="nil"/>
          </w:tcBorders>
        </w:tcPr>
        <w:p w14:paraId="60568C36" w14:textId="77777777" w:rsidR="00330CCD" w:rsidRPr="003D4866" w:rsidRDefault="00330CCD" w:rsidP="00B07E88">
          <w:pPr>
            <w:spacing w:before="0" w:after="0"/>
            <w:jc w:val="both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734DD266" w14:textId="77777777" w:rsidR="00330CCD" w:rsidRPr="003D4866" w:rsidRDefault="00F04089" w:rsidP="00B07E88">
          <w:pPr>
            <w:spacing w:before="0" w:after="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5307-2</w:t>
          </w:r>
        </w:p>
      </w:tc>
    </w:tr>
    <w:tr w:rsidR="00330CCD" w14:paraId="5A7DB2DD" w14:textId="77777777" w:rsidTr="00B07E88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00C8B85" w14:textId="77777777"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C515445" w14:textId="77777777" w:rsidR="00330CCD" w:rsidRPr="003D4866" w:rsidRDefault="00330CCD" w:rsidP="00B07E88">
          <w:pPr>
            <w:spacing w:before="0" w:after="0"/>
            <w:jc w:val="both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71AA493" w14:textId="77777777" w:rsidR="00330CCD" w:rsidRPr="009926DB" w:rsidRDefault="009926DB" w:rsidP="00B07E88">
          <w:pPr>
            <w:spacing w:before="0" w:after="0"/>
            <w:jc w:val="both"/>
            <w:rPr>
              <w:rFonts w:ascii="Arial" w:hAnsi="Arial" w:cs="Arial"/>
            </w:rPr>
          </w:pPr>
          <w:r w:rsidRPr="009926DB">
            <w:rPr>
              <w:rFonts w:ascii="Arial" w:hAnsi="Arial" w:cs="Arial"/>
            </w:rPr>
            <w:t>11/2/2020</w:t>
          </w:r>
        </w:p>
      </w:tc>
      <w:tc>
        <w:tcPr>
          <w:tcW w:w="1882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4285625" w14:textId="77777777" w:rsidR="00330CCD" w:rsidRPr="00050F4B" w:rsidRDefault="00330CCD" w:rsidP="00B07E88">
          <w:pPr>
            <w:spacing w:before="0" w:after="0"/>
            <w:jc w:val="both"/>
            <w:rPr>
              <w:rFonts w:ascii="Arial" w:hAnsi="Arial" w:cs="Arial"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30CCD" w14:paraId="77F3F1A9" w14:textId="77777777" w:rsidTr="00B07E88">
      <w:trPr>
        <w:cantSplit/>
        <w:trHeight w:val="590"/>
        <w:jc w:val="center"/>
      </w:trPr>
      <w:tc>
        <w:tcPr>
          <w:tcW w:w="9804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2343B7EE" w14:textId="77777777" w:rsidR="00330CCD" w:rsidRPr="00050F4B" w:rsidRDefault="00330CCD" w:rsidP="00B07E88">
          <w:pPr>
            <w:spacing w:before="0" w:after="0"/>
            <w:rPr>
              <w:rFonts w:ascii="Arial" w:hAnsi="Arial" w:cs="Arial"/>
              <w:sz w:val="28"/>
              <w:szCs w:val="28"/>
            </w:rPr>
          </w:pPr>
          <w:r w:rsidRPr="00050F4B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F04089">
            <w:rPr>
              <w:rFonts w:ascii="Arial" w:hAnsi="Arial" w:cs="Arial"/>
              <w:b/>
              <w:sz w:val="28"/>
              <w:szCs w:val="28"/>
            </w:rPr>
            <w:t>Unit Type Confirmation Using Tube Method</w:t>
          </w:r>
        </w:p>
      </w:tc>
    </w:tr>
  </w:tbl>
  <w:p w14:paraId="648AD62E" w14:textId="77777777" w:rsidR="00330CCD" w:rsidRPr="00B07E88" w:rsidRDefault="00330CCD" w:rsidP="00623B7A">
    <w:pPr>
      <w:pStyle w:val="Header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3B34"/>
    <w:multiLevelType w:val="hybridMultilevel"/>
    <w:tmpl w:val="1C30D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4E14"/>
    <w:multiLevelType w:val="hybridMultilevel"/>
    <w:tmpl w:val="42B6B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0901"/>
    <w:multiLevelType w:val="hybridMultilevel"/>
    <w:tmpl w:val="19D69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61E25"/>
    <w:multiLevelType w:val="multilevel"/>
    <w:tmpl w:val="1C30D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47748"/>
    <w:multiLevelType w:val="hybridMultilevel"/>
    <w:tmpl w:val="CDB2DB0A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646F"/>
    <w:multiLevelType w:val="hybridMultilevel"/>
    <w:tmpl w:val="E2022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76168"/>
    <w:multiLevelType w:val="hybridMultilevel"/>
    <w:tmpl w:val="84ECF03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9617A"/>
    <w:multiLevelType w:val="multilevel"/>
    <w:tmpl w:val="3D44DDE6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75F6F"/>
    <w:multiLevelType w:val="hybridMultilevel"/>
    <w:tmpl w:val="AA8A14BA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778F71A3"/>
    <w:multiLevelType w:val="multilevel"/>
    <w:tmpl w:val="3D44DDE6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A7A6743"/>
    <w:multiLevelType w:val="hybridMultilevel"/>
    <w:tmpl w:val="7D441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2"/>
  </w:num>
  <w:num w:numId="4">
    <w:abstractNumId w:val="1"/>
  </w:num>
  <w:num w:numId="5">
    <w:abstractNumId w:val="29"/>
  </w:num>
  <w:num w:numId="6">
    <w:abstractNumId w:val="32"/>
  </w:num>
  <w:num w:numId="7">
    <w:abstractNumId w:val="2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2"/>
  </w:num>
  <w:num w:numId="18">
    <w:abstractNumId w:val="9"/>
  </w:num>
  <w:num w:numId="19">
    <w:abstractNumId w:val="19"/>
  </w:num>
  <w:num w:numId="20">
    <w:abstractNumId w:val="21"/>
  </w:num>
  <w:num w:numId="21">
    <w:abstractNumId w:val="13"/>
  </w:num>
  <w:num w:numId="22">
    <w:abstractNumId w:val="16"/>
  </w:num>
  <w:num w:numId="23">
    <w:abstractNumId w:val="17"/>
  </w:num>
  <w:num w:numId="24">
    <w:abstractNumId w:val="23"/>
  </w:num>
  <w:num w:numId="25">
    <w:abstractNumId w:val="15"/>
  </w:num>
  <w:num w:numId="26">
    <w:abstractNumId w:val="11"/>
  </w:num>
  <w:num w:numId="27">
    <w:abstractNumId w:val="31"/>
  </w:num>
  <w:num w:numId="28">
    <w:abstractNumId w:val="3"/>
  </w:num>
  <w:num w:numId="29">
    <w:abstractNumId w:val="33"/>
  </w:num>
  <w:num w:numId="30">
    <w:abstractNumId w:val="28"/>
  </w:num>
  <w:num w:numId="31">
    <w:abstractNumId w:val="22"/>
  </w:num>
  <w:num w:numId="32">
    <w:abstractNumId w:val="20"/>
  </w:num>
  <w:num w:numId="33">
    <w:abstractNumId w:val="6"/>
  </w:num>
  <w:num w:numId="34">
    <w:abstractNumId w:val="26"/>
  </w:num>
  <w:num w:numId="35">
    <w:abstractNumId w:val="30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019"/>
    <w:rsid w:val="00002620"/>
    <w:rsid w:val="000109E9"/>
    <w:rsid w:val="00013BE8"/>
    <w:rsid w:val="000469ED"/>
    <w:rsid w:val="00066C87"/>
    <w:rsid w:val="000A5102"/>
    <w:rsid w:val="000D057B"/>
    <w:rsid w:val="000D42E5"/>
    <w:rsid w:val="00136F46"/>
    <w:rsid w:val="00142280"/>
    <w:rsid w:val="00153041"/>
    <w:rsid w:val="001548A9"/>
    <w:rsid w:val="0017203B"/>
    <w:rsid w:val="00173019"/>
    <w:rsid w:val="00186559"/>
    <w:rsid w:val="001C30E2"/>
    <w:rsid w:val="001D21AC"/>
    <w:rsid w:val="001E386D"/>
    <w:rsid w:val="00244FEF"/>
    <w:rsid w:val="002842AE"/>
    <w:rsid w:val="002C5845"/>
    <w:rsid w:val="002D4D89"/>
    <w:rsid w:val="002E524B"/>
    <w:rsid w:val="002F3F37"/>
    <w:rsid w:val="00301E25"/>
    <w:rsid w:val="00330CCD"/>
    <w:rsid w:val="00347812"/>
    <w:rsid w:val="00351460"/>
    <w:rsid w:val="0035630B"/>
    <w:rsid w:val="003A17B0"/>
    <w:rsid w:val="003D17A9"/>
    <w:rsid w:val="003D1D58"/>
    <w:rsid w:val="00404E58"/>
    <w:rsid w:val="00420452"/>
    <w:rsid w:val="00430316"/>
    <w:rsid w:val="004622E2"/>
    <w:rsid w:val="004714EF"/>
    <w:rsid w:val="004B7CEC"/>
    <w:rsid w:val="004C2B2E"/>
    <w:rsid w:val="004C5B15"/>
    <w:rsid w:val="004D151F"/>
    <w:rsid w:val="004D522B"/>
    <w:rsid w:val="004F29BE"/>
    <w:rsid w:val="0054539C"/>
    <w:rsid w:val="00550303"/>
    <w:rsid w:val="00556606"/>
    <w:rsid w:val="00557243"/>
    <w:rsid w:val="005579D7"/>
    <w:rsid w:val="00575DD7"/>
    <w:rsid w:val="00587E4B"/>
    <w:rsid w:val="005A515D"/>
    <w:rsid w:val="005D688C"/>
    <w:rsid w:val="005D6A64"/>
    <w:rsid w:val="005D6CA6"/>
    <w:rsid w:val="005F5462"/>
    <w:rsid w:val="005F7CAF"/>
    <w:rsid w:val="00603E5F"/>
    <w:rsid w:val="00617659"/>
    <w:rsid w:val="00623B7A"/>
    <w:rsid w:val="006251B8"/>
    <w:rsid w:val="00646485"/>
    <w:rsid w:val="00660965"/>
    <w:rsid w:val="00661E04"/>
    <w:rsid w:val="0069083E"/>
    <w:rsid w:val="006A019E"/>
    <w:rsid w:val="006B02D4"/>
    <w:rsid w:val="007002E9"/>
    <w:rsid w:val="007204A5"/>
    <w:rsid w:val="007645A6"/>
    <w:rsid w:val="007B4815"/>
    <w:rsid w:val="007D10C2"/>
    <w:rsid w:val="007D5778"/>
    <w:rsid w:val="0080600C"/>
    <w:rsid w:val="00816303"/>
    <w:rsid w:val="00882B5D"/>
    <w:rsid w:val="008C2C16"/>
    <w:rsid w:val="008C7F1E"/>
    <w:rsid w:val="008F5175"/>
    <w:rsid w:val="009002A1"/>
    <w:rsid w:val="0092411B"/>
    <w:rsid w:val="00936792"/>
    <w:rsid w:val="00944784"/>
    <w:rsid w:val="00964CFF"/>
    <w:rsid w:val="009926DB"/>
    <w:rsid w:val="009971F9"/>
    <w:rsid w:val="009B242B"/>
    <w:rsid w:val="009B2991"/>
    <w:rsid w:val="009E114F"/>
    <w:rsid w:val="00A1485D"/>
    <w:rsid w:val="00A171DB"/>
    <w:rsid w:val="00A54ACA"/>
    <w:rsid w:val="00A62C02"/>
    <w:rsid w:val="00A67D15"/>
    <w:rsid w:val="00AB3ED9"/>
    <w:rsid w:val="00AC1B3A"/>
    <w:rsid w:val="00AE345B"/>
    <w:rsid w:val="00B07E88"/>
    <w:rsid w:val="00B27896"/>
    <w:rsid w:val="00B51ED0"/>
    <w:rsid w:val="00B60E8D"/>
    <w:rsid w:val="00B626EE"/>
    <w:rsid w:val="00B63F59"/>
    <w:rsid w:val="00B83BE6"/>
    <w:rsid w:val="00B94045"/>
    <w:rsid w:val="00B950C6"/>
    <w:rsid w:val="00BE12E6"/>
    <w:rsid w:val="00BE1F6F"/>
    <w:rsid w:val="00BF4D56"/>
    <w:rsid w:val="00C03C16"/>
    <w:rsid w:val="00C15FBF"/>
    <w:rsid w:val="00C314F7"/>
    <w:rsid w:val="00C45186"/>
    <w:rsid w:val="00C57C5F"/>
    <w:rsid w:val="00C63A26"/>
    <w:rsid w:val="00C66691"/>
    <w:rsid w:val="00C75096"/>
    <w:rsid w:val="00C93203"/>
    <w:rsid w:val="00CB7081"/>
    <w:rsid w:val="00CE0644"/>
    <w:rsid w:val="00CE52C7"/>
    <w:rsid w:val="00CE75EF"/>
    <w:rsid w:val="00D14E9D"/>
    <w:rsid w:val="00D26356"/>
    <w:rsid w:val="00D422E3"/>
    <w:rsid w:val="00D74BFA"/>
    <w:rsid w:val="00D76AC4"/>
    <w:rsid w:val="00DA1D21"/>
    <w:rsid w:val="00DC5B9F"/>
    <w:rsid w:val="00DC7D64"/>
    <w:rsid w:val="00E63CFA"/>
    <w:rsid w:val="00E70A85"/>
    <w:rsid w:val="00E74B8E"/>
    <w:rsid w:val="00E812FD"/>
    <w:rsid w:val="00E86B23"/>
    <w:rsid w:val="00EB58CA"/>
    <w:rsid w:val="00EB788C"/>
    <w:rsid w:val="00EC6848"/>
    <w:rsid w:val="00EC69A6"/>
    <w:rsid w:val="00EF0A06"/>
    <w:rsid w:val="00EF7B35"/>
    <w:rsid w:val="00F04089"/>
    <w:rsid w:val="00F20330"/>
    <w:rsid w:val="00F42003"/>
    <w:rsid w:val="00F60539"/>
    <w:rsid w:val="00F70412"/>
    <w:rsid w:val="00F925EB"/>
    <w:rsid w:val="00FA2D3B"/>
    <w:rsid w:val="00FA7581"/>
    <w:rsid w:val="00FD5385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3"/>
    <o:shapelayout v:ext="edit">
      <o:idmap v:ext="edit" data="1"/>
    </o:shapelayout>
  </w:shapeDefaults>
  <w:decimalSymbol w:val="."/>
  <w:listSeparator w:val=","/>
  <w14:docId w14:val="095E5B9D"/>
  <w15:docId w15:val="{5586CA7F-9368-4AF6-B4AE-77FE4C6E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7D64"/>
    <w:rPr>
      <w:rFonts w:ascii="Georgia" w:hAnsi="Georgia"/>
      <w:kern w:val="24"/>
      <w:sz w:val="24"/>
    </w:rPr>
  </w:style>
  <w:style w:type="character" w:customStyle="1" w:styleId="FooterChar1">
    <w:name w:val="Footer Char1"/>
    <w:link w:val="Footer"/>
    <w:uiPriority w:val="99"/>
    <w:rsid w:val="008F5175"/>
    <w:rPr>
      <w:sz w:val="24"/>
      <w:szCs w:val="24"/>
    </w:rPr>
  </w:style>
  <w:style w:type="character" w:customStyle="1" w:styleId="FooterChar">
    <w:name w:val="Footer Char"/>
    <w:locked/>
    <w:rsid w:val="00623B7A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3001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Tuott, Erin E</cp:lastModifiedBy>
  <cp:revision>7</cp:revision>
  <cp:lastPrinted>2014-11-11T17:50:00Z</cp:lastPrinted>
  <dcterms:created xsi:type="dcterms:W3CDTF">2019-09-04T18:11:00Z</dcterms:created>
  <dcterms:modified xsi:type="dcterms:W3CDTF">2020-10-21T22:58:00Z</dcterms:modified>
</cp:coreProperties>
</file>