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2D15209E" w:rsidR="00104C97" w:rsidRPr="00B16FEE" w:rsidRDefault="00104C97" w:rsidP="00003ECD">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0B58C8">
              <w:rPr>
                <w:rFonts w:asciiTheme="minorHAnsi" w:hAnsiTheme="minorHAnsi"/>
              </w:rPr>
              <w:t>11/16/23</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1F4A5472" w:rsidR="007F4C42" w:rsidRPr="008C674E" w:rsidRDefault="009B7C27" w:rsidP="00177A34">
            <w:pPr>
              <w:pStyle w:val="ListParagraph"/>
              <w:numPr>
                <w:ilvl w:val="0"/>
                <w:numId w:val="7"/>
              </w:numPr>
              <w:autoSpaceDE w:val="0"/>
              <w:autoSpaceDN w:val="0"/>
              <w:adjustRightInd w:val="0"/>
              <w:ind w:left="360"/>
              <w:rPr>
                <w:color w:val="000000"/>
                <w:sz w:val="23"/>
                <w:szCs w:val="23"/>
              </w:rPr>
            </w:pPr>
            <w:r>
              <w:rPr>
                <w:color w:val="000000"/>
                <w:sz w:val="23"/>
                <w:szCs w:val="23"/>
              </w:rPr>
              <w:t xml:space="preserve">I </w:t>
            </w:r>
            <w:r w:rsidR="00AE4626">
              <w:rPr>
                <w:color w:val="000000"/>
                <w:sz w:val="23"/>
                <w:szCs w:val="23"/>
              </w:rPr>
              <w:t xml:space="preserve">will </w:t>
            </w:r>
            <w:r w:rsidR="000B58C8">
              <w:rPr>
                <w:color w:val="000000"/>
                <w:sz w:val="23"/>
                <w:szCs w:val="23"/>
              </w:rPr>
              <w:t>encourage Collaboration and Teamwork</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65F914D6" w14:textId="070116A8" w:rsidR="000B58C8" w:rsidRPr="00C863EA" w:rsidRDefault="00C863EA" w:rsidP="00C863EA">
            <w:pPr>
              <w:pStyle w:val="ListParagraph"/>
              <w:numPr>
                <w:ilvl w:val="0"/>
                <w:numId w:val="7"/>
              </w:numPr>
              <w:ind w:left="360"/>
              <w:rPr>
                <w:b w:val="0"/>
                <w:bCs/>
              </w:rPr>
            </w:pPr>
            <w:r w:rsidRPr="00C863EA">
              <w:rPr>
                <w:b w:val="0"/>
                <w:bCs/>
              </w:rPr>
              <w:t>Cl</w:t>
            </w:r>
            <w:r w:rsidR="0001619C" w:rsidRPr="00C863EA">
              <w:rPr>
                <w:b w:val="0"/>
                <w:bCs/>
              </w:rPr>
              <w:t>inical trials TROOP, TOWAR</w:t>
            </w:r>
          </w:p>
          <w:p w14:paraId="4BFAB3F4" w14:textId="23072EC8" w:rsidR="006D2DB4" w:rsidRPr="000B58C8" w:rsidRDefault="006D2DB4" w:rsidP="00A36D43">
            <w:pPr>
              <w:pStyle w:val="ListParagraph"/>
              <w:numPr>
                <w:ilvl w:val="0"/>
                <w:numId w:val="13"/>
              </w:numPr>
              <w:ind w:left="720"/>
              <w:rPr>
                <w:b w:val="0"/>
              </w:rPr>
            </w:pPr>
            <w:r w:rsidRPr="000B58C8">
              <w:rPr>
                <w:b w:val="0"/>
              </w:rPr>
              <w:t xml:space="preserve">TROOP </w:t>
            </w:r>
            <w:r w:rsidR="00FA6D30" w:rsidRPr="000B58C8">
              <w:rPr>
                <w:b w:val="0"/>
              </w:rPr>
              <w:t xml:space="preserve">– </w:t>
            </w:r>
            <w:r w:rsidR="000B58C8">
              <w:rPr>
                <w:b w:val="0"/>
              </w:rPr>
              <w:t>only 3 sites currently enrolling patients nationwide so our enrollment numbers as a whole are lower than the study would like.</w:t>
            </w:r>
          </w:p>
          <w:p w14:paraId="5BEE8808" w14:textId="73EF07C1" w:rsidR="006D2DB4" w:rsidRDefault="006D2DB4" w:rsidP="006D2DB4">
            <w:pPr>
              <w:pStyle w:val="ListParagraph"/>
              <w:numPr>
                <w:ilvl w:val="0"/>
                <w:numId w:val="13"/>
              </w:numPr>
              <w:ind w:left="720"/>
              <w:rPr>
                <w:b w:val="0"/>
              </w:rPr>
            </w:pPr>
            <w:r>
              <w:rPr>
                <w:b w:val="0"/>
              </w:rPr>
              <w:t>TOWAR has enrolled 50+ patients.</w:t>
            </w:r>
          </w:p>
          <w:p w14:paraId="15B49B3B" w14:textId="77777777" w:rsidR="00433231" w:rsidRDefault="000B58C8" w:rsidP="00177A34">
            <w:pPr>
              <w:pStyle w:val="ListParagraph"/>
              <w:numPr>
                <w:ilvl w:val="0"/>
                <w:numId w:val="6"/>
              </w:numPr>
              <w:ind w:left="360"/>
              <w:rPr>
                <w:b w:val="0"/>
              </w:rPr>
            </w:pPr>
            <w:r>
              <w:rPr>
                <w:b w:val="0"/>
              </w:rPr>
              <w:t xml:space="preserve">Non-clinical trial pathogen reduced </w:t>
            </w:r>
            <w:r w:rsidR="00626739">
              <w:rPr>
                <w:b w:val="0"/>
              </w:rPr>
              <w:t>5-day</w:t>
            </w:r>
            <w:r>
              <w:rPr>
                <w:b w:val="0"/>
              </w:rPr>
              <w:t xml:space="preserve"> cryoprecipitate is on hold until Dr White presents to the Transfusion Practice Committee. You cannot change the standard practice of patient care while in the middle of clinical trials (TROOP/TAP) so he needs to get everyone to agree.</w:t>
            </w:r>
          </w:p>
          <w:p w14:paraId="28041001" w14:textId="77777777" w:rsidR="00C863EA" w:rsidRDefault="00F46C2A" w:rsidP="00177A34">
            <w:pPr>
              <w:pStyle w:val="ListParagraph"/>
              <w:numPr>
                <w:ilvl w:val="0"/>
                <w:numId w:val="6"/>
              </w:numPr>
              <w:ind w:left="360"/>
              <w:rPr>
                <w:b w:val="0"/>
              </w:rPr>
            </w:pPr>
            <w:r>
              <w:rPr>
                <w:b w:val="0"/>
              </w:rPr>
              <w:t>Masking in patient facing areas will begin soon. This is due to RSV going over the threshold. Infection Control was meeting and will send out an update soon.</w:t>
            </w:r>
          </w:p>
          <w:p w14:paraId="5CD018FB" w14:textId="0051F660" w:rsidR="00F46C2A" w:rsidRPr="005C38B6" w:rsidRDefault="00F46C2A" w:rsidP="00F46C2A">
            <w:pPr>
              <w:rPr>
                <w:sz w:val="22"/>
                <w:szCs w:val="22"/>
              </w:rPr>
            </w:pPr>
            <w:hyperlink r:id="rId8" w:history="1">
              <w:r w:rsidRPr="00F46C2A">
                <w:rPr>
                  <w:rStyle w:val="Hyperlink"/>
                  <w:sz w:val="22"/>
                  <w:szCs w:val="22"/>
                </w:rPr>
                <w:t>https://kingcounty.gov/en/dept/dph/health-safety/disease-illness/facts-and-data/respiratory</w:t>
              </w:r>
              <w:r w:rsidRPr="00F46C2A">
                <w:rPr>
                  <w:rStyle w:val="Hyperlink"/>
                  <w:sz w:val="22"/>
                  <w:szCs w:val="22"/>
                </w:rPr>
                <w:t>-</w:t>
              </w:r>
              <w:r w:rsidRPr="00F46C2A">
                <w:rPr>
                  <w:rStyle w:val="Hyperlink"/>
                  <w:sz w:val="22"/>
                  <w:szCs w:val="22"/>
                </w:rPr>
                <w:t>virus-data</w:t>
              </w:r>
            </w:hyperlink>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2090FB7F" w:rsidR="000475D9" w:rsidRDefault="002A3BF3" w:rsidP="000475D9">
            <w:pPr>
              <w:pStyle w:val="ListParagraph"/>
              <w:numPr>
                <w:ilvl w:val="0"/>
                <w:numId w:val="4"/>
              </w:numPr>
              <w:ind w:left="360"/>
              <w:rPr>
                <w:b w:val="0"/>
              </w:rPr>
            </w:pPr>
            <w:r>
              <w:rPr>
                <w:b w:val="0"/>
              </w:rPr>
              <w:t>2023 DOs</w:t>
            </w:r>
            <w:r w:rsidR="006D2DB4">
              <w:rPr>
                <w:b w:val="0"/>
              </w:rPr>
              <w:t xml:space="preserve"> – please work on getting these completed</w:t>
            </w:r>
            <w:r w:rsidR="00626739">
              <w:rPr>
                <w:b w:val="0"/>
              </w:rPr>
              <w:t>, you have until the end of November because Dr Hess also has to sign these and I would like to give him time to review.</w:t>
            </w:r>
          </w:p>
          <w:p w14:paraId="45262751" w14:textId="1CE950C5" w:rsidR="003644F4" w:rsidRDefault="003644F4" w:rsidP="00626739">
            <w:pPr>
              <w:pStyle w:val="ListParagraph"/>
              <w:numPr>
                <w:ilvl w:val="0"/>
                <w:numId w:val="11"/>
              </w:numPr>
              <w:ind w:left="720"/>
              <w:rPr>
                <w:b w:val="0"/>
              </w:rPr>
            </w:pPr>
            <w:r>
              <w:rPr>
                <w:b w:val="0"/>
              </w:rPr>
              <w:t>Printouts of old versions of policies and forms found sitting around.</w:t>
            </w:r>
          </w:p>
          <w:p w14:paraId="22A45B21" w14:textId="586D4D75" w:rsidR="00EC076A" w:rsidRDefault="00EC076A" w:rsidP="00626739">
            <w:pPr>
              <w:pStyle w:val="ListParagraph"/>
              <w:numPr>
                <w:ilvl w:val="0"/>
                <w:numId w:val="11"/>
              </w:numPr>
              <w:ind w:left="720"/>
              <w:rPr>
                <w:b w:val="0"/>
              </w:rPr>
            </w:pPr>
            <w:r>
              <w:rPr>
                <w:b w:val="0"/>
              </w:rPr>
              <w:t xml:space="preserve">No expiration or open date for QC that had been </w:t>
            </w:r>
            <w:r w:rsidR="003644F4">
              <w:rPr>
                <w:b w:val="0"/>
              </w:rPr>
              <w:t>aliquoted.</w:t>
            </w:r>
          </w:p>
          <w:p w14:paraId="65EF108F" w14:textId="139A3474" w:rsidR="003644F4" w:rsidRDefault="003644F4" w:rsidP="00626739">
            <w:pPr>
              <w:pStyle w:val="ListParagraph"/>
              <w:numPr>
                <w:ilvl w:val="0"/>
                <w:numId w:val="11"/>
              </w:numPr>
              <w:ind w:left="720"/>
              <w:rPr>
                <w:b w:val="0"/>
              </w:rPr>
            </w:pPr>
            <w:r>
              <w:rPr>
                <w:b w:val="0"/>
              </w:rPr>
              <w:t xml:space="preserve">Food brought to </w:t>
            </w:r>
            <w:r w:rsidR="003F161F">
              <w:rPr>
                <w:b w:val="0"/>
              </w:rPr>
              <w:t>the break</w:t>
            </w:r>
            <w:r>
              <w:rPr>
                <w:b w:val="0"/>
              </w:rPr>
              <w:t xml:space="preserve"> room through a door that said no food or </w:t>
            </w:r>
            <w:r w:rsidR="003F161F">
              <w:rPr>
                <w:b w:val="0"/>
              </w:rPr>
              <w:t>drink.</w:t>
            </w:r>
          </w:p>
          <w:p w14:paraId="28EE9D54" w14:textId="6FDA8171" w:rsidR="003644F4" w:rsidRDefault="003644F4" w:rsidP="00626739">
            <w:pPr>
              <w:pStyle w:val="ListParagraph"/>
              <w:numPr>
                <w:ilvl w:val="0"/>
                <w:numId w:val="11"/>
              </w:numPr>
              <w:ind w:left="720"/>
              <w:rPr>
                <w:b w:val="0"/>
              </w:rPr>
            </w:pPr>
            <w:r>
              <w:rPr>
                <w:b w:val="0"/>
              </w:rPr>
              <w:t>Root cause analysis for a sentinel event did not have the effectiveness check completed.</w:t>
            </w:r>
          </w:p>
          <w:p w14:paraId="47E0DB15" w14:textId="65CD3CC0" w:rsidR="003644F4" w:rsidRDefault="003644F4" w:rsidP="00626739">
            <w:pPr>
              <w:pStyle w:val="ListParagraph"/>
              <w:numPr>
                <w:ilvl w:val="0"/>
                <w:numId w:val="11"/>
              </w:numPr>
              <w:ind w:left="720"/>
              <w:rPr>
                <w:b w:val="0"/>
              </w:rPr>
            </w:pPr>
            <w:r>
              <w:rPr>
                <w:b w:val="0"/>
              </w:rPr>
              <w:t>Expired reagent not used for patient testing did not have a note declaring it as research use only or not for clinical use.</w:t>
            </w:r>
          </w:p>
          <w:p w14:paraId="62BE9E50" w14:textId="7B393374" w:rsidR="003644F4" w:rsidRDefault="003644F4" w:rsidP="00626739">
            <w:pPr>
              <w:pStyle w:val="ListParagraph"/>
              <w:numPr>
                <w:ilvl w:val="0"/>
                <w:numId w:val="11"/>
              </w:numPr>
              <w:ind w:left="720"/>
              <w:rPr>
                <w:b w:val="0"/>
              </w:rPr>
            </w:pPr>
            <w:r>
              <w:rPr>
                <w:b w:val="0"/>
              </w:rPr>
              <w:t>Thermometers used for backup during Temptrak outage were not validated.</w:t>
            </w:r>
          </w:p>
          <w:p w14:paraId="66167779" w14:textId="4C575114" w:rsidR="003F161F" w:rsidRDefault="003F161F" w:rsidP="00626739">
            <w:pPr>
              <w:pStyle w:val="ListParagraph"/>
              <w:numPr>
                <w:ilvl w:val="0"/>
                <w:numId w:val="11"/>
              </w:numPr>
              <w:ind w:left="720"/>
              <w:rPr>
                <w:b w:val="0"/>
              </w:rPr>
            </w:pPr>
            <w:r>
              <w:rPr>
                <w:b w:val="0"/>
              </w:rPr>
              <w:t>Temperature alarm fired but not acknowledged or cleared for 24 hours. Unit had been cleaned out and was unplugged but no documentation of that.</w:t>
            </w:r>
          </w:p>
          <w:p w14:paraId="35BCB143" w14:textId="4B5A5958" w:rsidR="003F161F" w:rsidRDefault="003F161F" w:rsidP="00626739">
            <w:pPr>
              <w:pStyle w:val="ListParagraph"/>
              <w:numPr>
                <w:ilvl w:val="0"/>
                <w:numId w:val="11"/>
              </w:numPr>
              <w:ind w:left="720"/>
              <w:rPr>
                <w:b w:val="0"/>
              </w:rPr>
            </w:pPr>
            <w:r>
              <w:rPr>
                <w:b w:val="0"/>
              </w:rPr>
              <w:t>Monthly QC not reviewed.</w:t>
            </w:r>
          </w:p>
          <w:p w14:paraId="642250CB" w14:textId="4FE52AAD" w:rsidR="00626739" w:rsidRPr="008B5D24" w:rsidRDefault="00626739" w:rsidP="00626739">
            <w:pPr>
              <w:pStyle w:val="ListParagraph"/>
              <w:numPr>
                <w:ilvl w:val="0"/>
                <w:numId w:val="4"/>
              </w:numPr>
              <w:ind w:left="360"/>
            </w:pPr>
            <w:r>
              <w:rPr>
                <w:b w:val="0"/>
                <w:bCs/>
              </w:rPr>
              <w:t>Open positions: 1 MLS Lead (eves), 1 MLS1 (hourly), 1 CLT2 (nights). We will begin interviewing the CLT candidates next week. No candidates for the hourly position and the lead position was just posted</w:t>
            </w:r>
            <w:r w:rsidR="008B5D24">
              <w:rPr>
                <w:b w:val="0"/>
                <w:bCs/>
              </w:rPr>
              <w:t>, there was some incorrect information in the job description (location = immunology) so once that is corrected I will email it out</w:t>
            </w:r>
            <w:r>
              <w:rPr>
                <w:b w:val="0"/>
                <w:bCs/>
              </w:rPr>
              <w:t>.</w:t>
            </w:r>
          </w:p>
          <w:p w14:paraId="25A31607" w14:textId="4BCE4F63" w:rsidR="008B5D24" w:rsidRPr="008B5D24" w:rsidRDefault="008B5D24" w:rsidP="00626739">
            <w:pPr>
              <w:pStyle w:val="ListParagraph"/>
              <w:numPr>
                <w:ilvl w:val="0"/>
                <w:numId w:val="4"/>
              </w:numPr>
              <w:ind w:left="360"/>
            </w:pPr>
            <w:r>
              <w:rPr>
                <w:b w:val="0"/>
              </w:rPr>
              <w:lastRenderedPageBreak/>
              <w:t>New day shift MLS begins 11/27. Kumiko comes to us after some experience being a traveler but also a few years working in Hawaii.</w:t>
            </w:r>
          </w:p>
          <w:p w14:paraId="44C87769" w14:textId="6334E11E" w:rsidR="008B5D24" w:rsidRPr="008B5D24" w:rsidRDefault="008B5D24" w:rsidP="00626739">
            <w:pPr>
              <w:pStyle w:val="ListParagraph"/>
              <w:numPr>
                <w:ilvl w:val="0"/>
                <w:numId w:val="4"/>
              </w:numPr>
              <w:ind w:left="360"/>
            </w:pPr>
            <w:r>
              <w:rPr>
                <w:b w:val="0"/>
              </w:rPr>
              <w:t>MLS students begin their rotations 11/20. We will have 2 on day shift for the 1</w:t>
            </w:r>
            <w:r w:rsidRPr="008B5D24">
              <w:rPr>
                <w:b w:val="0"/>
                <w:vertAlign w:val="superscript"/>
              </w:rPr>
              <w:t>st</w:t>
            </w:r>
            <w:r>
              <w:rPr>
                <w:b w:val="0"/>
              </w:rPr>
              <w:t xml:space="preserve"> 4 rotations and the last rotation we have 1 on evening shift.</w:t>
            </w:r>
          </w:p>
          <w:p w14:paraId="7EAD2DB6" w14:textId="4758CD2E" w:rsidR="008B5D24" w:rsidRPr="008B5D24" w:rsidRDefault="008B5D24" w:rsidP="00626739">
            <w:pPr>
              <w:pStyle w:val="ListParagraph"/>
              <w:numPr>
                <w:ilvl w:val="0"/>
                <w:numId w:val="4"/>
              </w:numPr>
              <w:ind w:left="360"/>
            </w:pPr>
            <w:r>
              <w:rPr>
                <w:b w:val="0"/>
              </w:rPr>
              <w:t>New transfusion tags coming early 2024. We will have double sided paper printed by the UW Printing service that looks sort of like our current transfusion tag but also has information on the back side about transfusion reactions. Then we will have a smaller zebra printer (closer to the size of the specimen label printers) that will print a 4”x6” label. The top 4”x4” of this label will go on the transfusion tag and the remaining 2”x4” part will go on the back of the unit. For uncrossmatched, the 4”x4” will go on the tag and we can discard the 2”x4”. We will try to use up most of our current transfusion tags at all 4 sites before we make the switch over. Marnie and Naomi will train the nursing staff on use. This means the old tag printer can go away and we gain all that space to use for something else.</w:t>
            </w:r>
          </w:p>
          <w:p w14:paraId="34C433CE" w14:textId="6A53AE54" w:rsidR="008B5D24" w:rsidRPr="008B5D24" w:rsidRDefault="008B5D24" w:rsidP="00626739">
            <w:pPr>
              <w:pStyle w:val="ListParagraph"/>
              <w:numPr>
                <w:ilvl w:val="0"/>
                <w:numId w:val="4"/>
              </w:numPr>
              <w:ind w:left="360"/>
            </w:pPr>
            <w:r>
              <w:rPr>
                <w:b w:val="0"/>
              </w:rPr>
              <w:t xml:space="preserve">New testing analyzer coming in 2024 but we will need to redesign parts of the lab because we are getting </w:t>
            </w:r>
            <w:r w:rsidR="00C863EA">
              <w:rPr>
                <w:b w:val="0"/>
              </w:rPr>
              <w:t>two (yay!)</w:t>
            </w:r>
            <w:r>
              <w:rPr>
                <w:b w:val="0"/>
              </w:rPr>
              <w:t xml:space="preserve">. The thought is we will install one in late summer/fall and get everyone trained and up and running and then in December 2024/January 2025 have the tango removed and install the second new analyzer. We will most likely be going to the Grifols Eflexis which is gel. They will be sending a manual work station so we can spin the cards before use, we will stick with manual tube testing as well. Unclear at this time if we will stay with Bio-Rad </w:t>
            </w:r>
            <w:r w:rsidR="00C863EA">
              <w:rPr>
                <w:b w:val="0"/>
              </w:rPr>
              <w:t xml:space="preserve">manual testing reagents </w:t>
            </w:r>
            <w:r>
              <w:rPr>
                <w:b w:val="0"/>
              </w:rPr>
              <w:t>or if we will move to another vendor.</w:t>
            </w:r>
          </w:p>
          <w:p w14:paraId="1B02D4D1" w14:textId="2753C2FB" w:rsidR="008B5D24" w:rsidRDefault="008B5D24" w:rsidP="008B5D24">
            <w:pPr>
              <w:pStyle w:val="ListParagraph"/>
              <w:ind w:left="360"/>
              <w:rPr>
                <w:b w:val="0"/>
                <w:bCs/>
              </w:rPr>
            </w:pPr>
            <w:hyperlink r:id="rId9" w:history="1">
              <w:r w:rsidRPr="008B5D24">
                <w:rPr>
                  <w:rStyle w:val="Hyperlink"/>
                  <w:b w:val="0"/>
                  <w:bCs/>
                </w:rPr>
                <w:t>https://www.diagnostic.grifols.com/en/erytra-eflexis/overview</w:t>
              </w:r>
            </w:hyperlink>
          </w:p>
          <w:p w14:paraId="23054FC8" w14:textId="6365727A" w:rsidR="008B5D24" w:rsidRPr="005C38B6" w:rsidRDefault="00C863EA" w:rsidP="00C863EA">
            <w:pPr>
              <w:pStyle w:val="ListParagraph"/>
              <w:numPr>
                <w:ilvl w:val="0"/>
                <w:numId w:val="4"/>
              </w:numPr>
              <w:ind w:left="360"/>
              <w:rPr>
                <w:szCs w:val="22"/>
              </w:rPr>
            </w:pPr>
            <w:r>
              <w:rPr>
                <w:b w:val="0"/>
                <w:bCs/>
                <w:szCs w:val="22"/>
              </w:rPr>
              <w:t>Portable refrigerators are not for storing trauma packs during shifts. When a trauma is paged, go to the larger refrigerator, pull the paperwork, and timestamp it, place the units in the portable. When returning from a trauma, the packs are removed, the paperwork replaced, and the units placed back into the large refrigerator. The portable refrigerator is then cleaned. Again – trauma packs are not be placed into a portable at the beginning of the shift and removed (or forgotten as has been the case) at the end of the shift.</w:t>
            </w:r>
          </w:p>
          <w:p w14:paraId="45E5959A" w14:textId="39BE7AA4" w:rsidR="005C38B6" w:rsidRDefault="005C38B6" w:rsidP="005C38B6">
            <w:pPr>
              <w:pStyle w:val="ListParagraph"/>
              <w:numPr>
                <w:ilvl w:val="0"/>
                <w:numId w:val="4"/>
              </w:numPr>
              <w:ind w:left="360"/>
              <w:rPr>
                <w:b w:val="0"/>
                <w:bCs/>
                <w:szCs w:val="18"/>
              </w:rPr>
            </w:pPr>
            <w:r w:rsidRPr="005C38B6">
              <w:rPr>
                <w:b w:val="0"/>
                <w:bCs/>
                <w:szCs w:val="18"/>
              </w:rPr>
              <w:t>Trauma paperwork must be completed</w:t>
            </w:r>
            <w:r>
              <w:rPr>
                <w:b w:val="0"/>
                <w:bCs/>
                <w:szCs w:val="18"/>
              </w:rPr>
              <w:t>, there is a policy. See a lead if you have questions.</w:t>
            </w:r>
          </w:p>
          <w:p w14:paraId="66DC8AEA" w14:textId="77777777" w:rsidR="00FA6D30" w:rsidRDefault="005C38B6" w:rsidP="00626739">
            <w:pPr>
              <w:pStyle w:val="ListParagraph"/>
              <w:numPr>
                <w:ilvl w:val="0"/>
                <w:numId w:val="4"/>
              </w:numPr>
              <w:ind w:left="360"/>
              <w:rPr>
                <w:b w:val="0"/>
                <w:bCs/>
                <w:szCs w:val="18"/>
              </w:rPr>
            </w:pPr>
            <w:r>
              <w:rPr>
                <w:b w:val="0"/>
                <w:bCs/>
                <w:szCs w:val="18"/>
              </w:rPr>
              <w:t>Scan folder – this can be seen by anyone in DLMP so please make sure you are deleting your scans after you have attached them to your NCE or DEV.</w:t>
            </w:r>
          </w:p>
          <w:p w14:paraId="452BF409" w14:textId="60F8E605" w:rsidR="002C2C52" w:rsidRPr="002C2C52" w:rsidRDefault="002C2C52" w:rsidP="00626739">
            <w:pPr>
              <w:pStyle w:val="ListParagraph"/>
              <w:numPr>
                <w:ilvl w:val="0"/>
                <w:numId w:val="4"/>
              </w:numPr>
              <w:ind w:left="360"/>
              <w:rPr>
                <w:b w:val="0"/>
                <w:bCs/>
                <w:szCs w:val="18"/>
              </w:rPr>
            </w:pPr>
            <w:r w:rsidRPr="002C2C52">
              <w:rPr>
                <w:szCs w:val="18"/>
              </w:rPr>
              <w:t>*forgot to mention in meeting*</w:t>
            </w:r>
            <w:r>
              <w:rPr>
                <w:b w:val="0"/>
                <w:bCs/>
                <w:szCs w:val="18"/>
              </w:rPr>
              <w:t xml:space="preserve"> - Pasco location has been archived in SQ, products go under Yakima and they are in charge of keeping the data on which flight crew uses.</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395" w:type="dxa"/>
            <w:gridSpan w:val="2"/>
          </w:tcPr>
          <w:p w14:paraId="31F2A3BE" w14:textId="44383E71" w:rsidR="009C0730" w:rsidRDefault="002C2C52" w:rsidP="00177A34">
            <w:pPr>
              <w:pStyle w:val="ListParagraph"/>
              <w:numPr>
                <w:ilvl w:val="0"/>
                <w:numId w:val="9"/>
              </w:numPr>
              <w:ind w:left="360"/>
              <w:rPr>
                <w:b w:val="0"/>
              </w:rPr>
            </w:pPr>
            <w:r>
              <w:rPr>
                <w:b w:val="0"/>
              </w:rPr>
              <w:t>October</w:t>
            </w:r>
            <w:r w:rsidR="0001619C">
              <w:rPr>
                <w:b w:val="0"/>
              </w:rPr>
              <w:t xml:space="preserve"> </w:t>
            </w:r>
            <w:r w:rsidR="00752F51" w:rsidRPr="009C0730">
              <w:rPr>
                <w:b w:val="0"/>
              </w:rPr>
              <w:t xml:space="preserve">utilization </w:t>
            </w:r>
            <w:r w:rsidR="00DA1C85" w:rsidRPr="009C0730">
              <w:rPr>
                <w:b w:val="0"/>
              </w:rPr>
              <w:t>data</w:t>
            </w:r>
            <w:r w:rsidR="00833A35">
              <w:rPr>
                <w:b w:val="0"/>
              </w:rPr>
              <w:t xml:space="preserve">, CT ratio </w:t>
            </w:r>
            <w:r w:rsidR="00E878E2">
              <w:rPr>
                <w:b w:val="0"/>
              </w:rPr>
              <w:t>1.</w:t>
            </w:r>
            <w:r>
              <w:rPr>
                <w:b w:val="0"/>
              </w:rPr>
              <w:t>1</w:t>
            </w:r>
          </w:p>
          <w:p w14:paraId="44806B71" w14:textId="39546A5A"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820F55">
              <w:rPr>
                <w:b w:val="0"/>
              </w:rPr>
              <w:t>–</w:t>
            </w:r>
            <w:r w:rsidR="005529DD" w:rsidRPr="009C0730">
              <w:rPr>
                <w:b w:val="0"/>
              </w:rPr>
              <w:t xml:space="preserve"> </w:t>
            </w:r>
            <w:r w:rsidR="00E878E2">
              <w:rPr>
                <w:b w:val="0"/>
              </w:rPr>
              <w:t>1</w:t>
            </w:r>
            <w:r w:rsidR="00820F55">
              <w:rPr>
                <w:b w:val="0"/>
              </w:rPr>
              <w:t xml:space="preserve"> OD, </w:t>
            </w:r>
            <w:r w:rsidR="002C2C52">
              <w:rPr>
                <w:b w:val="0"/>
              </w:rPr>
              <w:t>5</w:t>
            </w:r>
            <w:r w:rsidR="00C96F56">
              <w:rPr>
                <w:b w:val="0"/>
              </w:rPr>
              <w:t xml:space="preserve"> </w:t>
            </w:r>
            <w:r w:rsidR="00820F55">
              <w:rPr>
                <w:b w:val="0"/>
              </w:rPr>
              <w:t>Wasted</w:t>
            </w:r>
          </w:p>
          <w:p w14:paraId="0DA6A977" w14:textId="4944A2D4"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820F55">
              <w:rPr>
                <w:b w:val="0"/>
              </w:rPr>
              <w:t xml:space="preserve">– </w:t>
            </w:r>
            <w:r w:rsidR="002C2C52">
              <w:rPr>
                <w:b w:val="0"/>
              </w:rPr>
              <w:t>4</w:t>
            </w:r>
            <w:r w:rsidR="00820F55">
              <w:rPr>
                <w:b w:val="0"/>
              </w:rPr>
              <w:t xml:space="preserve"> OD</w:t>
            </w:r>
          </w:p>
          <w:p w14:paraId="4DC004C9" w14:textId="2036E078" w:rsidR="00E745BB" w:rsidRDefault="002D2E25" w:rsidP="00D12F7B">
            <w:pPr>
              <w:pStyle w:val="ListParagraph"/>
              <w:numPr>
                <w:ilvl w:val="0"/>
                <w:numId w:val="3"/>
              </w:numPr>
              <w:rPr>
                <w:b w:val="0"/>
              </w:rPr>
            </w:pPr>
            <w:r w:rsidRPr="00E745BB">
              <w:rPr>
                <w:b w:val="0"/>
              </w:rPr>
              <w:t>Plasma</w:t>
            </w:r>
            <w:r w:rsidR="0096798A">
              <w:rPr>
                <w:b w:val="0"/>
              </w:rPr>
              <w:t xml:space="preserve"> </w:t>
            </w:r>
            <w:r w:rsidR="00820F55">
              <w:rPr>
                <w:b w:val="0"/>
              </w:rPr>
              <w:t xml:space="preserve">– </w:t>
            </w:r>
            <w:r w:rsidR="002C2C52">
              <w:rPr>
                <w:b w:val="0"/>
              </w:rPr>
              <w:t>1</w:t>
            </w:r>
            <w:r w:rsidR="00820F55">
              <w:rPr>
                <w:b w:val="0"/>
              </w:rPr>
              <w:t xml:space="preserve"> OD, </w:t>
            </w:r>
            <w:r w:rsidR="002C2C52">
              <w:rPr>
                <w:b w:val="0"/>
              </w:rPr>
              <w:t>6</w:t>
            </w:r>
            <w:r w:rsidR="00C96F56">
              <w:rPr>
                <w:b w:val="0"/>
              </w:rPr>
              <w:t xml:space="preserve"> </w:t>
            </w:r>
            <w:r w:rsidR="00820F55">
              <w:rPr>
                <w:b w:val="0"/>
              </w:rPr>
              <w:t>wasted</w:t>
            </w:r>
            <w:r w:rsidR="00786396">
              <w:rPr>
                <w:b w:val="0"/>
              </w:rPr>
              <w:t xml:space="preserve"> </w:t>
            </w:r>
          </w:p>
          <w:p w14:paraId="5A846298" w14:textId="44517FAD" w:rsidR="00CC7967" w:rsidRPr="00E745BB" w:rsidRDefault="002D2E25" w:rsidP="00D12F7B">
            <w:pPr>
              <w:pStyle w:val="ListParagraph"/>
              <w:numPr>
                <w:ilvl w:val="0"/>
                <w:numId w:val="3"/>
              </w:numPr>
              <w:rPr>
                <w:b w:val="0"/>
              </w:rPr>
            </w:pPr>
            <w:r w:rsidRPr="00E745BB">
              <w:rPr>
                <w:b w:val="0"/>
              </w:rPr>
              <w:t>Cryo</w:t>
            </w:r>
            <w:r w:rsidR="0096798A">
              <w:rPr>
                <w:b w:val="0"/>
              </w:rPr>
              <w:t xml:space="preserve"> </w:t>
            </w:r>
            <w:r w:rsidR="00820F55">
              <w:rPr>
                <w:b w:val="0"/>
              </w:rPr>
              <w:t>–</w:t>
            </w:r>
            <w:r w:rsidR="00CC7967" w:rsidRPr="00E745BB">
              <w:rPr>
                <w:b w:val="0"/>
              </w:rPr>
              <w:t xml:space="preserve"> </w:t>
            </w:r>
            <w:r w:rsidR="00E878E2">
              <w:rPr>
                <w:b w:val="0"/>
              </w:rPr>
              <w:t>0</w:t>
            </w:r>
            <w:r w:rsidR="00820F55">
              <w:rPr>
                <w:b w:val="0"/>
              </w:rPr>
              <w:t xml:space="preserve"> wasted</w:t>
            </w:r>
          </w:p>
          <w:p w14:paraId="23C73750" w14:textId="7D9BC468"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2C2C52">
              <w:rPr>
                <w:b w:val="0"/>
              </w:rPr>
              <w:t>6</w:t>
            </w:r>
            <w:r w:rsidR="000F012E">
              <w:rPr>
                <w:b w:val="0"/>
              </w:rPr>
              <w:t xml:space="preserve"> </w:t>
            </w:r>
            <w:r w:rsidR="00786396">
              <w:rPr>
                <w:b w:val="0"/>
              </w:rPr>
              <w:t>RBC</w:t>
            </w:r>
            <w:r w:rsidR="00E878E2">
              <w:rPr>
                <w:b w:val="0"/>
              </w:rPr>
              <w:t xml:space="preserve">, </w:t>
            </w:r>
            <w:r w:rsidR="002C2C52">
              <w:rPr>
                <w:b w:val="0"/>
              </w:rPr>
              <w:t>8</w:t>
            </w:r>
            <w:r w:rsidR="00433231">
              <w:rPr>
                <w:b w:val="0"/>
              </w:rPr>
              <w:t xml:space="preserve"> </w:t>
            </w:r>
            <w:r w:rsidR="00786396">
              <w:rPr>
                <w:b w:val="0"/>
              </w:rPr>
              <w:t xml:space="preserve">plasma, </w:t>
            </w:r>
            <w:r w:rsidR="002C2C52">
              <w:rPr>
                <w:b w:val="0"/>
              </w:rPr>
              <w:t>3</w:t>
            </w:r>
            <w:r w:rsidR="00786396">
              <w:rPr>
                <w:b w:val="0"/>
              </w:rPr>
              <w:t xml:space="preserve"> LTWB</w:t>
            </w:r>
            <w:r w:rsidR="00EC4EFB">
              <w:rPr>
                <w:b w:val="0"/>
              </w:rPr>
              <w:t xml:space="preserve"> </w:t>
            </w:r>
            <w:r w:rsidR="00A60061">
              <w:rPr>
                <w:b w:val="0"/>
              </w:rPr>
              <w:t>used</w:t>
            </w:r>
            <w:r w:rsidR="002C2C52">
              <w:rPr>
                <w:b w:val="0"/>
              </w:rPr>
              <w:t xml:space="preserve"> (lower than last month)</w:t>
            </w:r>
          </w:p>
          <w:p w14:paraId="2CA1C697" w14:textId="0EC1AFAF"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E878E2">
              <w:rPr>
                <w:b w:val="0"/>
              </w:rPr>
              <w:t>1</w:t>
            </w:r>
            <w:r w:rsidR="002C2C52">
              <w:rPr>
                <w:b w:val="0"/>
              </w:rPr>
              <w:t>5</w:t>
            </w:r>
            <w:r>
              <w:rPr>
                <w:b w:val="0"/>
              </w:rPr>
              <w:t xml:space="preserve"> units </w:t>
            </w:r>
            <w:r w:rsidR="00EC076A">
              <w:rPr>
                <w:b w:val="0"/>
              </w:rPr>
              <w:t>LTWB</w:t>
            </w:r>
            <w:r>
              <w:rPr>
                <w:b w:val="0"/>
              </w:rPr>
              <w:t xml:space="preserve"> used</w:t>
            </w:r>
            <w:r w:rsidR="002C2C52">
              <w:rPr>
                <w:b w:val="0"/>
              </w:rPr>
              <w:t xml:space="preserve"> (lower than last month)</w:t>
            </w:r>
          </w:p>
          <w:p w14:paraId="6DDF9E60" w14:textId="508EAE3D"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2C2C52">
              <w:rPr>
                <w:b w:val="0"/>
              </w:rPr>
              <w:t>–</w:t>
            </w:r>
            <w:r w:rsidR="004C3B63">
              <w:rPr>
                <w:b w:val="0"/>
              </w:rPr>
              <w:t xml:space="preserve"> </w:t>
            </w:r>
            <w:r w:rsidR="002C2C52">
              <w:rPr>
                <w:b w:val="0"/>
              </w:rPr>
              <w:t>99 (lower than last few months)</w:t>
            </w:r>
          </w:p>
          <w:p w14:paraId="1F42A788" w14:textId="77777777" w:rsidR="00D17AC9" w:rsidRDefault="00137880" w:rsidP="00786396">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46BD38EF" w14:textId="234E387C" w:rsidR="00EC076A" w:rsidRDefault="005C38B6" w:rsidP="00177A34">
            <w:pPr>
              <w:pStyle w:val="ListParagraph"/>
              <w:numPr>
                <w:ilvl w:val="0"/>
                <w:numId w:val="12"/>
              </w:numPr>
              <w:ind w:left="720"/>
              <w:rPr>
                <w:b w:val="0"/>
              </w:rPr>
            </w:pPr>
            <w:r>
              <w:rPr>
                <w:b w:val="0"/>
              </w:rPr>
              <w:t>Any credo cooler returning blood issues should be just a DEV and not an NCE. This is so we can forward to a medical director for review and approval</w:t>
            </w:r>
            <w:r w:rsidR="00EC076A">
              <w:rPr>
                <w:b w:val="0"/>
              </w:rPr>
              <w:t>.</w:t>
            </w:r>
            <w:r>
              <w:rPr>
                <w:b w:val="0"/>
              </w:rPr>
              <w:t xml:space="preserve"> Please write the DEV number on the cooler </w:t>
            </w:r>
            <w:r>
              <w:rPr>
                <w:b w:val="0"/>
              </w:rPr>
              <w:lastRenderedPageBreak/>
              <w:t>log so we can refer back to it when we are inspected and also so others know one has been placed and don’t place a duplicate.</w:t>
            </w:r>
          </w:p>
          <w:p w14:paraId="0AD9BF2C" w14:textId="645C057B" w:rsidR="005C38B6" w:rsidRDefault="005C38B6" w:rsidP="00177A34">
            <w:pPr>
              <w:pStyle w:val="ListParagraph"/>
              <w:numPr>
                <w:ilvl w:val="0"/>
                <w:numId w:val="12"/>
              </w:numPr>
              <w:ind w:left="720"/>
              <w:rPr>
                <w:b w:val="0"/>
              </w:rPr>
            </w:pPr>
            <w:r>
              <w:rPr>
                <w:b w:val="0"/>
              </w:rPr>
              <w:t>If you create an NCE in error but have not submitted it; delete out all the information and use on your next NCE. We don’t run reports by the NCE number (date), they are run by date of occurance.</w:t>
            </w:r>
          </w:p>
          <w:p w14:paraId="394B26EF" w14:textId="63184F75" w:rsidR="005C38B6" w:rsidRDefault="005C38B6" w:rsidP="00177A34">
            <w:pPr>
              <w:pStyle w:val="ListParagraph"/>
              <w:numPr>
                <w:ilvl w:val="0"/>
                <w:numId w:val="12"/>
              </w:numPr>
              <w:ind w:left="720"/>
              <w:rPr>
                <w:b w:val="0"/>
              </w:rPr>
            </w:pPr>
            <w:r>
              <w:rPr>
                <w:b w:val="0"/>
              </w:rPr>
              <w:t>If you are entering a sample rejection NCE, don’t put yourself as “Lab Personnel Involved”, this is for the person who collected the sample</w:t>
            </w:r>
            <w:r w:rsidR="002C2C52">
              <w:rPr>
                <w:b w:val="0"/>
              </w:rPr>
              <w:t>. We know who enters the NCEs.</w:t>
            </w:r>
          </w:p>
          <w:p w14:paraId="1B61D1E1" w14:textId="77777777" w:rsidR="00FA6D30" w:rsidRDefault="002C2C52" w:rsidP="00177A34">
            <w:pPr>
              <w:pStyle w:val="ListParagraph"/>
              <w:numPr>
                <w:ilvl w:val="0"/>
                <w:numId w:val="12"/>
              </w:numPr>
              <w:ind w:left="720"/>
              <w:rPr>
                <w:b w:val="0"/>
              </w:rPr>
            </w:pPr>
            <w:r>
              <w:rPr>
                <w:b w:val="0"/>
              </w:rPr>
              <w:t>Any time an equipment breaks (ice machine, tango, refrigerator, etc) place an NCE as an Analytic NCE. Then document on the instrument out of service form so everyone knows.</w:t>
            </w:r>
          </w:p>
          <w:p w14:paraId="6BAA70C1" w14:textId="1BDA906C" w:rsidR="002C2C52" w:rsidRPr="00786396" w:rsidRDefault="002C2C52" w:rsidP="00177A34">
            <w:pPr>
              <w:pStyle w:val="ListParagraph"/>
              <w:numPr>
                <w:ilvl w:val="0"/>
                <w:numId w:val="12"/>
              </w:numPr>
              <w:ind w:left="720"/>
              <w:rPr>
                <w:b w:val="0"/>
              </w:rPr>
            </w:pPr>
            <w:r>
              <w:rPr>
                <w:b w:val="0"/>
              </w:rPr>
              <w:t>If you have an NCE returned to you for fixing, you will get an email. Please complete and send back to HMC Compliance Analyst ASAP.</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395" w:type="dxa"/>
            <w:gridSpan w:val="2"/>
          </w:tcPr>
          <w:p w14:paraId="230454DC" w14:textId="62A7D279" w:rsidR="006C4FED" w:rsidRDefault="002C2C52" w:rsidP="00EC4EFB">
            <w:r>
              <w:t>November</w:t>
            </w:r>
            <w:r w:rsidR="006B7DC1">
              <w:t xml:space="preserve"> birthdays</w:t>
            </w:r>
          </w:p>
          <w:p w14:paraId="78384A5E" w14:textId="3E8F3BE3" w:rsidR="008D02B2" w:rsidRPr="00E745BB" w:rsidRDefault="002C2C52" w:rsidP="00177A34">
            <w:pPr>
              <w:pStyle w:val="ListParagraph"/>
              <w:numPr>
                <w:ilvl w:val="0"/>
                <w:numId w:val="8"/>
              </w:numPr>
              <w:ind w:left="360"/>
            </w:pPr>
            <w:r>
              <w:t>Dan</w:t>
            </w:r>
          </w:p>
        </w:tc>
      </w:tr>
    </w:tbl>
    <w:p w14:paraId="230EFAC0" w14:textId="77777777" w:rsidR="00104C97" w:rsidRDefault="00104C97" w:rsidP="00786396"/>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75CEE"/>
    <w:multiLevelType w:val="hybridMultilevel"/>
    <w:tmpl w:val="C72A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EC7E2C"/>
    <w:multiLevelType w:val="hybridMultilevel"/>
    <w:tmpl w:val="61BA9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C1876"/>
    <w:multiLevelType w:val="hybridMultilevel"/>
    <w:tmpl w:val="87007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5078"/>
    <w:multiLevelType w:val="hybridMultilevel"/>
    <w:tmpl w:val="BE24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112A4"/>
    <w:multiLevelType w:val="hybridMultilevel"/>
    <w:tmpl w:val="8C82D8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1D3ABD"/>
    <w:multiLevelType w:val="hybridMultilevel"/>
    <w:tmpl w:val="37786C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F6059C"/>
    <w:multiLevelType w:val="hybridMultilevel"/>
    <w:tmpl w:val="D460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428E7"/>
    <w:multiLevelType w:val="hybridMultilevel"/>
    <w:tmpl w:val="FFEA7A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7"/>
  </w:num>
  <w:num w:numId="6">
    <w:abstractNumId w:val="9"/>
  </w:num>
  <w:num w:numId="7">
    <w:abstractNumId w:val="1"/>
  </w:num>
  <w:num w:numId="8">
    <w:abstractNumId w:val="0"/>
  </w:num>
  <w:num w:numId="9">
    <w:abstractNumId w:val="4"/>
  </w:num>
  <w:num w:numId="10">
    <w:abstractNumId w:val="5"/>
  </w:num>
  <w:num w:numId="11">
    <w:abstractNumId w:val="13"/>
  </w:num>
  <w:num w:numId="12">
    <w:abstractNumId w:val="10"/>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03ECD"/>
    <w:rsid w:val="0001619C"/>
    <w:rsid w:val="0002137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B58C8"/>
    <w:rsid w:val="000C1CA2"/>
    <w:rsid w:val="000C3F50"/>
    <w:rsid w:val="000D0BC4"/>
    <w:rsid w:val="000E30B7"/>
    <w:rsid w:val="000E72F8"/>
    <w:rsid w:val="000F012E"/>
    <w:rsid w:val="000F354E"/>
    <w:rsid w:val="00100533"/>
    <w:rsid w:val="00104C97"/>
    <w:rsid w:val="001075CB"/>
    <w:rsid w:val="00121F7B"/>
    <w:rsid w:val="00130499"/>
    <w:rsid w:val="00137880"/>
    <w:rsid w:val="00146580"/>
    <w:rsid w:val="00157750"/>
    <w:rsid w:val="0016492C"/>
    <w:rsid w:val="00177A34"/>
    <w:rsid w:val="00190D0F"/>
    <w:rsid w:val="00191145"/>
    <w:rsid w:val="00191D49"/>
    <w:rsid w:val="00195570"/>
    <w:rsid w:val="001C3473"/>
    <w:rsid w:val="001C644C"/>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211E"/>
    <w:rsid w:val="002648A3"/>
    <w:rsid w:val="00273944"/>
    <w:rsid w:val="00274FD0"/>
    <w:rsid w:val="002A3BF3"/>
    <w:rsid w:val="002A7799"/>
    <w:rsid w:val="002B3BDE"/>
    <w:rsid w:val="002B789D"/>
    <w:rsid w:val="002C2C52"/>
    <w:rsid w:val="002C6D07"/>
    <w:rsid w:val="002C6E6E"/>
    <w:rsid w:val="002D0851"/>
    <w:rsid w:val="002D165D"/>
    <w:rsid w:val="002D2663"/>
    <w:rsid w:val="002D2E25"/>
    <w:rsid w:val="002D46C6"/>
    <w:rsid w:val="002D4D6D"/>
    <w:rsid w:val="002E322B"/>
    <w:rsid w:val="002F2162"/>
    <w:rsid w:val="002F2E38"/>
    <w:rsid w:val="002F7789"/>
    <w:rsid w:val="003213D6"/>
    <w:rsid w:val="00324FF5"/>
    <w:rsid w:val="00337DA8"/>
    <w:rsid w:val="003415A1"/>
    <w:rsid w:val="0034322A"/>
    <w:rsid w:val="00347AE1"/>
    <w:rsid w:val="00350E77"/>
    <w:rsid w:val="0036146E"/>
    <w:rsid w:val="003622E0"/>
    <w:rsid w:val="00362D07"/>
    <w:rsid w:val="003644F4"/>
    <w:rsid w:val="00365050"/>
    <w:rsid w:val="003727EC"/>
    <w:rsid w:val="00372B99"/>
    <w:rsid w:val="00382ECE"/>
    <w:rsid w:val="003835E8"/>
    <w:rsid w:val="003864C4"/>
    <w:rsid w:val="003878E3"/>
    <w:rsid w:val="00396184"/>
    <w:rsid w:val="00396E2C"/>
    <w:rsid w:val="00397427"/>
    <w:rsid w:val="003A0C7F"/>
    <w:rsid w:val="003B0639"/>
    <w:rsid w:val="003B17D0"/>
    <w:rsid w:val="003B3B07"/>
    <w:rsid w:val="003D69DD"/>
    <w:rsid w:val="003F161F"/>
    <w:rsid w:val="003F2902"/>
    <w:rsid w:val="0041136C"/>
    <w:rsid w:val="00415824"/>
    <w:rsid w:val="00417605"/>
    <w:rsid w:val="004206D0"/>
    <w:rsid w:val="00431A94"/>
    <w:rsid w:val="004322B2"/>
    <w:rsid w:val="00433231"/>
    <w:rsid w:val="00434B05"/>
    <w:rsid w:val="00434BA3"/>
    <w:rsid w:val="00441104"/>
    <w:rsid w:val="00446E9A"/>
    <w:rsid w:val="00447FA2"/>
    <w:rsid w:val="00450B01"/>
    <w:rsid w:val="00462581"/>
    <w:rsid w:val="00463068"/>
    <w:rsid w:val="0046470F"/>
    <w:rsid w:val="00466D22"/>
    <w:rsid w:val="00472A93"/>
    <w:rsid w:val="00477B93"/>
    <w:rsid w:val="00485032"/>
    <w:rsid w:val="0048660A"/>
    <w:rsid w:val="00491752"/>
    <w:rsid w:val="004929E6"/>
    <w:rsid w:val="004B38B3"/>
    <w:rsid w:val="004B609C"/>
    <w:rsid w:val="004C3B63"/>
    <w:rsid w:val="004C41DB"/>
    <w:rsid w:val="004D30F8"/>
    <w:rsid w:val="004E3647"/>
    <w:rsid w:val="004F009C"/>
    <w:rsid w:val="004F15EE"/>
    <w:rsid w:val="004F735F"/>
    <w:rsid w:val="00500E7D"/>
    <w:rsid w:val="00501F8D"/>
    <w:rsid w:val="0050614A"/>
    <w:rsid w:val="00516614"/>
    <w:rsid w:val="00532C85"/>
    <w:rsid w:val="005420AB"/>
    <w:rsid w:val="005529DD"/>
    <w:rsid w:val="0055368C"/>
    <w:rsid w:val="00556814"/>
    <w:rsid w:val="00563088"/>
    <w:rsid w:val="00564538"/>
    <w:rsid w:val="005671B0"/>
    <w:rsid w:val="00571D9D"/>
    <w:rsid w:val="005730AE"/>
    <w:rsid w:val="00577CB6"/>
    <w:rsid w:val="00585596"/>
    <w:rsid w:val="00593B0F"/>
    <w:rsid w:val="005C38B6"/>
    <w:rsid w:val="005C6A48"/>
    <w:rsid w:val="005E2FC4"/>
    <w:rsid w:val="005E6EA2"/>
    <w:rsid w:val="005F0F3B"/>
    <w:rsid w:val="005F4515"/>
    <w:rsid w:val="005F7711"/>
    <w:rsid w:val="00611400"/>
    <w:rsid w:val="006251E6"/>
    <w:rsid w:val="00625EF4"/>
    <w:rsid w:val="00626739"/>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90D53"/>
    <w:rsid w:val="006A760D"/>
    <w:rsid w:val="006B1126"/>
    <w:rsid w:val="006B1622"/>
    <w:rsid w:val="006B3731"/>
    <w:rsid w:val="006B457C"/>
    <w:rsid w:val="006B7DC1"/>
    <w:rsid w:val="006C0E9E"/>
    <w:rsid w:val="006C4FED"/>
    <w:rsid w:val="006D04D2"/>
    <w:rsid w:val="006D2DB4"/>
    <w:rsid w:val="006D4E16"/>
    <w:rsid w:val="006D5F2D"/>
    <w:rsid w:val="006D72F7"/>
    <w:rsid w:val="006E56FA"/>
    <w:rsid w:val="006F11EE"/>
    <w:rsid w:val="006F2121"/>
    <w:rsid w:val="006F6370"/>
    <w:rsid w:val="0071337B"/>
    <w:rsid w:val="007219E1"/>
    <w:rsid w:val="007229FD"/>
    <w:rsid w:val="00731214"/>
    <w:rsid w:val="00740D90"/>
    <w:rsid w:val="00744C6D"/>
    <w:rsid w:val="00752F51"/>
    <w:rsid w:val="0075537C"/>
    <w:rsid w:val="00756A68"/>
    <w:rsid w:val="00770977"/>
    <w:rsid w:val="007711C7"/>
    <w:rsid w:val="0077413C"/>
    <w:rsid w:val="00776675"/>
    <w:rsid w:val="00776EDA"/>
    <w:rsid w:val="00785E08"/>
    <w:rsid w:val="00786396"/>
    <w:rsid w:val="00793828"/>
    <w:rsid w:val="00793E57"/>
    <w:rsid w:val="00795CEB"/>
    <w:rsid w:val="007A0BCF"/>
    <w:rsid w:val="007B0A90"/>
    <w:rsid w:val="007B57EF"/>
    <w:rsid w:val="007C4ABF"/>
    <w:rsid w:val="007C6C71"/>
    <w:rsid w:val="007D18A6"/>
    <w:rsid w:val="007D2DAE"/>
    <w:rsid w:val="007F14D1"/>
    <w:rsid w:val="007F4C42"/>
    <w:rsid w:val="00804C41"/>
    <w:rsid w:val="00813991"/>
    <w:rsid w:val="00813E05"/>
    <w:rsid w:val="00820F5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B5D24"/>
    <w:rsid w:val="008B5F7A"/>
    <w:rsid w:val="008C1727"/>
    <w:rsid w:val="008C674E"/>
    <w:rsid w:val="008C7DC5"/>
    <w:rsid w:val="008D02B2"/>
    <w:rsid w:val="008F2A84"/>
    <w:rsid w:val="008F7D6D"/>
    <w:rsid w:val="009005EB"/>
    <w:rsid w:val="009007B3"/>
    <w:rsid w:val="009115A8"/>
    <w:rsid w:val="009139D1"/>
    <w:rsid w:val="00915AD8"/>
    <w:rsid w:val="00916B89"/>
    <w:rsid w:val="00924350"/>
    <w:rsid w:val="00930D80"/>
    <w:rsid w:val="009361C8"/>
    <w:rsid w:val="0096798A"/>
    <w:rsid w:val="00971500"/>
    <w:rsid w:val="0097676E"/>
    <w:rsid w:val="00976BB2"/>
    <w:rsid w:val="009857B5"/>
    <w:rsid w:val="00987CB0"/>
    <w:rsid w:val="0099560A"/>
    <w:rsid w:val="009A0F4A"/>
    <w:rsid w:val="009A5E33"/>
    <w:rsid w:val="009B1DB1"/>
    <w:rsid w:val="009B7C27"/>
    <w:rsid w:val="009C0730"/>
    <w:rsid w:val="009C084C"/>
    <w:rsid w:val="009C2154"/>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96A8B"/>
    <w:rsid w:val="00AC67A0"/>
    <w:rsid w:val="00AC6FB3"/>
    <w:rsid w:val="00AD2852"/>
    <w:rsid w:val="00AE0EAD"/>
    <w:rsid w:val="00AE4626"/>
    <w:rsid w:val="00AE74A7"/>
    <w:rsid w:val="00AF345C"/>
    <w:rsid w:val="00AF4622"/>
    <w:rsid w:val="00B01383"/>
    <w:rsid w:val="00B02718"/>
    <w:rsid w:val="00B10B7A"/>
    <w:rsid w:val="00B16FEE"/>
    <w:rsid w:val="00B21962"/>
    <w:rsid w:val="00B37155"/>
    <w:rsid w:val="00B417B8"/>
    <w:rsid w:val="00B42780"/>
    <w:rsid w:val="00B44CB1"/>
    <w:rsid w:val="00B45650"/>
    <w:rsid w:val="00B46151"/>
    <w:rsid w:val="00B5105F"/>
    <w:rsid w:val="00B529CF"/>
    <w:rsid w:val="00B614A1"/>
    <w:rsid w:val="00B652CA"/>
    <w:rsid w:val="00B701D6"/>
    <w:rsid w:val="00B716E3"/>
    <w:rsid w:val="00B72153"/>
    <w:rsid w:val="00B81CA7"/>
    <w:rsid w:val="00B87C4C"/>
    <w:rsid w:val="00B967EA"/>
    <w:rsid w:val="00B96B2C"/>
    <w:rsid w:val="00BA6EB7"/>
    <w:rsid w:val="00BB4570"/>
    <w:rsid w:val="00BC3B93"/>
    <w:rsid w:val="00BC79AA"/>
    <w:rsid w:val="00BD1504"/>
    <w:rsid w:val="00BD323D"/>
    <w:rsid w:val="00BE18D3"/>
    <w:rsid w:val="00BE4BBA"/>
    <w:rsid w:val="00BF7B69"/>
    <w:rsid w:val="00C01DBB"/>
    <w:rsid w:val="00C10615"/>
    <w:rsid w:val="00C239E5"/>
    <w:rsid w:val="00C40E2C"/>
    <w:rsid w:val="00C51F50"/>
    <w:rsid w:val="00C549CF"/>
    <w:rsid w:val="00C67366"/>
    <w:rsid w:val="00C7555C"/>
    <w:rsid w:val="00C8073D"/>
    <w:rsid w:val="00C863EA"/>
    <w:rsid w:val="00C86EDA"/>
    <w:rsid w:val="00C873BD"/>
    <w:rsid w:val="00C96F56"/>
    <w:rsid w:val="00CA06A7"/>
    <w:rsid w:val="00CB1D46"/>
    <w:rsid w:val="00CB2B1D"/>
    <w:rsid w:val="00CB548F"/>
    <w:rsid w:val="00CB5A7A"/>
    <w:rsid w:val="00CC7967"/>
    <w:rsid w:val="00CD2825"/>
    <w:rsid w:val="00CD49E4"/>
    <w:rsid w:val="00CD5790"/>
    <w:rsid w:val="00CE3044"/>
    <w:rsid w:val="00D029C6"/>
    <w:rsid w:val="00D02BF3"/>
    <w:rsid w:val="00D04BA5"/>
    <w:rsid w:val="00D06C4E"/>
    <w:rsid w:val="00D12F7B"/>
    <w:rsid w:val="00D15518"/>
    <w:rsid w:val="00D17AC9"/>
    <w:rsid w:val="00D21F1F"/>
    <w:rsid w:val="00D3000B"/>
    <w:rsid w:val="00D31527"/>
    <w:rsid w:val="00D37E2C"/>
    <w:rsid w:val="00D45F76"/>
    <w:rsid w:val="00D545E6"/>
    <w:rsid w:val="00D748CC"/>
    <w:rsid w:val="00D80397"/>
    <w:rsid w:val="00D91017"/>
    <w:rsid w:val="00D936DD"/>
    <w:rsid w:val="00D96C69"/>
    <w:rsid w:val="00DA1C85"/>
    <w:rsid w:val="00DA3CA1"/>
    <w:rsid w:val="00DB1982"/>
    <w:rsid w:val="00DB2D68"/>
    <w:rsid w:val="00DD23D4"/>
    <w:rsid w:val="00DD2471"/>
    <w:rsid w:val="00DE50FD"/>
    <w:rsid w:val="00DF4348"/>
    <w:rsid w:val="00DF4385"/>
    <w:rsid w:val="00DF5112"/>
    <w:rsid w:val="00DF5592"/>
    <w:rsid w:val="00DF5F1C"/>
    <w:rsid w:val="00DF79CD"/>
    <w:rsid w:val="00E1208F"/>
    <w:rsid w:val="00E13E30"/>
    <w:rsid w:val="00E14CBA"/>
    <w:rsid w:val="00E15717"/>
    <w:rsid w:val="00E200E8"/>
    <w:rsid w:val="00E20E54"/>
    <w:rsid w:val="00E23EE6"/>
    <w:rsid w:val="00E23F5E"/>
    <w:rsid w:val="00E32C71"/>
    <w:rsid w:val="00E33A9C"/>
    <w:rsid w:val="00E3421F"/>
    <w:rsid w:val="00E430CB"/>
    <w:rsid w:val="00E57698"/>
    <w:rsid w:val="00E745BB"/>
    <w:rsid w:val="00E74A9D"/>
    <w:rsid w:val="00E878E2"/>
    <w:rsid w:val="00E87B31"/>
    <w:rsid w:val="00E94CE2"/>
    <w:rsid w:val="00EA0C13"/>
    <w:rsid w:val="00EA2606"/>
    <w:rsid w:val="00EA6BB8"/>
    <w:rsid w:val="00EB575A"/>
    <w:rsid w:val="00EB7C03"/>
    <w:rsid w:val="00EC076A"/>
    <w:rsid w:val="00EC4EFB"/>
    <w:rsid w:val="00ED0D97"/>
    <w:rsid w:val="00ED5200"/>
    <w:rsid w:val="00ED7393"/>
    <w:rsid w:val="00ED7397"/>
    <w:rsid w:val="00EE0EA3"/>
    <w:rsid w:val="00EE2938"/>
    <w:rsid w:val="00EE3748"/>
    <w:rsid w:val="00EE5A48"/>
    <w:rsid w:val="00F14AB0"/>
    <w:rsid w:val="00F26B01"/>
    <w:rsid w:val="00F3589D"/>
    <w:rsid w:val="00F35E69"/>
    <w:rsid w:val="00F414F0"/>
    <w:rsid w:val="00F45978"/>
    <w:rsid w:val="00F46C2A"/>
    <w:rsid w:val="00F56FAE"/>
    <w:rsid w:val="00F61B71"/>
    <w:rsid w:val="00F6352F"/>
    <w:rsid w:val="00F64FC9"/>
    <w:rsid w:val="00F72931"/>
    <w:rsid w:val="00F81DDB"/>
    <w:rsid w:val="00F9372F"/>
    <w:rsid w:val="00F97ADB"/>
    <w:rsid w:val="00FA1BDC"/>
    <w:rsid w:val="00FA2C0F"/>
    <w:rsid w:val="00FA4E8F"/>
    <w:rsid w:val="00FA6D30"/>
    <w:rsid w:val="00FA710D"/>
    <w:rsid w:val="00FA7FDA"/>
    <w:rsid w:val="00FB1C38"/>
    <w:rsid w:val="00FB2903"/>
    <w:rsid w:val="00FB6FE4"/>
    <w:rsid w:val="00FD617C"/>
    <w:rsid w:val="00FE0F8E"/>
    <w:rsid w:val="00FE4BBE"/>
    <w:rsid w:val="00FF494A"/>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 w:type="character" w:styleId="UnresolvedMention">
    <w:name w:val="Unresolved Mention"/>
    <w:basedOn w:val="DefaultParagraphFont"/>
    <w:uiPriority w:val="99"/>
    <w:semiHidden/>
    <w:unhideWhenUsed/>
    <w:rsid w:val="008B5D24"/>
    <w:rPr>
      <w:color w:val="605E5C"/>
      <w:shd w:val="clear" w:color="auto" w:fill="E1DFDD"/>
    </w:rPr>
  </w:style>
  <w:style w:type="character" w:styleId="FollowedHyperlink">
    <w:name w:val="FollowedHyperlink"/>
    <w:basedOn w:val="DefaultParagraphFont"/>
    <w:uiPriority w:val="99"/>
    <w:semiHidden/>
    <w:unhideWhenUsed/>
    <w:rsid w:val="00F46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gov/en/dept/dph/health-safety/disease-illness/facts-and-data/respiratory-virus-dat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agnostic.grifols.com/en/erytra-eflexi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E2AD4-BAFF-40DE-BC76-242DF266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Hayden</dc:creator>
  <cp:lastModifiedBy>Erin Tuott</cp:lastModifiedBy>
  <cp:revision>4</cp:revision>
  <cp:lastPrinted>2022-08-18T13:59:00Z</cp:lastPrinted>
  <dcterms:created xsi:type="dcterms:W3CDTF">2023-11-17T16:50:00Z</dcterms:created>
  <dcterms:modified xsi:type="dcterms:W3CDTF">2023-11-17T18:13:00Z</dcterms:modified>
</cp:coreProperties>
</file>