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D2" w:rsidRDefault="002641D2" w:rsidP="002641D2">
      <w:pPr>
        <w:rPr>
          <w:b/>
        </w:rPr>
      </w:pPr>
    </w:p>
    <w:p w:rsidR="00D40618" w:rsidRPr="0071246F" w:rsidRDefault="00D40618" w:rsidP="00D40618">
      <w:pPr>
        <w:ind w:left="2160" w:hanging="2160"/>
        <w:rPr>
          <w:rFonts w:ascii="Arial" w:hAnsi="Arial" w:cs="Arial"/>
          <w:sz w:val="20"/>
          <w:szCs w:val="20"/>
        </w:rPr>
      </w:pPr>
      <w:r>
        <w:rPr>
          <w:b/>
        </w:rPr>
        <w:t>Purpose</w:t>
      </w:r>
      <w:r>
        <w:rPr>
          <w:b/>
        </w:rPr>
        <w:tab/>
      </w:r>
      <w:r>
        <w:rPr>
          <w:rFonts w:ascii="Arial" w:hAnsi="Arial" w:cs="Arial"/>
          <w:sz w:val="20"/>
          <w:szCs w:val="20"/>
        </w:rPr>
        <w:t xml:space="preserve">To provide detailed lab specific information for </w:t>
      </w:r>
      <w:r w:rsidR="00363DDC">
        <w:rPr>
          <w:rFonts w:ascii="Arial" w:hAnsi="Arial" w:cs="Arial"/>
          <w:sz w:val="20"/>
          <w:szCs w:val="20"/>
        </w:rPr>
        <w:t>Acetaminophen</w:t>
      </w:r>
      <w:r>
        <w:rPr>
          <w:rFonts w:ascii="Arial" w:hAnsi="Arial" w:cs="Arial"/>
          <w:sz w:val="20"/>
          <w:szCs w:val="20"/>
        </w:rPr>
        <w:t xml:space="preserve"> performed at Einstein Medical Center Philadelphia and Einstein Medical Center Elkins Park.</w:t>
      </w:r>
    </w:p>
    <w:p w:rsidR="00D64D9F" w:rsidRDefault="009953AF">
      <w:r>
        <w:rPr>
          <w:b/>
          <w:i/>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92593F" w:rsidTr="00A32DA2">
        <w:tc>
          <w:tcPr>
            <w:tcW w:w="2088" w:type="dxa"/>
          </w:tcPr>
          <w:p w:rsidR="0092593F" w:rsidRPr="0057711F" w:rsidRDefault="00B55E04" w:rsidP="00B55E04">
            <w:pPr>
              <w:spacing w:before="60" w:after="60"/>
              <w:rPr>
                <w:b/>
              </w:rPr>
            </w:pPr>
            <w:r w:rsidRPr="00B55E04">
              <w:rPr>
                <w:b/>
              </w:rPr>
              <w:t>Intended Use</w:t>
            </w:r>
          </w:p>
        </w:tc>
        <w:tc>
          <w:tcPr>
            <w:tcW w:w="6768" w:type="dxa"/>
          </w:tcPr>
          <w:p w:rsidR="002B53CE" w:rsidRPr="00A217B6" w:rsidRDefault="00A217B6" w:rsidP="00863DC6">
            <w:pPr>
              <w:spacing w:before="60" w:after="60"/>
              <w:rPr>
                <w:rFonts w:ascii="Arial" w:hAnsi="Arial" w:cs="Arial"/>
                <w:sz w:val="20"/>
                <w:szCs w:val="20"/>
              </w:rPr>
            </w:pPr>
            <w:r w:rsidRPr="00A217B6">
              <w:rPr>
                <w:rFonts w:ascii="Arial" w:hAnsi="Arial" w:cs="Arial"/>
                <w:sz w:val="20"/>
                <w:szCs w:val="20"/>
              </w:rPr>
              <w:t>The MULTIGENT Acetaminophen assay is intended for the quantitative</w:t>
            </w:r>
            <w:r>
              <w:rPr>
                <w:rFonts w:ascii="Arial" w:hAnsi="Arial" w:cs="Arial"/>
                <w:sz w:val="20"/>
                <w:szCs w:val="20"/>
              </w:rPr>
              <w:t xml:space="preserve"> </w:t>
            </w:r>
            <w:r w:rsidRPr="00A217B6">
              <w:rPr>
                <w:rFonts w:ascii="Arial" w:hAnsi="Arial" w:cs="Arial"/>
                <w:sz w:val="20"/>
                <w:szCs w:val="20"/>
              </w:rPr>
              <w:t>determination of acetaminophen in human serum or plasma on the</w:t>
            </w:r>
            <w:r>
              <w:rPr>
                <w:rFonts w:ascii="Arial" w:hAnsi="Arial" w:cs="Arial"/>
                <w:sz w:val="20"/>
                <w:szCs w:val="20"/>
              </w:rPr>
              <w:t xml:space="preserve"> </w:t>
            </w:r>
            <w:r w:rsidRPr="00A217B6">
              <w:rPr>
                <w:rFonts w:ascii="Arial" w:hAnsi="Arial" w:cs="Arial"/>
                <w:sz w:val="20"/>
                <w:szCs w:val="20"/>
              </w:rPr>
              <w:t xml:space="preserve">ARCHITECT </w:t>
            </w:r>
            <w:r w:rsidRPr="00A217B6">
              <w:rPr>
                <w:rFonts w:ascii="Arial" w:hAnsi="Arial" w:cs="Arial"/>
                <w:i/>
                <w:sz w:val="20"/>
                <w:szCs w:val="20"/>
              </w:rPr>
              <w:t>c</w:t>
            </w:r>
            <w:r w:rsidRPr="00A217B6">
              <w:rPr>
                <w:rFonts w:ascii="Arial" w:hAnsi="Arial" w:cs="Arial"/>
                <w:sz w:val="20"/>
                <w:szCs w:val="20"/>
              </w:rPr>
              <w:t xml:space="preserve"> Systems.</w:t>
            </w:r>
          </w:p>
        </w:tc>
      </w:tr>
    </w:tbl>
    <w:p w:rsidR="00A32DA2" w:rsidRDefault="00A32DA2"/>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92593F" w:rsidTr="00A32DA2">
        <w:tc>
          <w:tcPr>
            <w:tcW w:w="2088" w:type="dxa"/>
          </w:tcPr>
          <w:p w:rsidR="0092593F" w:rsidRPr="0057711F" w:rsidRDefault="0092593F" w:rsidP="000C6227">
            <w:pPr>
              <w:spacing w:before="60"/>
              <w:rPr>
                <w:b/>
              </w:rPr>
            </w:pPr>
            <w:r w:rsidRPr="0057711F">
              <w:rPr>
                <w:b/>
              </w:rPr>
              <w:t>Clinical Utility</w:t>
            </w:r>
          </w:p>
        </w:tc>
        <w:tc>
          <w:tcPr>
            <w:tcW w:w="6768" w:type="dxa"/>
          </w:tcPr>
          <w:p w:rsidR="00A217B6" w:rsidRPr="00A217B6" w:rsidRDefault="00A217B6" w:rsidP="00A217B6">
            <w:pPr>
              <w:spacing w:before="60" w:after="60"/>
              <w:rPr>
                <w:rFonts w:ascii="Arial" w:hAnsi="Arial" w:cs="Arial"/>
                <w:sz w:val="20"/>
                <w:szCs w:val="20"/>
              </w:rPr>
            </w:pPr>
            <w:r w:rsidRPr="00A217B6">
              <w:rPr>
                <w:rFonts w:ascii="Arial" w:hAnsi="Arial" w:cs="Arial"/>
                <w:sz w:val="20"/>
                <w:szCs w:val="20"/>
              </w:rPr>
              <w:t>Acetaminophen (paracetamol) is used as an analgesic in many</w:t>
            </w:r>
            <w:r>
              <w:rPr>
                <w:rFonts w:ascii="Arial" w:hAnsi="Arial" w:cs="Arial"/>
                <w:sz w:val="20"/>
                <w:szCs w:val="20"/>
              </w:rPr>
              <w:t xml:space="preserve"> different formulations.</w:t>
            </w:r>
            <w:r w:rsidRPr="00A217B6">
              <w:rPr>
                <w:rFonts w:ascii="Arial" w:hAnsi="Arial" w:cs="Arial"/>
                <w:sz w:val="20"/>
                <w:szCs w:val="20"/>
              </w:rPr>
              <w:t xml:space="preserve"> While therapeutic doses rarely cause adverse</w:t>
            </w:r>
            <w:r>
              <w:rPr>
                <w:rFonts w:ascii="Arial" w:hAnsi="Arial" w:cs="Arial"/>
                <w:sz w:val="20"/>
                <w:szCs w:val="20"/>
              </w:rPr>
              <w:t xml:space="preserve"> </w:t>
            </w:r>
            <w:r w:rsidRPr="00A217B6">
              <w:rPr>
                <w:rFonts w:ascii="Arial" w:hAnsi="Arial" w:cs="Arial"/>
                <w:sz w:val="20"/>
                <w:szCs w:val="20"/>
              </w:rPr>
              <w:t>side effects, the effect of long term treatment with acetaminophen is</w:t>
            </w:r>
            <w:r>
              <w:rPr>
                <w:rFonts w:ascii="Arial" w:hAnsi="Arial" w:cs="Arial"/>
                <w:sz w:val="20"/>
                <w:szCs w:val="20"/>
              </w:rPr>
              <w:t xml:space="preserve"> </w:t>
            </w:r>
            <w:r w:rsidRPr="00A217B6">
              <w:rPr>
                <w:rFonts w:ascii="Arial" w:hAnsi="Arial" w:cs="Arial"/>
                <w:sz w:val="20"/>
                <w:szCs w:val="20"/>
              </w:rPr>
              <w:t>unclear. Cases have been reported where chronic excessive use of</w:t>
            </w:r>
            <w:r>
              <w:rPr>
                <w:rFonts w:ascii="Arial" w:hAnsi="Arial" w:cs="Arial"/>
                <w:sz w:val="20"/>
                <w:szCs w:val="20"/>
              </w:rPr>
              <w:t xml:space="preserve"> </w:t>
            </w:r>
            <w:r w:rsidRPr="00A217B6">
              <w:rPr>
                <w:rFonts w:ascii="Arial" w:hAnsi="Arial" w:cs="Arial"/>
                <w:sz w:val="20"/>
                <w:szCs w:val="20"/>
              </w:rPr>
              <w:t>acetaminophen led to hepat</w:t>
            </w:r>
            <w:r>
              <w:rPr>
                <w:rFonts w:ascii="Arial" w:hAnsi="Arial" w:cs="Arial"/>
                <w:sz w:val="20"/>
                <w:szCs w:val="20"/>
              </w:rPr>
              <w:t>otoxicity and nephrotoxicity.</w:t>
            </w:r>
            <w:r w:rsidRPr="00A217B6">
              <w:rPr>
                <w:rFonts w:ascii="Arial" w:hAnsi="Arial" w:cs="Arial"/>
                <w:sz w:val="20"/>
                <w:szCs w:val="20"/>
              </w:rPr>
              <w:t xml:space="preserve"> In cases of</w:t>
            </w:r>
            <w:r>
              <w:rPr>
                <w:rFonts w:ascii="Arial" w:hAnsi="Arial" w:cs="Arial"/>
                <w:sz w:val="20"/>
                <w:szCs w:val="20"/>
              </w:rPr>
              <w:t xml:space="preserve"> </w:t>
            </w:r>
            <w:r w:rsidRPr="00A217B6">
              <w:rPr>
                <w:rFonts w:ascii="Arial" w:hAnsi="Arial" w:cs="Arial"/>
                <w:sz w:val="20"/>
                <w:szCs w:val="20"/>
              </w:rPr>
              <w:t>acute overdosage, acetaminophen can cause severe hepatic damage</w:t>
            </w:r>
            <w:r>
              <w:rPr>
                <w:rFonts w:ascii="Arial" w:hAnsi="Arial" w:cs="Arial"/>
                <w:sz w:val="20"/>
                <w:szCs w:val="20"/>
              </w:rPr>
              <w:t xml:space="preserve"> </w:t>
            </w:r>
            <w:r w:rsidRPr="00A217B6">
              <w:rPr>
                <w:rFonts w:ascii="Arial" w:hAnsi="Arial" w:cs="Arial"/>
                <w:sz w:val="20"/>
                <w:szCs w:val="20"/>
              </w:rPr>
              <w:t xml:space="preserve">leading to </w:t>
            </w:r>
            <w:r>
              <w:rPr>
                <w:rFonts w:ascii="Arial" w:hAnsi="Arial" w:cs="Arial"/>
                <w:sz w:val="20"/>
                <w:szCs w:val="20"/>
              </w:rPr>
              <w:t>hepatic failure if untreated.</w:t>
            </w:r>
          </w:p>
          <w:p w:rsidR="0092593F" w:rsidRPr="00A217B6" w:rsidRDefault="00A217B6" w:rsidP="0048679A">
            <w:pPr>
              <w:spacing w:before="60" w:after="60"/>
              <w:rPr>
                <w:rFonts w:ascii="Arial" w:hAnsi="Arial" w:cs="Arial"/>
                <w:sz w:val="20"/>
                <w:szCs w:val="20"/>
              </w:rPr>
            </w:pPr>
            <w:r w:rsidRPr="00A217B6">
              <w:rPr>
                <w:rFonts w:ascii="Arial" w:hAnsi="Arial" w:cs="Arial"/>
                <w:sz w:val="20"/>
                <w:szCs w:val="20"/>
              </w:rPr>
              <w:t>The management of acetaminophen overdose requires early recognition</w:t>
            </w:r>
            <w:r>
              <w:rPr>
                <w:rFonts w:ascii="Arial" w:hAnsi="Arial" w:cs="Arial"/>
                <w:sz w:val="20"/>
                <w:szCs w:val="20"/>
              </w:rPr>
              <w:t xml:space="preserve"> </w:t>
            </w:r>
            <w:r w:rsidRPr="00A217B6">
              <w:rPr>
                <w:rFonts w:ascii="Arial" w:hAnsi="Arial" w:cs="Arial"/>
                <w:sz w:val="20"/>
                <w:szCs w:val="20"/>
              </w:rPr>
              <w:t>of the drug in the bloodstream. Toxicity is generally reported at</w:t>
            </w:r>
            <w:r>
              <w:rPr>
                <w:rFonts w:ascii="Arial" w:hAnsi="Arial" w:cs="Arial"/>
                <w:sz w:val="20"/>
                <w:szCs w:val="20"/>
              </w:rPr>
              <w:t xml:space="preserve"> </w:t>
            </w:r>
            <w:r w:rsidR="0048679A">
              <w:rPr>
                <w:rFonts w:ascii="Arial" w:hAnsi="Arial" w:cs="Arial"/>
                <w:sz w:val="20"/>
                <w:szCs w:val="20"/>
              </w:rPr>
              <w:t>concentrations over 200 mcg/mL</w:t>
            </w:r>
            <w:r w:rsidRPr="00A217B6">
              <w:rPr>
                <w:rFonts w:ascii="Arial" w:hAnsi="Arial" w:cs="Arial"/>
                <w:sz w:val="20"/>
                <w:szCs w:val="20"/>
              </w:rPr>
              <w:t>. N-acetylcysteine has</w:t>
            </w:r>
            <w:r>
              <w:rPr>
                <w:rFonts w:ascii="Arial" w:hAnsi="Arial" w:cs="Arial"/>
                <w:sz w:val="20"/>
                <w:szCs w:val="20"/>
              </w:rPr>
              <w:t xml:space="preserve"> </w:t>
            </w:r>
            <w:r w:rsidRPr="00A217B6">
              <w:rPr>
                <w:rFonts w:ascii="Arial" w:hAnsi="Arial" w:cs="Arial"/>
                <w:sz w:val="20"/>
                <w:szCs w:val="20"/>
              </w:rPr>
              <w:t>been used as an antidote in conjunction with intensive support care.</w:t>
            </w:r>
            <w:r>
              <w:rPr>
                <w:rFonts w:ascii="Arial" w:hAnsi="Arial" w:cs="Arial"/>
                <w:sz w:val="20"/>
                <w:szCs w:val="20"/>
              </w:rPr>
              <w:t xml:space="preserve"> </w:t>
            </w:r>
            <w:r w:rsidRPr="00A217B6">
              <w:rPr>
                <w:rFonts w:ascii="Arial" w:hAnsi="Arial" w:cs="Arial"/>
                <w:sz w:val="20"/>
                <w:szCs w:val="20"/>
              </w:rPr>
              <w:t>Early diagnosis of acetaminophen-induced hepatotoxicity is important</w:t>
            </w:r>
            <w:r>
              <w:rPr>
                <w:rFonts w:ascii="Arial" w:hAnsi="Arial" w:cs="Arial"/>
                <w:sz w:val="20"/>
                <w:szCs w:val="20"/>
              </w:rPr>
              <w:t xml:space="preserve"> </w:t>
            </w:r>
            <w:r w:rsidRPr="00A217B6">
              <w:rPr>
                <w:rFonts w:ascii="Arial" w:hAnsi="Arial" w:cs="Arial"/>
                <w:sz w:val="20"/>
                <w:szCs w:val="20"/>
              </w:rPr>
              <w:t>since initiation of therapy within 8 hours of ingestion lessens the</w:t>
            </w:r>
            <w:r>
              <w:rPr>
                <w:rFonts w:ascii="Arial" w:hAnsi="Arial" w:cs="Arial"/>
                <w:sz w:val="20"/>
                <w:szCs w:val="20"/>
              </w:rPr>
              <w:t xml:space="preserve"> </w:t>
            </w:r>
            <w:r w:rsidRPr="00A217B6">
              <w:rPr>
                <w:rFonts w:ascii="Arial" w:hAnsi="Arial" w:cs="Arial"/>
                <w:sz w:val="20"/>
                <w:szCs w:val="20"/>
              </w:rPr>
              <w:t>potential for hepatic injury, and decreases the mortality rate.</w:t>
            </w:r>
          </w:p>
        </w:tc>
      </w:tr>
    </w:tbl>
    <w:p w:rsidR="00A32DA2" w:rsidRDefault="00A32DA2"/>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92593F" w:rsidTr="00A32DA2">
        <w:tc>
          <w:tcPr>
            <w:tcW w:w="2088" w:type="dxa"/>
          </w:tcPr>
          <w:p w:rsidR="0092593F" w:rsidRPr="0057711F" w:rsidRDefault="0092593F" w:rsidP="000C6227">
            <w:pPr>
              <w:spacing w:before="60" w:after="60"/>
              <w:rPr>
                <w:b/>
              </w:rPr>
            </w:pPr>
            <w:r w:rsidRPr="0057711F">
              <w:rPr>
                <w:b/>
              </w:rPr>
              <w:t>Methodology</w:t>
            </w:r>
          </w:p>
        </w:tc>
        <w:tc>
          <w:tcPr>
            <w:tcW w:w="6768" w:type="dxa"/>
          </w:tcPr>
          <w:p w:rsidR="0092593F" w:rsidRPr="00A217B6" w:rsidRDefault="00A217B6" w:rsidP="006C3292">
            <w:pPr>
              <w:spacing w:before="60" w:after="60"/>
              <w:rPr>
                <w:rFonts w:ascii="Arial" w:hAnsi="Arial" w:cs="Arial"/>
                <w:sz w:val="20"/>
                <w:szCs w:val="20"/>
              </w:rPr>
            </w:pPr>
            <w:r w:rsidRPr="00A217B6">
              <w:rPr>
                <w:rFonts w:ascii="Arial" w:hAnsi="Arial" w:cs="Arial"/>
                <w:sz w:val="20"/>
                <w:szCs w:val="20"/>
              </w:rPr>
              <w:t>Enzymatic/Colorimetric</w:t>
            </w:r>
          </w:p>
        </w:tc>
      </w:tr>
    </w:tbl>
    <w:p w:rsidR="00A32DA2" w:rsidRDefault="00A32DA2"/>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66"/>
        <w:gridCol w:w="1102"/>
        <w:gridCol w:w="1980"/>
        <w:gridCol w:w="1800"/>
        <w:gridCol w:w="1908"/>
      </w:tblGrid>
      <w:tr w:rsidR="00AB206B" w:rsidTr="002D4700">
        <w:tc>
          <w:tcPr>
            <w:tcW w:w="2066" w:type="dxa"/>
            <w:vMerge w:val="restart"/>
          </w:tcPr>
          <w:p w:rsidR="001A6D42" w:rsidRPr="001A6D42" w:rsidRDefault="00AB206B" w:rsidP="000C6227">
            <w:pPr>
              <w:spacing w:before="60" w:after="60"/>
              <w:rPr>
                <w:b/>
              </w:rPr>
            </w:pPr>
            <w:r w:rsidRPr="0057711F">
              <w:rPr>
                <w:b/>
              </w:rPr>
              <w:t>Specimen Information</w:t>
            </w:r>
          </w:p>
        </w:tc>
        <w:tc>
          <w:tcPr>
            <w:tcW w:w="1102" w:type="dxa"/>
            <w:shd w:val="clear" w:color="auto" w:fill="auto"/>
          </w:tcPr>
          <w:p w:rsidR="00AB206B" w:rsidRPr="0092593F" w:rsidRDefault="00A32DA2" w:rsidP="0099245E">
            <w:pPr>
              <w:spacing w:before="60" w:after="60"/>
              <w:jc w:val="center"/>
              <w:rPr>
                <w:b/>
              </w:rPr>
            </w:pPr>
            <w:r>
              <w:rPr>
                <w:b/>
              </w:rPr>
              <w:t>Sample Type</w:t>
            </w:r>
          </w:p>
        </w:tc>
        <w:tc>
          <w:tcPr>
            <w:tcW w:w="1980" w:type="dxa"/>
            <w:shd w:val="clear" w:color="auto" w:fill="auto"/>
          </w:tcPr>
          <w:p w:rsidR="00AB206B" w:rsidRPr="0092593F" w:rsidRDefault="00A32DA2" w:rsidP="0099245E">
            <w:pPr>
              <w:spacing w:before="60" w:after="60"/>
              <w:jc w:val="center"/>
              <w:rPr>
                <w:b/>
              </w:rPr>
            </w:pPr>
            <w:r>
              <w:rPr>
                <w:b/>
              </w:rPr>
              <w:t>Tube Color(s) Anticoagulant(s)</w:t>
            </w:r>
          </w:p>
        </w:tc>
        <w:tc>
          <w:tcPr>
            <w:tcW w:w="1800" w:type="dxa"/>
            <w:shd w:val="clear" w:color="auto" w:fill="auto"/>
          </w:tcPr>
          <w:p w:rsidR="00AB206B" w:rsidRPr="0092593F" w:rsidRDefault="00AB206B" w:rsidP="000C6227">
            <w:pPr>
              <w:spacing w:before="60" w:after="60"/>
              <w:jc w:val="center"/>
              <w:rPr>
                <w:b/>
              </w:rPr>
            </w:pPr>
            <w:r>
              <w:rPr>
                <w:b/>
              </w:rPr>
              <w:t>Minimum Volume</w:t>
            </w:r>
          </w:p>
        </w:tc>
        <w:tc>
          <w:tcPr>
            <w:tcW w:w="1908" w:type="dxa"/>
            <w:shd w:val="clear" w:color="auto" w:fill="auto"/>
          </w:tcPr>
          <w:p w:rsidR="00AB206B" w:rsidRPr="0092593F" w:rsidRDefault="00AB206B" w:rsidP="000C6227">
            <w:pPr>
              <w:spacing w:before="60" w:after="60"/>
              <w:jc w:val="center"/>
              <w:rPr>
                <w:b/>
              </w:rPr>
            </w:pPr>
            <w:r>
              <w:rPr>
                <w:b/>
              </w:rPr>
              <w:t>Stability</w:t>
            </w:r>
          </w:p>
        </w:tc>
      </w:tr>
      <w:tr w:rsidR="00AB206B" w:rsidTr="002D4700">
        <w:tc>
          <w:tcPr>
            <w:tcW w:w="2066" w:type="dxa"/>
            <w:vMerge/>
          </w:tcPr>
          <w:p w:rsidR="00AB206B" w:rsidRPr="0057711F" w:rsidRDefault="00AB206B" w:rsidP="000C6227">
            <w:pPr>
              <w:spacing w:before="60" w:after="60"/>
              <w:rPr>
                <w:b/>
              </w:rPr>
            </w:pPr>
          </w:p>
        </w:tc>
        <w:tc>
          <w:tcPr>
            <w:tcW w:w="1102" w:type="dxa"/>
            <w:shd w:val="clear" w:color="auto" w:fill="auto"/>
          </w:tcPr>
          <w:p w:rsidR="00AB206B" w:rsidRPr="0099245E" w:rsidRDefault="00A217B6" w:rsidP="000C6227">
            <w:pPr>
              <w:spacing w:before="60" w:after="60"/>
              <w:rPr>
                <w:rFonts w:ascii="Arial" w:hAnsi="Arial" w:cs="Arial"/>
                <w:sz w:val="20"/>
                <w:szCs w:val="20"/>
              </w:rPr>
            </w:pPr>
            <w:r>
              <w:rPr>
                <w:rFonts w:ascii="Arial" w:hAnsi="Arial" w:cs="Arial"/>
                <w:sz w:val="20"/>
                <w:szCs w:val="20"/>
              </w:rPr>
              <w:t>Serum</w:t>
            </w:r>
          </w:p>
        </w:tc>
        <w:tc>
          <w:tcPr>
            <w:tcW w:w="1980" w:type="dxa"/>
            <w:shd w:val="clear" w:color="auto" w:fill="auto"/>
          </w:tcPr>
          <w:p w:rsidR="00AB206B" w:rsidRDefault="00A217B6" w:rsidP="000C6227">
            <w:pPr>
              <w:spacing w:before="60" w:after="60"/>
              <w:rPr>
                <w:rFonts w:ascii="Arial" w:hAnsi="Arial" w:cs="Arial"/>
                <w:sz w:val="20"/>
                <w:szCs w:val="20"/>
              </w:rPr>
            </w:pPr>
            <w:r>
              <w:rPr>
                <w:rFonts w:ascii="Arial" w:hAnsi="Arial" w:cs="Arial"/>
                <w:sz w:val="20"/>
                <w:szCs w:val="20"/>
              </w:rPr>
              <w:t>Glass or Plastic:</w:t>
            </w:r>
          </w:p>
          <w:p w:rsidR="00A217B6" w:rsidRPr="0099245E" w:rsidRDefault="00A217B6" w:rsidP="000C6227">
            <w:pPr>
              <w:spacing w:before="60" w:after="60"/>
              <w:rPr>
                <w:rFonts w:ascii="Arial" w:hAnsi="Arial" w:cs="Arial"/>
                <w:sz w:val="20"/>
                <w:szCs w:val="20"/>
              </w:rPr>
            </w:pPr>
            <w:r>
              <w:rPr>
                <w:rFonts w:ascii="Arial" w:hAnsi="Arial" w:cs="Arial"/>
                <w:sz w:val="20"/>
                <w:szCs w:val="20"/>
              </w:rPr>
              <w:t>Serum with or without gel barrier</w:t>
            </w:r>
          </w:p>
        </w:tc>
        <w:tc>
          <w:tcPr>
            <w:tcW w:w="1800" w:type="dxa"/>
            <w:shd w:val="clear" w:color="auto" w:fill="auto"/>
          </w:tcPr>
          <w:p w:rsidR="00AB206B" w:rsidRPr="002D4700" w:rsidRDefault="00A217B6" w:rsidP="002D4700">
            <w:pPr>
              <w:autoSpaceDE w:val="0"/>
              <w:autoSpaceDN w:val="0"/>
              <w:adjustRightInd w:val="0"/>
              <w:spacing w:before="60" w:after="60"/>
              <w:rPr>
                <w:rFonts w:ascii="Arial" w:eastAsia="HelenPro-Regular" w:hAnsi="Arial" w:cs="Arial"/>
                <w:sz w:val="20"/>
                <w:szCs w:val="20"/>
              </w:rPr>
            </w:pPr>
            <w:r>
              <w:rPr>
                <w:rFonts w:ascii="Arial" w:hAnsi="Arial" w:cs="Arial"/>
                <w:sz w:val="20"/>
                <w:szCs w:val="20"/>
              </w:rPr>
              <w:t>Standard: 10</w:t>
            </w:r>
            <w:r w:rsidRPr="009B4838">
              <w:rPr>
                <w:rFonts w:ascii="Arial" w:hAnsi="Arial" w:cs="Arial"/>
                <w:sz w:val="20"/>
                <w:szCs w:val="20"/>
              </w:rPr>
              <w:t xml:space="preserve"> μL</w:t>
            </w:r>
          </w:p>
        </w:tc>
        <w:tc>
          <w:tcPr>
            <w:tcW w:w="1908" w:type="dxa"/>
            <w:shd w:val="clear" w:color="auto" w:fill="auto"/>
          </w:tcPr>
          <w:p w:rsidR="00AB206B" w:rsidRDefault="002D4700" w:rsidP="000C6227">
            <w:pPr>
              <w:spacing w:before="60" w:after="60"/>
              <w:rPr>
                <w:rFonts w:ascii="Arial" w:hAnsi="Arial" w:cs="Arial"/>
                <w:sz w:val="20"/>
                <w:szCs w:val="20"/>
              </w:rPr>
            </w:pPr>
            <w:r>
              <w:rPr>
                <w:rFonts w:ascii="Arial" w:hAnsi="Arial" w:cs="Arial"/>
                <w:sz w:val="20"/>
                <w:szCs w:val="20"/>
              </w:rPr>
              <w:t>14 days at 4-</w:t>
            </w:r>
            <w:r w:rsidR="00AA4103" w:rsidRPr="00A217B6">
              <w:rPr>
                <w:rFonts w:ascii="Arial" w:hAnsi="Arial" w:cs="Arial"/>
                <w:sz w:val="20"/>
                <w:szCs w:val="20"/>
              </w:rPr>
              <w:t>8°C</w:t>
            </w:r>
          </w:p>
          <w:p w:rsidR="00AA4103" w:rsidRPr="0099245E" w:rsidRDefault="00AA4103" w:rsidP="000C6227">
            <w:pPr>
              <w:spacing w:before="60" w:after="60"/>
              <w:rPr>
                <w:rFonts w:ascii="Arial" w:hAnsi="Arial" w:cs="Arial"/>
                <w:sz w:val="20"/>
                <w:szCs w:val="20"/>
              </w:rPr>
            </w:pPr>
            <w:r>
              <w:rPr>
                <w:rFonts w:ascii="Arial" w:hAnsi="Arial" w:cs="Arial"/>
                <w:sz w:val="20"/>
                <w:szCs w:val="20"/>
              </w:rPr>
              <w:t>45 days at ≤ -20°C</w:t>
            </w:r>
          </w:p>
        </w:tc>
      </w:tr>
      <w:tr w:rsidR="00AB206B" w:rsidTr="002D4700">
        <w:tc>
          <w:tcPr>
            <w:tcW w:w="2066" w:type="dxa"/>
            <w:vMerge/>
          </w:tcPr>
          <w:p w:rsidR="00AB206B" w:rsidRPr="0057711F" w:rsidRDefault="00AB206B" w:rsidP="000C6227">
            <w:pPr>
              <w:spacing w:before="60" w:after="60"/>
              <w:rPr>
                <w:b/>
              </w:rPr>
            </w:pPr>
          </w:p>
        </w:tc>
        <w:tc>
          <w:tcPr>
            <w:tcW w:w="1102" w:type="dxa"/>
            <w:shd w:val="clear" w:color="auto" w:fill="auto"/>
          </w:tcPr>
          <w:p w:rsidR="00AB206B" w:rsidRPr="0099245E" w:rsidRDefault="00A217B6" w:rsidP="000C6227">
            <w:pPr>
              <w:spacing w:before="60" w:after="60"/>
              <w:rPr>
                <w:rFonts w:ascii="Arial" w:hAnsi="Arial" w:cs="Arial"/>
                <w:sz w:val="20"/>
                <w:szCs w:val="20"/>
              </w:rPr>
            </w:pPr>
            <w:r>
              <w:rPr>
                <w:rFonts w:ascii="Arial" w:hAnsi="Arial" w:cs="Arial"/>
                <w:sz w:val="20"/>
                <w:szCs w:val="20"/>
              </w:rPr>
              <w:t>Plasma</w:t>
            </w:r>
          </w:p>
        </w:tc>
        <w:tc>
          <w:tcPr>
            <w:tcW w:w="1980" w:type="dxa"/>
            <w:shd w:val="clear" w:color="auto" w:fill="auto"/>
          </w:tcPr>
          <w:p w:rsidR="00AB206B" w:rsidRDefault="00A217B6" w:rsidP="000C6227">
            <w:pPr>
              <w:spacing w:before="60" w:after="60"/>
              <w:rPr>
                <w:rFonts w:ascii="Arial" w:hAnsi="Arial" w:cs="Arial"/>
                <w:sz w:val="20"/>
                <w:szCs w:val="20"/>
              </w:rPr>
            </w:pPr>
            <w:r>
              <w:rPr>
                <w:rFonts w:ascii="Arial" w:hAnsi="Arial" w:cs="Arial"/>
                <w:sz w:val="20"/>
                <w:szCs w:val="20"/>
              </w:rPr>
              <w:t>Glass or Plastic:</w:t>
            </w:r>
          </w:p>
          <w:p w:rsidR="00A217B6" w:rsidRDefault="00A217B6" w:rsidP="00A217B6">
            <w:pPr>
              <w:spacing w:before="60" w:after="60"/>
              <w:rPr>
                <w:rFonts w:ascii="Arial" w:hAnsi="Arial" w:cs="Arial"/>
                <w:sz w:val="20"/>
                <w:szCs w:val="20"/>
              </w:rPr>
            </w:pPr>
            <w:r>
              <w:rPr>
                <w:rFonts w:ascii="Arial" w:hAnsi="Arial" w:cs="Arial"/>
                <w:sz w:val="20"/>
                <w:szCs w:val="20"/>
              </w:rPr>
              <w:t>L</w:t>
            </w:r>
            <w:r w:rsidRPr="00A217B6">
              <w:rPr>
                <w:rFonts w:ascii="Arial" w:hAnsi="Arial" w:cs="Arial"/>
                <w:sz w:val="20"/>
                <w:szCs w:val="20"/>
              </w:rPr>
              <w:t>ithium</w:t>
            </w:r>
            <w:r>
              <w:rPr>
                <w:rFonts w:ascii="Arial" w:hAnsi="Arial" w:cs="Arial"/>
                <w:sz w:val="20"/>
                <w:szCs w:val="20"/>
              </w:rPr>
              <w:t xml:space="preserve"> </w:t>
            </w:r>
            <w:r w:rsidRPr="00A217B6">
              <w:rPr>
                <w:rFonts w:ascii="Arial" w:hAnsi="Arial" w:cs="Arial"/>
                <w:sz w:val="20"/>
                <w:szCs w:val="20"/>
              </w:rPr>
              <w:t>heparin (wi</w:t>
            </w:r>
            <w:r>
              <w:rPr>
                <w:rFonts w:ascii="Arial" w:hAnsi="Arial" w:cs="Arial"/>
                <w:sz w:val="20"/>
                <w:szCs w:val="20"/>
              </w:rPr>
              <w:t xml:space="preserve">th or without gel barrier) </w:t>
            </w:r>
          </w:p>
          <w:p w:rsidR="00A217B6" w:rsidRPr="00A217B6" w:rsidRDefault="00A217B6" w:rsidP="00A217B6">
            <w:pPr>
              <w:spacing w:before="60" w:after="60"/>
              <w:rPr>
                <w:rFonts w:ascii="Arial" w:hAnsi="Arial" w:cs="Arial"/>
                <w:sz w:val="20"/>
                <w:szCs w:val="20"/>
              </w:rPr>
            </w:pPr>
            <w:r>
              <w:rPr>
                <w:rFonts w:ascii="Arial" w:hAnsi="Arial" w:cs="Arial"/>
                <w:sz w:val="20"/>
                <w:szCs w:val="20"/>
              </w:rPr>
              <w:t>S</w:t>
            </w:r>
            <w:r w:rsidRPr="00A217B6">
              <w:rPr>
                <w:rFonts w:ascii="Arial" w:hAnsi="Arial" w:cs="Arial"/>
                <w:sz w:val="20"/>
                <w:szCs w:val="20"/>
              </w:rPr>
              <w:t>odium heparin</w:t>
            </w:r>
          </w:p>
        </w:tc>
        <w:tc>
          <w:tcPr>
            <w:tcW w:w="1800" w:type="dxa"/>
            <w:shd w:val="clear" w:color="auto" w:fill="auto"/>
          </w:tcPr>
          <w:p w:rsidR="00AB206B" w:rsidRPr="002D4700" w:rsidRDefault="00A217B6" w:rsidP="002D4700">
            <w:pPr>
              <w:autoSpaceDE w:val="0"/>
              <w:autoSpaceDN w:val="0"/>
              <w:adjustRightInd w:val="0"/>
              <w:spacing w:before="60" w:after="60"/>
              <w:rPr>
                <w:rFonts w:ascii="Arial" w:eastAsia="HelenPro-Regular" w:hAnsi="Arial" w:cs="Arial"/>
                <w:sz w:val="20"/>
                <w:szCs w:val="20"/>
              </w:rPr>
            </w:pPr>
            <w:r>
              <w:rPr>
                <w:rFonts w:ascii="Arial" w:hAnsi="Arial" w:cs="Arial"/>
                <w:sz w:val="20"/>
                <w:szCs w:val="20"/>
              </w:rPr>
              <w:t>Standard: 10</w:t>
            </w:r>
            <w:r w:rsidR="002D4700">
              <w:rPr>
                <w:rFonts w:ascii="Arial" w:hAnsi="Arial" w:cs="Arial"/>
                <w:sz w:val="20"/>
                <w:szCs w:val="20"/>
              </w:rPr>
              <w:t xml:space="preserve"> </w:t>
            </w:r>
            <w:r w:rsidRPr="009B4838">
              <w:rPr>
                <w:rFonts w:ascii="Arial" w:hAnsi="Arial" w:cs="Arial"/>
                <w:sz w:val="20"/>
                <w:szCs w:val="20"/>
              </w:rPr>
              <w:t>μL</w:t>
            </w:r>
          </w:p>
        </w:tc>
        <w:tc>
          <w:tcPr>
            <w:tcW w:w="1908" w:type="dxa"/>
            <w:shd w:val="clear" w:color="auto" w:fill="auto"/>
          </w:tcPr>
          <w:p w:rsidR="00AA4103" w:rsidRDefault="002D4700" w:rsidP="00AA4103">
            <w:pPr>
              <w:spacing w:before="60" w:after="60"/>
              <w:rPr>
                <w:rFonts w:ascii="Arial" w:hAnsi="Arial" w:cs="Arial"/>
                <w:sz w:val="20"/>
                <w:szCs w:val="20"/>
              </w:rPr>
            </w:pPr>
            <w:r>
              <w:rPr>
                <w:rFonts w:ascii="Arial" w:hAnsi="Arial" w:cs="Arial"/>
                <w:sz w:val="20"/>
                <w:szCs w:val="20"/>
              </w:rPr>
              <w:t>14 days at 4-</w:t>
            </w:r>
            <w:r w:rsidR="00AA4103" w:rsidRPr="00A217B6">
              <w:rPr>
                <w:rFonts w:ascii="Arial" w:hAnsi="Arial" w:cs="Arial"/>
                <w:sz w:val="20"/>
                <w:szCs w:val="20"/>
              </w:rPr>
              <w:t>8°C</w:t>
            </w:r>
          </w:p>
          <w:p w:rsidR="00AB206B" w:rsidRPr="0099245E" w:rsidRDefault="00AA4103" w:rsidP="00AA4103">
            <w:pPr>
              <w:spacing w:before="60" w:after="60"/>
              <w:rPr>
                <w:rFonts w:ascii="Arial" w:hAnsi="Arial" w:cs="Arial"/>
                <w:sz w:val="20"/>
                <w:szCs w:val="20"/>
              </w:rPr>
            </w:pPr>
            <w:r>
              <w:rPr>
                <w:rFonts w:ascii="Arial" w:hAnsi="Arial" w:cs="Arial"/>
                <w:sz w:val="20"/>
                <w:szCs w:val="20"/>
              </w:rPr>
              <w:t>45 days at ≤ -20°C</w:t>
            </w:r>
          </w:p>
        </w:tc>
      </w:tr>
    </w:tbl>
    <w:p w:rsidR="00A32DA2" w:rsidRDefault="00A32DA2"/>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AB206B" w:rsidTr="00A32DA2">
        <w:trPr>
          <w:trHeight w:val="800"/>
        </w:trPr>
        <w:tc>
          <w:tcPr>
            <w:tcW w:w="2088" w:type="dxa"/>
          </w:tcPr>
          <w:p w:rsidR="00AB206B" w:rsidRPr="0057711F" w:rsidRDefault="000C6227" w:rsidP="000C6227">
            <w:pPr>
              <w:spacing w:before="60" w:after="60"/>
              <w:rPr>
                <w:b/>
              </w:rPr>
            </w:pPr>
            <w:r w:rsidRPr="001A6D42">
              <w:rPr>
                <w:b/>
              </w:rPr>
              <w:t>Special Instructions and Storage</w:t>
            </w:r>
          </w:p>
        </w:tc>
        <w:tc>
          <w:tcPr>
            <w:tcW w:w="6768" w:type="dxa"/>
            <w:shd w:val="clear" w:color="auto" w:fill="auto"/>
          </w:tcPr>
          <w:p w:rsidR="00AB206B" w:rsidRPr="00A217B6" w:rsidRDefault="00A217B6" w:rsidP="00A217B6">
            <w:pPr>
              <w:spacing w:before="60" w:after="60"/>
              <w:rPr>
                <w:rFonts w:ascii="Arial" w:hAnsi="Arial" w:cs="Arial"/>
                <w:sz w:val="20"/>
                <w:szCs w:val="20"/>
              </w:rPr>
            </w:pPr>
            <w:r w:rsidRPr="00A217B6">
              <w:rPr>
                <w:rFonts w:ascii="Arial" w:hAnsi="Arial" w:cs="Arial"/>
                <w:sz w:val="20"/>
                <w:szCs w:val="20"/>
              </w:rPr>
              <w:t>Separated samples may be stored for up to 14 days at 4 to 8°C prior</w:t>
            </w:r>
            <w:r>
              <w:rPr>
                <w:rFonts w:ascii="Arial" w:hAnsi="Arial" w:cs="Arial"/>
                <w:sz w:val="20"/>
                <w:szCs w:val="20"/>
              </w:rPr>
              <w:t xml:space="preserve"> </w:t>
            </w:r>
            <w:r w:rsidRPr="00A217B6">
              <w:rPr>
                <w:rFonts w:ascii="Arial" w:hAnsi="Arial" w:cs="Arial"/>
                <w:sz w:val="20"/>
                <w:szCs w:val="20"/>
              </w:rPr>
              <w:t>to being tested. If testing will be delayed more than 14 days, separated</w:t>
            </w:r>
            <w:r>
              <w:rPr>
                <w:rFonts w:ascii="Arial" w:hAnsi="Arial" w:cs="Arial"/>
                <w:sz w:val="20"/>
                <w:szCs w:val="20"/>
              </w:rPr>
              <w:t xml:space="preserve"> </w:t>
            </w:r>
            <w:r w:rsidRPr="00A217B6">
              <w:rPr>
                <w:rFonts w:ascii="Arial" w:hAnsi="Arial" w:cs="Arial"/>
                <w:sz w:val="20"/>
                <w:szCs w:val="20"/>
              </w:rPr>
              <w:t>samples may be stored frozen</w:t>
            </w:r>
            <w:r>
              <w:rPr>
                <w:rFonts w:ascii="Arial" w:hAnsi="Arial" w:cs="Arial"/>
                <w:sz w:val="20"/>
                <w:szCs w:val="20"/>
              </w:rPr>
              <w:t xml:space="preserve"> at ≤ -20°C for up to 45 days. </w:t>
            </w:r>
            <w:r w:rsidRPr="00A217B6">
              <w:rPr>
                <w:rFonts w:ascii="Arial" w:hAnsi="Arial" w:cs="Arial"/>
                <w:sz w:val="20"/>
                <w:szCs w:val="20"/>
              </w:rPr>
              <w:t>Stored specimens must be inspected for particulates. If present,</w:t>
            </w:r>
            <w:r>
              <w:rPr>
                <w:rFonts w:ascii="Arial" w:hAnsi="Arial" w:cs="Arial"/>
                <w:sz w:val="20"/>
                <w:szCs w:val="20"/>
              </w:rPr>
              <w:t xml:space="preserve"> </w:t>
            </w:r>
            <w:r w:rsidRPr="00A217B6">
              <w:rPr>
                <w:rFonts w:ascii="Arial" w:hAnsi="Arial" w:cs="Arial"/>
                <w:sz w:val="20"/>
                <w:szCs w:val="20"/>
              </w:rPr>
              <w:t>mix and centrifuge the specimen to remove particulates prior to testing.</w:t>
            </w:r>
          </w:p>
        </w:tc>
      </w:tr>
    </w:tbl>
    <w:p w:rsidR="00A32DA2" w:rsidRDefault="00A32DA2"/>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3525"/>
        <w:gridCol w:w="3243"/>
      </w:tblGrid>
      <w:tr w:rsidR="00DB0682" w:rsidTr="00A32DA2">
        <w:tc>
          <w:tcPr>
            <w:tcW w:w="2088" w:type="dxa"/>
          </w:tcPr>
          <w:p w:rsidR="00D40618" w:rsidRDefault="00D40618" w:rsidP="000C6227">
            <w:pPr>
              <w:spacing w:before="60" w:after="60"/>
              <w:rPr>
                <w:b/>
              </w:rPr>
            </w:pPr>
          </w:p>
          <w:p w:rsidR="0099245E" w:rsidRDefault="00A32DA2" w:rsidP="000C6227">
            <w:pPr>
              <w:spacing w:before="60" w:after="60"/>
              <w:rPr>
                <w:b/>
              </w:rPr>
            </w:pPr>
            <w:r>
              <w:rPr>
                <w:b/>
              </w:rPr>
              <w:lastRenderedPageBreak/>
              <w:t>Specimen Limitations</w:t>
            </w:r>
          </w:p>
          <w:p w:rsidR="00493EA4" w:rsidRPr="00A32DA2" w:rsidRDefault="00493EA4" w:rsidP="000C6227">
            <w:pPr>
              <w:spacing w:before="60" w:after="60"/>
              <w:rPr>
                <w:b/>
              </w:rPr>
            </w:pPr>
            <w:r w:rsidRPr="00493EA4">
              <w:rPr>
                <w:i/>
              </w:rPr>
              <w:t xml:space="preserve">Do </w:t>
            </w:r>
            <w:r w:rsidR="00A32DA2">
              <w:rPr>
                <w:i/>
              </w:rPr>
              <w:t>not use the following:</w:t>
            </w:r>
          </w:p>
        </w:tc>
        <w:tc>
          <w:tcPr>
            <w:tcW w:w="3525" w:type="dxa"/>
            <w:shd w:val="clear" w:color="auto" w:fill="auto"/>
          </w:tcPr>
          <w:p w:rsidR="00D40618" w:rsidRDefault="00D40618" w:rsidP="002D4700">
            <w:pPr>
              <w:spacing w:before="60" w:after="60"/>
              <w:rPr>
                <w:rFonts w:ascii="Arial" w:hAnsi="Arial" w:cs="Arial"/>
                <w:sz w:val="20"/>
                <w:szCs w:val="20"/>
              </w:rPr>
            </w:pPr>
          </w:p>
          <w:p w:rsidR="00D40618" w:rsidRDefault="00D40618" w:rsidP="002D4700">
            <w:pPr>
              <w:spacing w:before="60" w:after="60"/>
              <w:rPr>
                <w:rFonts w:ascii="Arial" w:hAnsi="Arial" w:cs="Arial"/>
                <w:sz w:val="20"/>
                <w:szCs w:val="20"/>
              </w:rPr>
            </w:pPr>
          </w:p>
          <w:p w:rsidR="00D40618" w:rsidRDefault="00D40618" w:rsidP="002D4700">
            <w:pPr>
              <w:spacing w:before="60" w:after="60"/>
              <w:rPr>
                <w:rFonts w:ascii="Arial" w:hAnsi="Arial" w:cs="Arial"/>
                <w:sz w:val="20"/>
                <w:szCs w:val="20"/>
              </w:rPr>
            </w:pPr>
          </w:p>
          <w:p w:rsidR="00493EA4" w:rsidRPr="0099245E" w:rsidRDefault="0048679A" w:rsidP="002D4700">
            <w:pPr>
              <w:spacing w:before="60" w:after="60"/>
              <w:rPr>
                <w:rFonts w:ascii="Arial" w:hAnsi="Arial" w:cs="Arial"/>
                <w:sz w:val="20"/>
                <w:szCs w:val="20"/>
              </w:rPr>
            </w:pPr>
            <w:r>
              <w:rPr>
                <w:rFonts w:ascii="Arial" w:hAnsi="Arial" w:cs="Arial"/>
                <w:sz w:val="20"/>
                <w:szCs w:val="20"/>
              </w:rPr>
              <w:t>None</w:t>
            </w:r>
          </w:p>
        </w:tc>
        <w:tc>
          <w:tcPr>
            <w:tcW w:w="3243" w:type="dxa"/>
            <w:shd w:val="clear" w:color="auto" w:fill="auto"/>
          </w:tcPr>
          <w:p w:rsidR="00493EA4" w:rsidRPr="0099245E" w:rsidRDefault="00493EA4" w:rsidP="006C3292">
            <w:pPr>
              <w:spacing w:before="60" w:after="60"/>
              <w:rPr>
                <w:rFonts w:ascii="Arial" w:hAnsi="Arial" w:cs="Arial"/>
                <w:sz w:val="20"/>
                <w:szCs w:val="20"/>
              </w:rPr>
            </w:pPr>
          </w:p>
        </w:tc>
      </w:tr>
    </w:tbl>
    <w:p w:rsidR="000745BD" w:rsidRDefault="000745BD" w:rsidP="001505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427438" w:rsidRPr="00432382" w:rsidTr="00A32DA2">
        <w:tc>
          <w:tcPr>
            <w:tcW w:w="2088" w:type="dxa"/>
          </w:tcPr>
          <w:p w:rsidR="00427438" w:rsidRPr="00432382" w:rsidRDefault="00427438" w:rsidP="00386F35">
            <w:pPr>
              <w:spacing w:before="60" w:after="60"/>
              <w:rPr>
                <w:b/>
              </w:rPr>
            </w:pPr>
            <w:r w:rsidRPr="00432382">
              <w:rPr>
                <w:b/>
              </w:rPr>
              <w:t>Reagents</w:t>
            </w:r>
          </w:p>
        </w:tc>
        <w:tc>
          <w:tcPr>
            <w:tcW w:w="6768" w:type="dxa"/>
          </w:tcPr>
          <w:p w:rsidR="00AE30FF" w:rsidRPr="00432382" w:rsidRDefault="00A217B6" w:rsidP="002D4700">
            <w:pPr>
              <w:spacing w:before="60" w:after="60"/>
              <w:rPr>
                <w:rFonts w:ascii="Arial" w:hAnsi="Arial" w:cs="Arial"/>
                <w:sz w:val="20"/>
                <w:szCs w:val="20"/>
              </w:rPr>
            </w:pPr>
            <w:r w:rsidRPr="00432382">
              <w:rPr>
                <w:rFonts w:ascii="Arial" w:hAnsi="Arial" w:cs="Arial"/>
                <w:sz w:val="20"/>
                <w:szCs w:val="20"/>
              </w:rPr>
              <w:t xml:space="preserve">Reagent Kit </w:t>
            </w:r>
            <w:r w:rsidR="00BA2553" w:rsidRPr="00432382">
              <w:rPr>
                <w:rFonts w:ascii="Arial" w:hAnsi="Arial" w:cs="Arial"/>
                <w:sz w:val="20"/>
                <w:szCs w:val="20"/>
              </w:rPr>
              <w:t xml:space="preserve">03R11-20 </w:t>
            </w:r>
            <w:r w:rsidRPr="00432382">
              <w:rPr>
                <w:rFonts w:ascii="Arial" w:hAnsi="Arial" w:cs="Arial"/>
                <w:sz w:val="20"/>
                <w:szCs w:val="20"/>
              </w:rPr>
              <w:t>MULTIGENT Acetaminophen is supplied as a liquid, ready-to-use, two-reagent kit which contains R1 and R2. Refer to Package Insert for chemic</w:t>
            </w:r>
            <w:r w:rsidR="00AE30FF" w:rsidRPr="00432382">
              <w:rPr>
                <w:rFonts w:ascii="Arial" w:hAnsi="Arial" w:cs="Arial"/>
                <w:sz w:val="20"/>
                <w:szCs w:val="20"/>
              </w:rPr>
              <w:t>al composition.</w:t>
            </w:r>
          </w:p>
          <w:p w:rsidR="00A217B6" w:rsidRPr="00432382" w:rsidRDefault="00AE30FF" w:rsidP="002D4700">
            <w:pPr>
              <w:spacing w:before="60" w:after="60"/>
              <w:rPr>
                <w:rFonts w:ascii="Arial" w:hAnsi="Arial" w:cs="Arial"/>
                <w:sz w:val="20"/>
                <w:szCs w:val="20"/>
              </w:rPr>
            </w:pPr>
            <w:r w:rsidRPr="00432382">
              <w:rPr>
                <w:rFonts w:ascii="Arial" w:hAnsi="Arial" w:cs="Arial"/>
                <w:sz w:val="20"/>
                <w:szCs w:val="20"/>
              </w:rPr>
              <w:t>Before use, invert several times, avoiding the formation of bubbles.</w:t>
            </w:r>
            <w:r w:rsidR="00BA2553" w:rsidRPr="00432382">
              <w:rPr>
                <w:rFonts w:ascii="Arial" w:hAnsi="Arial" w:cs="Arial"/>
                <w:sz w:val="20"/>
                <w:szCs w:val="20"/>
              </w:rPr>
              <w:t xml:space="preserve"> Pour the R1 Reagent bottle into a 20mL plastic wedge and label.  Pour both of the R2 reagent bottles into a 20mL plastic wedge and label. </w:t>
            </w:r>
            <w:r w:rsidRPr="00432382">
              <w:rPr>
                <w:rFonts w:ascii="Arial" w:hAnsi="Arial" w:cs="Arial"/>
                <w:sz w:val="20"/>
                <w:szCs w:val="20"/>
              </w:rPr>
              <w:t xml:space="preserve"> </w:t>
            </w:r>
            <w:r w:rsidR="00A217B6" w:rsidRPr="00432382">
              <w:rPr>
                <w:rFonts w:ascii="Arial" w:hAnsi="Arial" w:cs="Arial"/>
                <w:sz w:val="20"/>
                <w:szCs w:val="20"/>
              </w:rPr>
              <w:t>When either the R1 or the R2 reagent cartridge becomes empty, replace both cartridges.</w:t>
            </w:r>
          </w:p>
          <w:p w:rsidR="00427438" w:rsidRPr="00432382" w:rsidRDefault="002D4700" w:rsidP="00FB41A1">
            <w:pPr>
              <w:spacing w:before="60" w:after="60"/>
              <w:rPr>
                <w:rFonts w:ascii="Arial" w:hAnsi="Arial" w:cs="Arial"/>
                <w:sz w:val="20"/>
                <w:szCs w:val="20"/>
              </w:rPr>
            </w:pPr>
            <w:r w:rsidRPr="00432382">
              <w:rPr>
                <w:rFonts w:ascii="Arial" w:hAnsi="Arial" w:cs="Arial"/>
                <w:sz w:val="20"/>
                <w:szCs w:val="20"/>
              </w:rPr>
              <w:t xml:space="preserve">Reagent stability </w:t>
            </w:r>
            <w:r w:rsidRPr="00FB41A1">
              <w:rPr>
                <w:rFonts w:ascii="Arial" w:hAnsi="Arial" w:cs="Arial"/>
                <w:sz w:val="20"/>
                <w:szCs w:val="20"/>
              </w:rPr>
              <w:t xml:space="preserve">is </w:t>
            </w:r>
            <w:r w:rsidR="00A223F5" w:rsidRPr="00FB41A1">
              <w:rPr>
                <w:rFonts w:ascii="Arial" w:hAnsi="Arial" w:cs="Arial"/>
                <w:sz w:val="20"/>
                <w:szCs w:val="20"/>
              </w:rPr>
              <w:t xml:space="preserve"> 8</w:t>
            </w:r>
            <w:r w:rsidR="00A217B6" w:rsidRPr="00FB41A1">
              <w:rPr>
                <w:rFonts w:ascii="Arial" w:hAnsi="Arial" w:cs="Arial"/>
                <w:sz w:val="20"/>
                <w:szCs w:val="20"/>
              </w:rPr>
              <w:t xml:space="preserve"> days if the reagent is uncapped and onboard. </w:t>
            </w:r>
            <w:r w:rsidR="00A223F5" w:rsidRPr="00FB41A1">
              <w:rPr>
                <w:rFonts w:ascii="Arial" w:hAnsi="Arial" w:cs="Arial"/>
                <w:sz w:val="20"/>
                <w:szCs w:val="20"/>
              </w:rPr>
              <w:t xml:space="preserve">Reagent onboard use should be no more than 192 hours.  </w:t>
            </w:r>
            <w:r w:rsidR="00A217B6" w:rsidRPr="00432382">
              <w:rPr>
                <w:rFonts w:ascii="Arial" w:hAnsi="Arial" w:cs="Arial"/>
                <w:sz w:val="20"/>
                <w:szCs w:val="20"/>
              </w:rPr>
              <w:t>Unopened reagents are stable until the expiration date when stored at     2 to 8°C. Do not use components beyond the expiration date. Do not mix materials from different kit lot numbers.</w:t>
            </w:r>
          </w:p>
        </w:tc>
      </w:tr>
    </w:tbl>
    <w:p w:rsidR="00A32DA2" w:rsidRPr="0043238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937A55" w:rsidTr="00A32DA2">
        <w:tc>
          <w:tcPr>
            <w:tcW w:w="2088" w:type="dxa"/>
          </w:tcPr>
          <w:p w:rsidR="00937A55" w:rsidRPr="00432382" w:rsidRDefault="00937A55" w:rsidP="00C911AD">
            <w:pPr>
              <w:spacing w:before="60" w:after="60"/>
              <w:rPr>
                <w:b/>
              </w:rPr>
            </w:pPr>
            <w:r w:rsidRPr="00432382">
              <w:rPr>
                <w:b/>
              </w:rPr>
              <w:t>Calibration</w:t>
            </w:r>
          </w:p>
        </w:tc>
        <w:tc>
          <w:tcPr>
            <w:tcW w:w="6768" w:type="dxa"/>
          </w:tcPr>
          <w:p w:rsidR="00937A55" w:rsidRPr="00AA4103" w:rsidRDefault="00AA4103" w:rsidP="00FB41A1">
            <w:pPr>
              <w:spacing w:before="60" w:after="60"/>
              <w:rPr>
                <w:rFonts w:ascii="Arial" w:hAnsi="Arial" w:cs="Arial"/>
                <w:sz w:val="20"/>
                <w:szCs w:val="20"/>
              </w:rPr>
            </w:pPr>
            <w:r w:rsidRPr="00432382">
              <w:rPr>
                <w:rFonts w:ascii="Arial" w:hAnsi="Arial" w:cs="Arial"/>
                <w:sz w:val="20"/>
                <w:szCs w:val="20"/>
              </w:rPr>
              <w:t>Calibratio</w:t>
            </w:r>
            <w:r w:rsidR="002D4700" w:rsidRPr="00432382">
              <w:rPr>
                <w:rFonts w:ascii="Arial" w:hAnsi="Arial" w:cs="Arial"/>
                <w:sz w:val="20"/>
                <w:szCs w:val="20"/>
              </w:rPr>
              <w:t xml:space="preserve">n is stable for approximately </w:t>
            </w:r>
            <w:r w:rsidR="00A223F5" w:rsidRPr="00FB41A1">
              <w:rPr>
                <w:rFonts w:ascii="Arial" w:hAnsi="Arial" w:cs="Arial"/>
                <w:sz w:val="20"/>
                <w:szCs w:val="20"/>
              </w:rPr>
              <w:t>24 hours</w:t>
            </w:r>
            <w:r w:rsidR="00FB41A1">
              <w:rPr>
                <w:rFonts w:ascii="Arial" w:hAnsi="Arial" w:cs="Arial"/>
                <w:sz w:val="20"/>
                <w:szCs w:val="20"/>
              </w:rPr>
              <w:t xml:space="preserve">. </w:t>
            </w:r>
            <w:r w:rsidRPr="00432382">
              <w:rPr>
                <w:rFonts w:ascii="Arial" w:hAnsi="Arial" w:cs="Arial"/>
                <w:sz w:val="20"/>
                <w:szCs w:val="20"/>
              </w:rPr>
              <w:t>Calibration is required with each change in reagent lot number. Verify the calibration curve with at least two levels of controls according to the establis</w:t>
            </w:r>
            <w:bookmarkStart w:id="0" w:name="_GoBack"/>
            <w:bookmarkEnd w:id="0"/>
            <w:r w:rsidRPr="00432382">
              <w:rPr>
                <w:rFonts w:ascii="Arial" w:hAnsi="Arial" w:cs="Arial"/>
                <w:sz w:val="20"/>
                <w:szCs w:val="20"/>
              </w:rPr>
              <w:t>hed quality control requirements for your laboratory.</w:t>
            </w:r>
            <w:r w:rsidR="00FF369A" w:rsidRPr="00432382">
              <w:rPr>
                <w:rFonts w:ascii="Arial" w:hAnsi="Arial" w:cs="Arial"/>
                <w:sz w:val="20"/>
                <w:szCs w:val="20"/>
              </w:rPr>
              <w:t xml:space="preserve"> Refer to</w:t>
            </w:r>
            <w:r w:rsidR="008C7656" w:rsidRPr="00432382">
              <w:rPr>
                <w:rFonts w:ascii="Arial" w:hAnsi="Arial" w:cs="Arial"/>
                <w:sz w:val="20"/>
                <w:szCs w:val="20"/>
              </w:rPr>
              <w:t xml:space="preserve"> CH03</w:t>
            </w:r>
            <w:r w:rsidR="00FF369A" w:rsidRPr="00432382">
              <w:rPr>
                <w:rFonts w:ascii="Arial" w:hAnsi="Arial" w:cs="Arial"/>
                <w:sz w:val="20"/>
                <w:szCs w:val="20"/>
              </w:rPr>
              <w:t>-100 Appendix A for Calibrator material.</w:t>
            </w:r>
            <w:r w:rsidR="00FF369A">
              <w:rPr>
                <w:rFonts w:ascii="Arial" w:hAnsi="Arial" w:cs="Arial"/>
                <w:sz w:val="20"/>
                <w:szCs w:val="20"/>
              </w:rPr>
              <w:t xml:space="preserve"> </w:t>
            </w: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B95DBD" w:rsidTr="00A32DA2">
        <w:tc>
          <w:tcPr>
            <w:tcW w:w="2088" w:type="dxa"/>
          </w:tcPr>
          <w:p w:rsidR="00B95DBD" w:rsidRDefault="00B95DBD" w:rsidP="00C75562">
            <w:pPr>
              <w:spacing w:before="60" w:after="60"/>
              <w:rPr>
                <w:b/>
              </w:rPr>
            </w:pPr>
            <w:r>
              <w:rPr>
                <w:b/>
              </w:rPr>
              <w:t>Quality Control</w:t>
            </w:r>
          </w:p>
        </w:tc>
        <w:tc>
          <w:tcPr>
            <w:tcW w:w="6768" w:type="dxa"/>
          </w:tcPr>
          <w:p w:rsidR="00B95DBD" w:rsidRPr="00AA4103" w:rsidRDefault="00AA4103" w:rsidP="00E302AF">
            <w:pPr>
              <w:spacing w:before="60" w:after="60"/>
              <w:rPr>
                <w:rFonts w:ascii="Arial" w:hAnsi="Arial" w:cs="Arial"/>
                <w:sz w:val="20"/>
                <w:szCs w:val="20"/>
              </w:rPr>
            </w:pPr>
            <w:r w:rsidRPr="00AA4103">
              <w:rPr>
                <w:rFonts w:ascii="Arial" w:hAnsi="Arial" w:cs="Arial"/>
                <w:sz w:val="20"/>
                <w:szCs w:val="20"/>
              </w:rPr>
              <w:t>A minimum of two levels of controls spanning the medical decision</w:t>
            </w:r>
            <w:r>
              <w:rPr>
                <w:rFonts w:ascii="Arial" w:hAnsi="Arial" w:cs="Arial"/>
                <w:sz w:val="20"/>
                <w:szCs w:val="20"/>
              </w:rPr>
              <w:t xml:space="preserve"> </w:t>
            </w:r>
            <w:r w:rsidRPr="00AA4103">
              <w:rPr>
                <w:rFonts w:ascii="Arial" w:hAnsi="Arial" w:cs="Arial"/>
                <w:sz w:val="20"/>
                <w:szCs w:val="20"/>
              </w:rPr>
              <w:t>range are to be run once every 24 hours of assay use.</w:t>
            </w:r>
            <w:r>
              <w:rPr>
                <w:rFonts w:ascii="Arial" w:hAnsi="Arial" w:cs="Arial"/>
                <w:sz w:val="20"/>
                <w:szCs w:val="20"/>
              </w:rPr>
              <w:t xml:space="preserve"> </w:t>
            </w:r>
            <w:r w:rsidR="004D2A7B">
              <w:rPr>
                <w:rFonts w:ascii="Arial" w:hAnsi="Arial" w:cs="Arial"/>
                <w:sz w:val="20"/>
                <w:szCs w:val="20"/>
              </w:rPr>
              <w:t xml:space="preserve"> Refer to Chemistry QA Manual Quality Control Procedure CHQA01-002 and a</w:t>
            </w:r>
            <w:r w:rsidR="00E302AF">
              <w:rPr>
                <w:rFonts w:ascii="Arial" w:hAnsi="Arial" w:cs="Arial"/>
                <w:sz w:val="20"/>
                <w:szCs w:val="20"/>
              </w:rPr>
              <w:t>ppendix</w:t>
            </w:r>
            <w:r w:rsidR="004D2A7B">
              <w:rPr>
                <w:rFonts w:ascii="Arial" w:hAnsi="Arial" w:cs="Arial"/>
                <w:sz w:val="20"/>
                <w:szCs w:val="20"/>
              </w:rPr>
              <w:t xml:space="preserve"> CHQA01-002</w:t>
            </w:r>
            <w:r w:rsidR="00E302AF">
              <w:rPr>
                <w:rFonts w:ascii="Arial" w:hAnsi="Arial" w:cs="Arial"/>
                <w:sz w:val="20"/>
                <w:szCs w:val="20"/>
              </w:rPr>
              <w:t xml:space="preserve"> Appendix </w:t>
            </w:r>
            <w:r w:rsidR="004D2A7B">
              <w:rPr>
                <w:rFonts w:ascii="Arial" w:hAnsi="Arial" w:cs="Arial"/>
                <w:sz w:val="20"/>
                <w:szCs w:val="20"/>
              </w:rPr>
              <w:t>A, CHQA01-002</w:t>
            </w:r>
            <w:r w:rsidR="00E302AF">
              <w:rPr>
                <w:rFonts w:ascii="Arial" w:hAnsi="Arial" w:cs="Arial"/>
                <w:sz w:val="20"/>
                <w:szCs w:val="20"/>
              </w:rPr>
              <w:t xml:space="preserve"> Appendix </w:t>
            </w:r>
            <w:r w:rsidR="004D2A7B">
              <w:rPr>
                <w:rFonts w:ascii="Arial" w:hAnsi="Arial" w:cs="Arial"/>
                <w:sz w:val="20"/>
                <w:szCs w:val="20"/>
              </w:rPr>
              <w:t xml:space="preserve">B, </w:t>
            </w:r>
            <w:r w:rsidR="004D2A7B" w:rsidRPr="004D2A7B">
              <w:rPr>
                <w:rFonts w:ascii="Arial" w:hAnsi="Arial" w:cs="Arial"/>
                <w:sz w:val="20"/>
                <w:szCs w:val="20"/>
              </w:rPr>
              <w:t>CHQA01-002</w:t>
            </w:r>
            <w:r w:rsidR="00E302AF">
              <w:rPr>
                <w:rFonts w:ascii="Arial" w:hAnsi="Arial" w:cs="Arial"/>
                <w:sz w:val="20"/>
                <w:szCs w:val="20"/>
              </w:rPr>
              <w:t xml:space="preserve"> Appendix </w:t>
            </w:r>
            <w:r w:rsidR="004D2A7B">
              <w:rPr>
                <w:rFonts w:ascii="Arial" w:hAnsi="Arial" w:cs="Arial"/>
                <w:sz w:val="20"/>
                <w:szCs w:val="20"/>
              </w:rPr>
              <w:t>C for detailed instructions</w:t>
            </w:r>
            <w:r w:rsidR="003C0F35">
              <w:rPr>
                <w:rFonts w:ascii="Arial" w:hAnsi="Arial" w:cs="Arial"/>
                <w:sz w:val="20"/>
                <w:szCs w:val="20"/>
              </w:rPr>
              <w:t>, materials in use and LIS QC accession numbers.</w:t>
            </w: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493EA4" w:rsidTr="00A32DA2">
        <w:tc>
          <w:tcPr>
            <w:tcW w:w="2088" w:type="dxa"/>
          </w:tcPr>
          <w:p w:rsidR="00493EA4" w:rsidRDefault="00800BD4" w:rsidP="00C75562">
            <w:pPr>
              <w:spacing w:before="60" w:after="60"/>
              <w:rPr>
                <w:b/>
              </w:rPr>
            </w:pPr>
            <w:r>
              <w:rPr>
                <w:b/>
              </w:rPr>
              <w:t>Procedure</w:t>
            </w:r>
          </w:p>
        </w:tc>
        <w:tc>
          <w:tcPr>
            <w:tcW w:w="6768" w:type="dxa"/>
          </w:tcPr>
          <w:p w:rsidR="00493EA4" w:rsidRPr="00AA4103" w:rsidRDefault="00AA4103" w:rsidP="003C0F35">
            <w:pPr>
              <w:spacing w:before="60" w:after="60"/>
              <w:rPr>
                <w:rFonts w:ascii="Arial" w:hAnsi="Arial" w:cs="Arial"/>
                <w:sz w:val="20"/>
                <w:szCs w:val="20"/>
              </w:rPr>
            </w:pPr>
            <w:r w:rsidRPr="00AA4103">
              <w:rPr>
                <w:rFonts w:ascii="Arial" w:hAnsi="Arial" w:cs="Arial"/>
                <w:sz w:val="20"/>
                <w:szCs w:val="20"/>
              </w:rPr>
              <w:t>For a detailed description of how to run an assay on an ARCHITECT</w:t>
            </w:r>
            <w:r>
              <w:rPr>
                <w:rFonts w:ascii="Arial" w:hAnsi="Arial" w:cs="Arial"/>
                <w:sz w:val="20"/>
                <w:szCs w:val="20"/>
              </w:rPr>
              <w:t xml:space="preserve"> </w:t>
            </w:r>
            <w:r w:rsidRPr="00AA4103">
              <w:rPr>
                <w:rFonts w:ascii="Arial" w:hAnsi="Arial" w:cs="Arial"/>
                <w:i/>
                <w:sz w:val="20"/>
                <w:szCs w:val="20"/>
              </w:rPr>
              <w:t>c</w:t>
            </w:r>
            <w:r w:rsidRPr="00AA4103">
              <w:rPr>
                <w:rFonts w:ascii="Arial" w:hAnsi="Arial" w:cs="Arial"/>
                <w:sz w:val="20"/>
                <w:szCs w:val="20"/>
              </w:rPr>
              <w:t xml:space="preserve"> </w:t>
            </w:r>
            <w:r w:rsidR="00943F06" w:rsidRPr="00AA4103">
              <w:rPr>
                <w:rFonts w:ascii="Arial" w:hAnsi="Arial" w:cs="Arial"/>
                <w:sz w:val="20"/>
                <w:szCs w:val="20"/>
              </w:rPr>
              <w:t>System,</w:t>
            </w:r>
            <w:r w:rsidRPr="00AA4103">
              <w:rPr>
                <w:rFonts w:ascii="Arial" w:hAnsi="Arial" w:cs="Arial"/>
                <w:sz w:val="20"/>
                <w:szCs w:val="20"/>
              </w:rPr>
              <w:t xml:space="preserve"> refer to Section 5 of the</w:t>
            </w:r>
            <w:r>
              <w:rPr>
                <w:rFonts w:ascii="Arial" w:hAnsi="Arial" w:cs="Arial"/>
                <w:sz w:val="20"/>
                <w:szCs w:val="20"/>
              </w:rPr>
              <w:t xml:space="preserve"> </w:t>
            </w:r>
            <w:r w:rsidRPr="00AA4103">
              <w:rPr>
                <w:rFonts w:ascii="Arial" w:hAnsi="Arial" w:cs="Arial"/>
                <w:sz w:val="20"/>
                <w:szCs w:val="20"/>
              </w:rPr>
              <w:t>instrument-specific operations manual.</w:t>
            </w: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800BD4" w:rsidTr="00FF088F">
        <w:trPr>
          <w:trHeight w:val="900"/>
        </w:trPr>
        <w:tc>
          <w:tcPr>
            <w:tcW w:w="2088" w:type="dxa"/>
          </w:tcPr>
          <w:p w:rsidR="00800BD4" w:rsidRDefault="00800BD4" w:rsidP="00C75562">
            <w:pPr>
              <w:spacing w:before="60" w:after="60"/>
              <w:rPr>
                <w:b/>
              </w:rPr>
            </w:pPr>
            <w:r>
              <w:rPr>
                <w:b/>
              </w:rPr>
              <w:t>Limitation</w:t>
            </w:r>
            <w:r w:rsidR="00A32DA2">
              <w:rPr>
                <w:b/>
              </w:rPr>
              <w:t>s</w:t>
            </w:r>
            <w:r>
              <w:rPr>
                <w:b/>
              </w:rPr>
              <w:t xml:space="preserve"> of Procedure</w:t>
            </w:r>
          </w:p>
        </w:tc>
        <w:tc>
          <w:tcPr>
            <w:tcW w:w="6768" w:type="dxa"/>
          </w:tcPr>
          <w:p w:rsidR="00800BD4" w:rsidRPr="00360623" w:rsidRDefault="00FF088F" w:rsidP="00FF088F">
            <w:pPr>
              <w:autoSpaceDE w:val="0"/>
              <w:autoSpaceDN w:val="0"/>
              <w:adjustRightInd w:val="0"/>
              <w:rPr>
                <w:rFonts w:ascii="Arial" w:hAnsi="Arial" w:cs="Arial"/>
                <w:sz w:val="20"/>
                <w:szCs w:val="20"/>
              </w:rPr>
            </w:pPr>
            <w:r w:rsidRPr="00360623">
              <w:rPr>
                <w:rFonts w:ascii="Arial" w:hAnsi="Arial" w:cs="Arial"/>
                <w:sz w:val="20"/>
                <w:szCs w:val="20"/>
              </w:rPr>
              <w:t>“Interference from N</w:t>
            </w:r>
            <w:r w:rsidRPr="00360623">
              <w:rPr>
                <w:rFonts w:ascii="Cambria Math" w:hAnsi="Cambria Math" w:cs="Cambria Math"/>
                <w:sz w:val="20"/>
                <w:szCs w:val="20"/>
              </w:rPr>
              <w:t>‐</w:t>
            </w:r>
            <w:r w:rsidRPr="00360623">
              <w:rPr>
                <w:rFonts w:ascii="Arial" w:hAnsi="Arial" w:cs="Arial"/>
                <w:sz w:val="20"/>
                <w:szCs w:val="20"/>
              </w:rPr>
              <w:t xml:space="preserve">acetylcysteine (NAC) was </w:t>
            </w:r>
            <w:r w:rsidRPr="00432382">
              <w:rPr>
                <w:rFonts w:ascii="Arial" w:hAnsi="Arial" w:cs="Arial"/>
                <w:sz w:val="20"/>
                <w:szCs w:val="20"/>
              </w:rPr>
              <w:t xml:space="preserve">evaluated on a commercially available analyzer. The concentration of NAC at which acceptable acetaminophen results were obtained was </w:t>
            </w:r>
            <w:r w:rsidR="009E1F85" w:rsidRPr="00432382">
              <w:rPr>
                <w:rFonts w:ascii="Arial" w:hAnsi="Arial" w:cs="Arial"/>
                <w:sz w:val="20"/>
                <w:szCs w:val="20"/>
              </w:rPr>
              <w:t>1500</w:t>
            </w:r>
            <w:r w:rsidRPr="00432382">
              <w:rPr>
                <w:rFonts w:ascii="Arial" w:hAnsi="Arial" w:cs="Arial"/>
                <w:sz w:val="20"/>
                <w:szCs w:val="20"/>
              </w:rPr>
              <w:t xml:space="preserve"> mg/L NAC in values from a 109 μg/mL acetaminophen sample, tested two hours after the addition of NAC to a serum pool.</w:t>
            </w:r>
          </w:p>
          <w:p w:rsidR="0041076C" w:rsidRPr="00360623" w:rsidRDefault="0041076C" w:rsidP="00FF088F">
            <w:pPr>
              <w:autoSpaceDE w:val="0"/>
              <w:autoSpaceDN w:val="0"/>
              <w:adjustRightInd w:val="0"/>
              <w:rPr>
                <w:rFonts w:ascii="Arial" w:hAnsi="Arial" w:cs="Arial"/>
                <w:sz w:val="20"/>
                <w:szCs w:val="20"/>
              </w:rPr>
            </w:pPr>
          </w:p>
          <w:p w:rsidR="0041076C" w:rsidRPr="00360623" w:rsidRDefault="0041076C" w:rsidP="00FF088F">
            <w:pPr>
              <w:autoSpaceDE w:val="0"/>
              <w:autoSpaceDN w:val="0"/>
              <w:adjustRightInd w:val="0"/>
              <w:rPr>
                <w:rFonts w:ascii="Arial" w:hAnsi="Arial" w:cs="Arial"/>
                <w:sz w:val="20"/>
                <w:szCs w:val="20"/>
              </w:rPr>
            </w:pPr>
            <w:r w:rsidRPr="00360623">
              <w:rPr>
                <w:rFonts w:ascii="Arial" w:hAnsi="Arial" w:cs="Arial"/>
                <w:sz w:val="20"/>
                <w:szCs w:val="20"/>
              </w:rPr>
              <w:t>Testing performed on patients who have not received NAC, such as those drawn initially to diagnose potential acetaminophen overdose, are not impacted.</w:t>
            </w:r>
          </w:p>
          <w:p w:rsidR="001324F0" w:rsidRPr="00360623" w:rsidRDefault="001324F0" w:rsidP="00FF088F">
            <w:pPr>
              <w:autoSpaceDE w:val="0"/>
              <w:autoSpaceDN w:val="0"/>
              <w:adjustRightInd w:val="0"/>
              <w:rPr>
                <w:rFonts w:ascii="Arial" w:hAnsi="Arial" w:cs="Arial"/>
                <w:sz w:val="20"/>
                <w:szCs w:val="20"/>
              </w:rPr>
            </w:pPr>
          </w:p>
          <w:p w:rsidR="0041076C" w:rsidRPr="00360623" w:rsidRDefault="0041076C" w:rsidP="00FF088F">
            <w:pPr>
              <w:autoSpaceDE w:val="0"/>
              <w:autoSpaceDN w:val="0"/>
              <w:adjustRightInd w:val="0"/>
              <w:rPr>
                <w:rFonts w:ascii="Arial" w:hAnsi="Arial" w:cs="Arial"/>
                <w:sz w:val="20"/>
                <w:szCs w:val="20"/>
              </w:rPr>
            </w:pPr>
            <w:r w:rsidRPr="00360623">
              <w:rPr>
                <w:rFonts w:ascii="Arial" w:hAnsi="Arial" w:cs="Arial"/>
                <w:sz w:val="20"/>
                <w:szCs w:val="20"/>
              </w:rPr>
              <w:t xml:space="preserve">Testing performed on patients who have received NAC therapy have the potential to be impacted. </w:t>
            </w:r>
          </w:p>
          <w:p w:rsidR="001324F0" w:rsidRPr="00360623" w:rsidRDefault="001324F0" w:rsidP="00FF088F">
            <w:pPr>
              <w:autoSpaceDE w:val="0"/>
              <w:autoSpaceDN w:val="0"/>
              <w:adjustRightInd w:val="0"/>
              <w:rPr>
                <w:rFonts w:ascii="Arial" w:hAnsi="Arial" w:cs="Arial"/>
                <w:sz w:val="20"/>
                <w:szCs w:val="20"/>
              </w:rPr>
            </w:pPr>
          </w:p>
          <w:p w:rsidR="0041076C" w:rsidRDefault="0041076C" w:rsidP="00FF088F">
            <w:pPr>
              <w:autoSpaceDE w:val="0"/>
              <w:autoSpaceDN w:val="0"/>
              <w:adjustRightInd w:val="0"/>
              <w:rPr>
                <w:rFonts w:ascii="Arial" w:hAnsi="Arial" w:cs="Arial"/>
                <w:sz w:val="20"/>
                <w:szCs w:val="20"/>
              </w:rPr>
            </w:pPr>
            <w:r w:rsidRPr="00360623">
              <w:rPr>
                <w:rFonts w:ascii="Arial" w:hAnsi="Arial" w:cs="Arial"/>
                <w:sz w:val="20"/>
                <w:szCs w:val="20"/>
              </w:rPr>
              <w:t xml:space="preserve">Falsely depressed acetaminophen results could lead a healthcare provider to incorrectly believe that further treatment for acetaminophen </w:t>
            </w:r>
            <w:r w:rsidRPr="00360623">
              <w:rPr>
                <w:rFonts w:ascii="Arial" w:hAnsi="Arial" w:cs="Arial"/>
                <w:sz w:val="20"/>
                <w:szCs w:val="20"/>
              </w:rPr>
              <w:lastRenderedPageBreak/>
              <w:t xml:space="preserve">toxicity is not </w:t>
            </w:r>
            <w:r w:rsidR="001324F0" w:rsidRPr="00360623">
              <w:rPr>
                <w:rFonts w:ascii="Arial" w:hAnsi="Arial" w:cs="Arial"/>
                <w:sz w:val="20"/>
                <w:szCs w:val="20"/>
              </w:rPr>
              <w:t xml:space="preserve">necessary. </w:t>
            </w:r>
          </w:p>
          <w:p w:rsidR="00663B73" w:rsidRDefault="00663B73" w:rsidP="00FF088F">
            <w:pPr>
              <w:autoSpaceDE w:val="0"/>
              <w:autoSpaceDN w:val="0"/>
              <w:adjustRightInd w:val="0"/>
              <w:rPr>
                <w:rFonts w:ascii="Arial" w:hAnsi="Arial" w:cs="Arial"/>
                <w:sz w:val="20"/>
                <w:szCs w:val="20"/>
              </w:rPr>
            </w:pPr>
          </w:p>
          <w:p w:rsidR="00663B73" w:rsidRPr="00432382" w:rsidRDefault="00663B73" w:rsidP="00663B73">
            <w:pPr>
              <w:numPr>
                <w:ilvl w:val="0"/>
                <w:numId w:val="18"/>
              </w:numPr>
              <w:tabs>
                <w:tab w:val="clear" w:pos="720"/>
                <w:tab w:val="num" w:pos="252"/>
              </w:tabs>
              <w:spacing w:before="60" w:after="60"/>
              <w:ind w:left="252" w:hanging="252"/>
              <w:rPr>
                <w:rFonts w:ascii="Arial" w:hAnsi="Arial" w:cs="Arial"/>
                <w:sz w:val="20"/>
                <w:szCs w:val="20"/>
              </w:rPr>
            </w:pPr>
            <w:r w:rsidRPr="00432382">
              <w:rPr>
                <w:rFonts w:ascii="Arial" w:hAnsi="Arial" w:cs="Arial"/>
                <w:sz w:val="20"/>
                <w:szCs w:val="20"/>
              </w:rPr>
              <w:t>Hemolysis: Cancel and request recollect when Hemolysis Index &gt;200. Do not report 2+ grossly hemolyzed samples.</w:t>
            </w:r>
          </w:p>
          <w:p w:rsidR="00663B73" w:rsidRPr="00432382" w:rsidRDefault="00663B73" w:rsidP="00663B73">
            <w:pPr>
              <w:numPr>
                <w:ilvl w:val="0"/>
                <w:numId w:val="18"/>
              </w:numPr>
              <w:tabs>
                <w:tab w:val="clear" w:pos="720"/>
                <w:tab w:val="num" w:pos="252"/>
              </w:tabs>
              <w:spacing w:before="60" w:after="60"/>
              <w:ind w:left="252" w:hanging="252"/>
              <w:rPr>
                <w:rFonts w:ascii="Arial" w:hAnsi="Arial" w:cs="Arial"/>
                <w:sz w:val="20"/>
                <w:szCs w:val="20"/>
              </w:rPr>
            </w:pPr>
            <w:r w:rsidRPr="00432382">
              <w:rPr>
                <w:rFonts w:ascii="Arial" w:hAnsi="Arial" w:cs="Arial"/>
                <w:sz w:val="20"/>
                <w:szCs w:val="20"/>
              </w:rPr>
              <w:t>Icterus: Dilute to reduce icterus when Icterus Index &gt;16</w:t>
            </w:r>
          </w:p>
          <w:p w:rsidR="00663B73" w:rsidRPr="00432382" w:rsidRDefault="00663B73" w:rsidP="00663B73">
            <w:pPr>
              <w:numPr>
                <w:ilvl w:val="0"/>
                <w:numId w:val="19"/>
              </w:numPr>
              <w:spacing w:before="60" w:after="60"/>
              <w:rPr>
                <w:rFonts w:ascii="Arial" w:hAnsi="Arial" w:cs="Arial"/>
                <w:sz w:val="20"/>
                <w:szCs w:val="20"/>
              </w:rPr>
            </w:pPr>
            <w:r w:rsidRPr="00432382">
              <w:rPr>
                <w:rFonts w:ascii="Arial" w:hAnsi="Arial" w:cs="Arial"/>
                <w:sz w:val="20"/>
                <w:szCs w:val="20"/>
              </w:rPr>
              <w:t>Lipemia: Centrifuge or dilute samples when Lipemia index &gt;200.</w:t>
            </w:r>
          </w:p>
          <w:p w:rsidR="00663B73" w:rsidRPr="00663B73" w:rsidRDefault="00663B73" w:rsidP="00663B73">
            <w:pPr>
              <w:spacing w:before="60" w:after="60"/>
              <w:ind w:left="252"/>
              <w:rPr>
                <w:rFonts w:ascii="Arial" w:hAnsi="Arial" w:cs="Arial"/>
                <w:sz w:val="20"/>
                <w:szCs w:val="20"/>
              </w:rPr>
            </w:pP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AA6F98" w:rsidTr="00A32DA2">
        <w:tc>
          <w:tcPr>
            <w:tcW w:w="2088" w:type="dxa"/>
          </w:tcPr>
          <w:p w:rsidR="00AA6F98" w:rsidRDefault="00AA6F98" w:rsidP="00C911AD">
            <w:pPr>
              <w:spacing w:before="60" w:after="60"/>
              <w:rPr>
                <w:b/>
              </w:rPr>
            </w:pPr>
            <w:r>
              <w:rPr>
                <w:b/>
              </w:rPr>
              <w:t xml:space="preserve">Sensitivity </w:t>
            </w:r>
          </w:p>
        </w:tc>
        <w:tc>
          <w:tcPr>
            <w:tcW w:w="6768" w:type="dxa"/>
          </w:tcPr>
          <w:p w:rsidR="00AA6F98" w:rsidRPr="00AA4103" w:rsidRDefault="00AA4103" w:rsidP="0048679A">
            <w:pPr>
              <w:spacing w:before="60" w:after="60"/>
              <w:rPr>
                <w:rFonts w:ascii="Arial" w:hAnsi="Arial" w:cs="Arial"/>
                <w:sz w:val="20"/>
                <w:szCs w:val="20"/>
              </w:rPr>
            </w:pPr>
            <w:r>
              <w:rPr>
                <w:rFonts w:ascii="Arial" w:hAnsi="Arial" w:cs="Arial"/>
                <w:sz w:val="20"/>
                <w:szCs w:val="20"/>
              </w:rPr>
              <w:t xml:space="preserve">The </w:t>
            </w:r>
            <w:r w:rsidRPr="00AA4103">
              <w:rPr>
                <w:rFonts w:ascii="Arial" w:hAnsi="Arial" w:cs="Arial"/>
                <w:sz w:val="20"/>
                <w:szCs w:val="20"/>
              </w:rPr>
              <w:t>Limit of Quantitation (LOQ)</w:t>
            </w:r>
            <w:r>
              <w:rPr>
                <w:rFonts w:ascii="Arial" w:hAnsi="Arial" w:cs="Arial"/>
                <w:sz w:val="20"/>
                <w:szCs w:val="20"/>
              </w:rPr>
              <w:t xml:space="preserve"> </w:t>
            </w:r>
            <w:r w:rsidRPr="00AA4103">
              <w:rPr>
                <w:rFonts w:ascii="Arial" w:hAnsi="Arial" w:cs="Arial"/>
                <w:sz w:val="20"/>
                <w:szCs w:val="20"/>
              </w:rPr>
              <w:t>for the MULTIGENT Acetaminophen assay was calculated to</w:t>
            </w:r>
            <w:r>
              <w:rPr>
                <w:rFonts w:ascii="Arial" w:hAnsi="Arial" w:cs="Arial"/>
                <w:sz w:val="20"/>
                <w:szCs w:val="20"/>
              </w:rPr>
              <w:t xml:space="preserve"> </w:t>
            </w:r>
            <w:r w:rsidRPr="00AA4103">
              <w:rPr>
                <w:rFonts w:ascii="Arial" w:hAnsi="Arial" w:cs="Arial"/>
                <w:sz w:val="20"/>
                <w:szCs w:val="20"/>
              </w:rPr>
              <w:t xml:space="preserve">be 3 </w:t>
            </w:r>
            <w:r w:rsidR="0048679A">
              <w:rPr>
                <w:rFonts w:ascii="Arial" w:hAnsi="Arial" w:cs="Arial"/>
                <w:sz w:val="20"/>
                <w:szCs w:val="20"/>
              </w:rPr>
              <w:t>mcg/mL.</w:t>
            </w:r>
            <w:r w:rsidRPr="00AA4103">
              <w:rPr>
                <w:rFonts w:ascii="Arial" w:hAnsi="Arial" w:cs="Arial"/>
                <w:sz w:val="20"/>
                <w:szCs w:val="20"/>
              </w:rPr>
              <w:t xml:space="preserve"> </w:t>
            </w:r>
            <w:r w:rsidR="0048679A">
              <w:rPr>
                <w:rFonts w:ascii="Arial" w:hAnsi="Arial" w:cs="Arial"/>
                <w:sz w:val="20"/>
                <w:szCs w:val="20"/>
              </w:rPr>
              <w:t xml:space="preserve"> </w:t>
            </w:r>
          </w:p>
        </w:tc>
      </w:tr>
    </w:tbl>
    <w:p w:rsidR="00A32DA2" w:rsidRDefault="00A32DA2"/>
    <w:p w:rsidR="002D4700" w:rsidRDefault="002D4700"/>
    <w:p w:rsidR="00AA4103" w:rsidRDefault="00AA410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99245E" w:rsidTr="00816F09">
        <w:tc>
          <w:tcPr>
            <w:tcW w:w="2088" w:type="dxa"/>
          </w:tcPr>
          <w:p w:rsidR="00A10F11" w:rsidRDefault="00A10F11" w:rsidP="00816F09">
            <w:pPr>
              <w:spacing w:before="60" w:after="60"/>
              <w:rPr>
                <w:b/>
              </w:rPr>
            </w:pPr>
            <w:r>
              <w:rPr>
                <w:b/>
              </w:rPr>
              <w:t>Analyte Specs:</w:t>
            </w:r>
          </w:p>
          <w:p w:rsidR="00A10F11" w:rsidRDefault="0099245E" w:rsidP="00A10F11">
            <w:pPr>
              <w:numPr>
                <w:ilvl w:val="0"/>
                <w:numId w:val="17"/>
              </w:numPr>
              <w:tabs>
                <w:tab w:val="clear" w:pos="720"/>
                <w:tab w:val="num" w:pos="180"/>
              </w:tabs>
              <w:spacing w:before="60" w:after="60"/>
              <w:ind w:hanging="432"/>
              <w:rPr>
                <w:b/>
              </w:rPr>
            </w:pPr>
            <w:r>
              <w:rPr>
                <w:b/>
              </w:rPr>
              <w:t>Specificity</w:t>
            </w:r>
          </w:p>
          <w:p w:rsidR="00A10F11" w:rsidRDefault="00A10F11" w:rsidP="00A10F11">
            <w:pPr>
              <w:numPr>
                <w:ilvl w:val="0"/>
                <w:numId w:val="17"/>
              </w:numPr>
              <w:tabs>
                <w:tab w:val="clear" w:pos="720"/>
                <w:tab w:val="num" w:pos="180"/>
              </w:tabs>
              <w:spacing w:before="60" w:after="60"/>
              <w:ind w:hanging="432"/>
              <w:rPr>
                <w:b/>
              </w:rPr>
            </w:pPr>
            <w:r>
              <w:rPr>
                <w:b/>
              </w:rPr>
              <w:t>Precision</w:t>
            </w:r>
          </w:p>
          <w:p w:rsidR="0099245E" w:rsidRDefault="00A10F11" w:rsidP="00A10F11">
            <w:pPr>
              <w:numPr>
                <w:ilvl w:val="0"/>
                <w:numId w:val="17"/>
              </w:numPr>
              <w:tabs>
                <w:tab w:val="clear" w:pos="720"/>
                <w:tab w:val="num" w:pos="180"/>
              </w:tabs>
              <w:spacing w:before="60" w:after="60"/>
              <w:ind w:left="180" w:hanging="180"/>
              <w:rPr>
                <w:b/>
              </w:rPr>
            </w:pPr>
            <w:r>
              <w:rPr>
                <w:b/>
              </w:rPr>
              <w:t>Interfering Substances</w:t>
            </w:r>
          </w:p>
        </w:tc>
        <w:tc>
          <w:tcPr>
            <w:tcW w:w="6768" w:type="dxa"/>
          </w:tcPr>
          <w:p w:rsidR="0099245E" w:rsidRPr="0099245E" w:rsidRDefault="0099245E" w:rsidP="00816F09">
            <w:pPr>
              <w:spacing w:before="60" w:after="60"/>
              <w:rPr>
                <w:rFonts w:ascii="Arial" w:hAnsi="Arial" w:cs="Arial"/>
                <w:sz w:val="20"/>
                <w:szCs w:val="20"/>
              </w:rPr>
            </w:pPr>
            <w:r>
              <w:rPr>
                <w:rFonts w:ascii="Arial" w:hAnsi="Arial" w:cs="Arial"/>
                <w:sz w:val="20"/>
                <w:szCs w:val="20"/>
              </w:rPr>
              <w:t>Refer to Package Insert for Specific Performance Characteristics.</w:t>
            </w:r>
          </w:p>
        </w:tc>
      </w:tr>
    </w:tbl>
    <w:p w:rsidR="0099245E" w:rsidRDefault="009924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002EC0" w:rsidRPr="00432382" w:rsidTr="00A32DA2">
        <w:tc>
          <w:tcPr>
            <w:tcW w:w="2088" w:type="dxa"/>
          </w:tcPr>
          <w:p w:rsidR="00002EC0" w:rsidRPr="00432382" w:rsidRDefault="00002EC0" w:rsidP="00A10F11">
            <w:pPr>
              <w:spacing w:before="60" w:after="60"/>
              <w:ind w:right="972"/>
              <w:rPr>
                <w:b/>
              </w:rPr>
            </w:pPr>
            <w:r w:rsidRPr="00432382">
              <w:rPr>
                <w:b/>
              </w:rPr>
              <w:t xml:space="preserve">Dilution </w:t>
            </w:r>
          </w:p>
        </w:tc>
        <w:tc>
          <w:tcPr>
            <w:tcW w:w="6768" w:type="dxa"/>
          </w:tcPr>
          <w:p w:rsidR="00002EC0" w:rsidRPr="00432382" w:rsidRDefault="00AA4103" w:rsidP="00AA4103">
            <w:pPr>
              <w:spacing w:before="60" w:after="60"/>
              <w:rPr>
                <w:rFonts w:ascii="Arial" w:hAnsi="Arial" w:cs="Arial"/>
                <w:sz w:val="20"/>
                <w:szCs w:val="20"/>
              </w:rPr>
            </w:pPr>
            <w:r w:rsidRPr="00432382">
              <w:rPr>
                <w:rFonts w:ascii="Arial" w:hAnsi="Arial" w:cs="Arial"/>
                <w:sz w:val="20"/>
                <w:szCs w:val="20"/>
              </w:rPr>
              <w:t xml:space="preserve">Specimens with acetaminophen values exceeding </w:t>
            </w:r>
            <w:r w:rsidR="00A10D54" w:rsidRPr="00432382">
              <w:rPr>
                <w:rFonts w:ascii="Arial" w:hAnsi="Arial" w:cs="Arial"/>
                <w:sz w:val="20"/>
                <w:szCs w:val="20"/>
              </w:rPr>
              <w:t>230</w:t>
            </w:r>
            <w:r w:rsidRPr="00432382">
              <w:rPr>
                <w:rFonts w:ascii="Arial" w:hAnsi="Arial" w:cs="Arial"/>
                <w:sz w:val="20"/>
                <w:szCs w:val="20"/>
              </w:rPr>
              <w:t xml:space="preserve"> </w:t>
            </w:r>
            <w:r w:rsidR="0048679A" w:rsidRPr="00432382">
              <w:rPr>
                <w:rFonts w:ascii="Arial" w:hAnsi="Arial" w:cs="Arial"/>
                <w:sz w:val="20"/>
                <w:szCs w:val="20"/>
              </w:rPr>
              <w:t>mcg/mL</w:t>
            </w:r>
            <w:r w:rsidRPr="00432382">
              <w:rPr>
                <w:rFonts w:ascii="Arial" w:hAnsi="Arial" w:cs="Arial"/>
                <w:sz w:val="20"/>
                <w:szCs w:val="20"/>
              </w:rPr>
              <w:t xml:space="preserve"> are flagged and may be diluted using the Manual Dilution Procedure.</w:t>
            </w:r>
            <w:r w:rsidR="00C5067B">
              <w:rPr>
                <w:rFonts w:ascii="Arial" w:hAnsi="Arial" w:cs="Arial"/>
                <w:sz w:val="20"/>
                <w:szCs w:val="20"/>
              </w:rPr>
              <w:t xml:space="preserve"> </w:t>
            </w:r>
          </w:p>
          <w:p w:rsidR="00AA4103" w:rsidRPr="00432382" w:rsidRDefault="00AA4103" w:rsidP="00AA4103">
            <w:pPr>
              <w:spacing w:before="60" w:after="60"/>
              <w:rPr>
                <w:rFonts w:ascii="Arial" w:hAnsi="Arial" w:cs="Arial"/>
                <w:sz w:val="20"/>
                <w:szCs w:val="20"/>
              </w:rPr>
            </w:pPr>
            <w:r w:rsidRPr="00432382">
              <w:rPr>
                <w:rFonts w:ascii="Arial" w:hAnsi="Arial" w:cs="Arial"/>
                <w:sz w:val="20"/>
                <w:szCs w:val="20"/>
              </w:rPr>
              <w:t>A manual dilution can be performed on patient samples with</w:t>
            </w:r>
            <w:r w:rsidR="002D4700" w:rsidRPr="00432382">
              <w:rPr>
                <w:rFonts w:ascii="Arial" w:hAnsi="Arial" w:cs="Arial"/>
                <w:sz w:val="20"/>
                <w:szCs w:val="20"/>
              </w:rPr>
              <w:t xml:space="preserve"> </w:t>
            </w:r>
            <w:r w:rsidRPr="00432382">
              <w:rPr>
                <w:rFonts w:ascii="Arial" w:hAnsi="Arial" w:cs="Arial"/>
                <w:sz w:val="20"/>
                <w:szCs w:val="20"/>
              </w:rPr>
              <w:t xml:space="preserve">acetaminophen concentrations reported as greater than </w:t>
            </w:r>
            <w:r w:rsidR="00A10D54" w:rsidRPr="00432382">
              <w:rPr>
                <w:rFonts w:ascii="Arial" w:hAnsi="Arial" w:cs="Arial"/>
                <w:sz w:val="20"/>
                <w:szCs w:val="20"/>
              </w:rPr>
              <w:t>230</w:t>
            </w:r>
            <w:r w:rsidRPr="00432382">
              <w:rPr>
                <w:rFonts w:ascii="Arial" w:hAnsi="Arial" w:cs="Arial"/>
                <w:sz w:val="20"/>
                <w:szCs w:val="20"/>
              </w:rPr>
              <w:t xml:space="preserve"> </w:t>
            </w:r>
            <w:r w:rsidR="0048679A" w:rsidRPr="00432382">
              <w:rPr>
                <w:rFonts w:ascii="Arial" w:hAnsi="Arial" w:cs="Arial"/>
                <w:sz w:val="20"/>
                <w:szCs w:val="20"/>
              </w:rPr>
              <w:t>mcg/mL</w:t>
            </w:r>
            <w:r w:rsidRPr="00432382">
              <w:rPr>
                <w:rFonts w:ascii="Arial" w:hAnsi="Arial" w:cs="Arial"/>
                <w:sz w:val="20"/>
                <w:szCs w:val="20"/>
              </w:rPr>
              <w:t xml:space="preserve"> by making a dilution of the specimen with saline before pipetting the sample into the sample cup. The dilution must be performed so the diluted test results read greater than the assay sensitivity of 3 </w:t>
            </w:r>
            <w:r w:rsidR="0048679A" w:rsidRPr="00432382">
              <w:rPr>
                <w:rFonts w:ascii="Arial" w:hAnsi="Arial" w:cs="Arial"/>
                <w:sz w:val="20"/>
                <w:szCs w:val="20"/>
              </w:rPr>
              <w:t>mcg/mL</w:t>
            </w:r>
            <w:r w:rsidRPr="00432382">
              <w:rPr>
                <w:rFonts w:ascii="Arial" w:hAnsi="Arial" w:cs="Arial"/>
                <w:sz w:val="20"/>
                <w:szCs w:val="20"/>
              </w:rPr>
              <w:t xml:space="preserve">. </w:t>
            </w:r>
          </w:p>
          <w:p w:rsidR="00AA4103" w:rsidRPr="00432382" w:rsidRDefault="00AA4103" w:rsidP="00AA4103">
            <w:pPr>
              <w:spacing w:before="60" w:after="60"/>
              <w:rPr>
                <w:rFonts w:ascii="Arial" w:hAnsi="Arial" w:cs="Arial"/>
                <w:sz w:val="20"/>
                <w:szCs w:val="20"/>
              </w:rPr>
            </w:pPr>
            <w:r w:rsidRPr="00432382">
              <w:rPr>
                <w:rFonts w:ascii="Arial" w:hAnsi="Arial" w:cs="Arial"/>
                <w:sz w:val="20"/>
                <w:szCs w:val="20"/>
              </w:rPr>
              <w:t>The operator must enter the manual dilution factor in the patient or control order screen. The system uses this dilution factor to automatically correct the concentration by multiplying the result by the entered factor. The printed result is the reportable result if no errors are present. If the operator does not enter the manual dilution factor, the printed result must be multiplied by the manual dilution factor before reporting the result.</w:t>
            </w:r>
          </w:p>
        </w:tc>
      </w:tr>
    </w:tbl>
    <w:p w:rsidR="00A32DA2" w:rsidRPr="0043238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321A20" w:rsidRPr="00432382" w:rsidTr="00A32DA2">
        <w:tc>
          <w:tcPr>
            <w:tcW w:w="2088" w:type="dxa"/>
          </w:tcPr>
          <w:p w:rsidR="00321A20" w:rsidRPr="00432382" w:rsidRDefault="0099245E" w:rsidP="00E12989">
            <w:pPr>
              <w:spacing w:before="60" w:after="60"/>
              <w:rPr>
                <w:b/>
              </w:rPr>
            </w:pPr>
            <w:r w:rsidRPr="00432382">
              <w:rPr>
                <w:b/>
              </w:rPr>
              <w:t>Unit of M</w:t>
            </w:r>
            <w:r w:rsidR="00321A20" w:rsidRPr="00432382">
              <w:rPr>
                <w:b/>
              </w:rPr>
              <w:t>easure</w:t>
            </w:r>
          </w:p>
        </w:tc>
        <w:tc>
          <w:tcPr>
            <w:tcW w:w="6768" w:type="dxa"/>
          </w:tcPr>
          <w:p w:rsidR="00321A20" w:rsidRPr="00432382" w:rsidRDefault="0048679A" w:rsidP="006C3292">
            <w:pPr>
              <w:spacing w:before="60" w:after="60"/>
              <w:rPr>
                <w:rFonts w:ascii="Arial" w:hAnsi="Arial" w:cs="Arial"/>
                <w:sz w:val="20"/>
                <w:szCs w:val="20"/>
              </w:rPr>
            </w:pPr>
            <w:r w:rsidRPr="00432382">
              <w:rPr>
                <w:rFonts w:ascii="Arial" w:hAnsi="Arial" w:cs="Arial"/>
                <w:sz w:val="20"/>
                <w:szCs w:val="20"/>
              </w:rPr>
              <w:t>mcg/mL</w:t>
            </w:r>
          </w:p>
        </w:tc>
      </w:tr>
    </w:tbl>
    <w:p w:rsidR="008C33D8" w:rsidRPr="00432382" w:rsidRDefault="008C33D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6768"/>
      </w:tblGrid>
      <w:tr w:rsidR="00E85B3D" w:rsidTr="00A32DA2">
        <w:tc>
          <w:tcPr>
            <w:tcW w:w="2088" w:type="dxa"/>
          </w:tcPr>
          <w:p w:rsidR="00E85B3D" w:rsidRPr="00432382" w:rsidRDefault="00261589" w:rsidP="00E85B3D">
            <w:pPr>
              <w:spacing w:before="60" w:after="60"/>
              <w:rPr>
                <w:b/>
              </w:rPr>
            </w:pPr>
            <w:r w:rsidRPr="00432382">
              <w:rPr>
                <w:b/>
              </w:rPr>
              <w:t>Analytical Measurement Range</w:t>
            </w:r>
          </w:p>
        </w:tc>
        <w:tc>
          <w:tcPr>
            <w:tcW w:w="6768" w:type="dxa"/>
            <w:shd w:val="clear" w:color="auto" w:fill="auto"/>
          </w:tcPr>
          <w:p w:rsidR="00E85B3D" w:rsidRPr="00AA4103" w:rsidRDefault="00AA4103" w:rsidP="00A10D54">
            <w:pPr>
              <w:spacing w:before="60" w:after="60"/>
              <w:rPr>
                <w:rFonts w:ascii="Arial" w:hAnsi="Arial" w:cs="Arial"/>
                <w:sz w:val="20"/>
                <w:szCs w:val="20"/>
              </w:rPr>
            </w:pPr>
            <w:r w:rsidRPr="00432382">
              <w:rPr>
                <w:rFonts w:ascii="Arial" w:hAnsi="Arial" w:cs="Arial"/>
                <w:sz w:val="20"/>
                <w:szCs w:val="20"/>
              </w:rPr>
              <w:t xml:space="preserve">The </w:t>
            </w:r>
            <w:r w:rsidR="00261589" w:rsidRPr="00432382">
              <w:rPr>
                <w:rFonts w:ascii="Arial" w:hAnsi="Arial" w:cs="Arial"/>
                <w:sz w:val="20"/>
                <w:szCs w:val="20"/>
              </w:rPr>
              <w:t>Analytical Measurement Range</w:t>
            </w:r>
            <w:r w:rsidR="00A10D54" w:rsidRPr="00432382">
              <w:rPr>
                <w:rFonts w:ascii="Arial" w:hAnsi="Arial" w:cs="Arial"/>
                <w:sz w:val="20"/>
                <w:szCs w:val="20"/>
              </w:rPr>
              <w:t xml:space="preserve"> of the assay is 3 to 230</w:t>
            </w:r>
            <w:r w:rsidRPr="00432382">
              <w:rPr>
                <w:rFonts w:ascii="Arial" w:hAnsi="Arial" w:cs="Arial"/>
                <w:sz w:val="20"/>
                <w:szCs w:val="20"/>
              </w:rPr>
              <w:t xml:space="preserve"> </w:t>
            </w:r>
            <w:r w:rsidR="0048679A" w:rsidRPr="00432382">
              <w:rPr>
                <w:rFonts w:ascii="Arial" w:hAnsi="Arial" w:cs="Arial"/>
                <w:sz w:val="20"/>
                <w:szCs w:val="20"/>
              </w:rPr>
              <w:t>mcg/mL</w:t>
            </w:r>
            <w:r w:rsidRPr="00432382">
              <w:rPr>
                <w:rFonts w:ascii="Arial" w:hAnsi="Arial" w:cs="Arial"/>
                <w:sz w:val="20"/>
                <w:szCs w:val="20"/>
              </w:rPr>
              <w:t>.</w:t>
            </w:r>
            <w:r w:rsidR="008B6043">
              <w:rPr>
                <w:rFonts w:ascii="Arial" w:hAnsi="Arial" w:cs="Arial"/>
                <w:sz w:val="20"/>
                <w:szCs w:val="20"/>
              </w:rPr>
              <w:t xml:space="preserve"> </w:t>
            </w:r>
          </w:p>
        </w:tc>
      </w:tr>
    </w:tbl>
    <w:p w:rsidR="00A32DA2" w:rsidRDefault="00A32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1620"/>
        <w:gridCol w:w="2574"/>
        <w:gridCol w:w="2574"/>
      </w:tblGrid>
      <w:tr w:rsidR="008C33D8" w:rsidTr="009C6F0E">
        <w:tc>
          <w:tcPr>
            <w:tcW w:w="2088" w:type="dxa"/>
            <w:vMerge w:val="restart"/>
          </w:tcPr>
          <w:p w:rsidR="008C33D8" w:rsidRPr="008C33D8" w:rsidRDefault="008C33D8" w:rsidP="00E12989">
            <w:pPr>
              <w:spacing w:before="60" w:after="60"/>
              <w:rPr>
                <w:b/>
              </w:rPr>
            </w:pPr>
            <w:r>
              <w:rPr>
                <w:b/>
              </w:rPr>
              <w:t>Results</w:t>
            </w:r>
          </w:p>
        </w:tc>
        <w:tc>
          <w:tcPr>
            <w:tcW w:w="1620" w:type="dxa"/>
            <w:shd w:val="clear" w:color="auto" w:fill="auto"/>
          </w:tcPr>
          <w:p w:rsidR="008C33D8" w:rsidRDefault="008C33D8" w:rsidP="00E12989">
            <w:pPr>
              <w:spacing w:before="60" w:after="60"/>
            </w:pPr>
          </w:p>
        </w:tc>
        <w:tc>
          <w:tcPr>
            <w:tcW w:w="2574" w:type="dxa"/>
            <w:shd w:val="clear" w:color="auto" w:fill="auto"/>
          </w:tcPr>
          <w:p w:rsidR="008C33D8" w:rsidRPr="0099245E" w:rsidRDefault="008C33D8" w:rsidP="000745BD">
            <w:pPr>
              <w:spacing w:before="60" w:after="60"/>
              <w:rPr>
                <w:rFonts w:ascii="Arial" w:hAnsi="Arial" w:cs="Arial"/>
                <w:sz w:val="20"/>
                <w:szCs w:val="20"/>
              </w:rPr>
            </w:pPr>
          </w:p>
        </w:tc>
        <w:tc>
          <w:tcPr>
            <w:tcW w:w="2574" w:type="dxa"/>
            <w:shd w:val="clear" w:color="auto" w:fill="auto"/>
          </w:tcPr>
          <w:p w:rsidR="008C33D8" w:rsidRPr="0099245E" w:rsidRDefault="008C33D8" w:rsidP="000745BD">
            <w:pPr>
              <w:spacing w:before="60" w:after="60"/>
              <w:rPr>
                <w:rFonts w:ascii="Arial" w:hAnsi="Arial" w:cs="Arial"/>
                <w:sz w:val="20"/>
                <w:szCs w:val="20"/>
              </w:rPr>
            </w:pPr>
          </w:p>
        </w:tc>
      </w:tr>
      <w:tr w:rsidR="008C33D8" w:rsidTr="009C6F0E">
        <w:tc>
          <w:tcPr>
            <w:tcW w:w="2088" w:type="dxa"/>
            <w:vMerge/>
          </w:tcPr>
          <w:p w:rsidR="008C33D8" w:rsidRDefault="008C33D8" w:rsidP="00E12989">
            <w:pPr>
              <w:spacing w:before="60" w:after="60"/>
              <w:rPr>
                <w:b/>
              </w:rPr>
            </w:pPr>
          </w:p>
        </w:tc>
        <w:tc>
          <w:tcPr>
            <w:tcW w:w="1620" w:type="dxa"/>
            <w:shd w:val="clear" w:color="auto" w:fill="auto"/>
          </w:tcPr>
          <w:p w:rsidR="008C33D8" w:rsidRPr="002A5115" w:rsidRDefault="008C33D8" w:rsidP="00E12989">
            <w:pPr>
              <w:spacing w:before="60" w:after="60"/>
              <w:rPr>
                <w:b/>
              </w:rPr>
            </w:pPr>
            <w:r w:rsidRPr="002A5115">
              <w:rPr>
                <w:b/>
              </w:rPr>
              <w:t xml:space="preserve">Reference </w:t>
            </w:r>
            <w:r w:rsidR="0048679A">
              <w:rPr>
                <w:b/>
              </w:rPr>
              <w:t xml:space="preserve">  </w:t>
            </w:r>
            <w:r w:rsidRPr="002A5115">
              <w:rPr>
                <w:b/>
              </w:rPr>
              <w:t>Range</w:t>
            </w:r>
          </w:p>
        </w:tc>
        <w:tc>
          <w:tcPr>
            <w:tcW w:w="2574" w:type="dxa"/>
            <w:shd w:val="clear" w:color="auto" w:fill="auto"/>
          </w:tcPr>
          <w:p w:rsidR="008C33D8" w:rsidRPr="0099245E" w:rsidRDefault="0048679A" w:rsidP="006C3292">
            <w:pPr>
              <w:spacing w:before="60" w:after="60"/>
              <w:rPr>
                <w:rFonts w:ascii="Arial" w:hAnsi="Arial" w:cs="Arial"/>
                <w:sz w:val="20"/>
                <w:szCs w:val="20"/>
              </w:rPr>
            </w:pPr>
            <w:r>
              <w:rPr>
                <w:rFonts w:ascii="Arial" w:hAnsi="Arial" w:cs="Arial"/>
                <w:sz w:val="20"/>
                <w:szCs w:val="20"/>
              </w:rPr>
              <w:t>10-25 mcg/mL</w:t>
            </w:r>
          </w:p>
        </w:tc>
        <w:tc>
          <w:tcPr>
            <w:tcW w:w="2574" w:type="dxa"/>
            <w:shd w:val="clear" w:color="auto" w:fill="auto"/>
          </w:tcPr>
          <w:p w:rsidR="008C33D8" w:rsidRPr="0099245E" w:rsidRDefault="008C33D8" w:rsidP="00F10938">
            <w:pPr>
              <w:spacing w:before="60" w:after="60"/>
              <w:rPr>
                <w:rFonts w:ascii="Arial" w:hAnsi="Arial" w:cs="Arial"/>
                <w:sz w:val="20"/>
                <w:szCs w:val="20"/>
              </w:rPr>
            </w:pPr>
          </w:p>
        </w:tc>
      </w:tr>
      <w:tr w:rsidR="008C33D8" w:rsidTr="009C6F0E">
        <w:tc>
          <w:tcPr>
            <w:tcW w:w="2088" w:type="dxa"/>
            <w:vMerge/>
          </w:tcPr>
          <w:p w:rsidR="008C33D8" w:rsidRDefault="008C33D8" w:rsidP="00E12989">
            <w:pPr>
              <w:spacing w:before="60" w:after="60"/>
              <w:rPr>
                <w:b/>
              </w:rPr>
            </w:pPr>
          </w:p>
        </w:tc>
        <w:tc>
          <w:tcPr>
            <w:tcW w:w="1620" w:type="dxa"/>
            <w:shd w:val="clear" w:color="auto" w:fill="auto"/>
          </w:tcPr>
          <w:p w:rsidR="008C33D8" w:rsidRPr="002A5115" w:rsidRDefault="008C33D8" w:rsidP="00E12989">
            <w:pPr>
              <w:spacing w:before="60" w:after="60"/>
              <w:rPr>
                <w:b/>
              </w:rPr>
            </w:pPr>
            <w:r w:rsidRPr="002A5115">
              <w:rPr>
                <w:b/>
              </w:rPr>
              <w:t>Alert Values</w:t>
            </w:r>
          </w:p>
        </w:tc>
        <w:tc>
          <w:tcPr>
            <w:tcW w:w="2574" w:type="dxa"/>
            <w:shd w:val="clear" w:color="auto" w:fill="auto"/>
          </w:tcPr>
          <w:p w:rsidR="008C33D8" w:rsidRDefault="0048679A" w:rsidP="0048679A">
            <w:pPr>
              <w:spacing w:before="60" w:after="60"/>
              <w:rPr>
                <w:rFonts w:ascii="Arial" w:hAnsi="Arial" w:cs="Arial"/>
                <w:sz w:val="20"/>
                <w:szCs w:val="20"/>
              </w:rPr>
            </w:pPr>
            <w:r>
              <w:rPr>
                <w:rFonts w:ascii="Arial" w:hAnsi="Arial" w:cs="Arial"/>
                <w:sz w:val="20"/>
                <w:szCs w:val="20"/>
              </w:rPr>
              <w:t>≥ 50 mcg/mL</w:t>
            </w:r>
          </w:p>
          <w:p w:rsidR="00663B73" w:rsidRPr="0099245E" w:rsidRDefault="00663B73" w:rsidP="0048679A">
            <w:pPr>
              <w:spacing w:before="60" w:after="60"/>
              <w:rPr>
                <w:rFonts w:ascii="Arial" w:hAnsi="Arial" w:cs="Arial"/>
                <w:sz w:val="20"/>
                <w:szCs w:val="20"/>
              </w:rPr>
            </w:pPr>
          </w:p>
        </w:tc>
        <w:tc>
          <w:tcPr>
            <w:tcW w:w="2574" w:type="dxa"/>
            <w:shd w:val="clear" w:color="auto" w:fill="auto"/>
          </w:tcPr>
          <w:p w:rsidR="008C33D8" w:rsidRPr="0099245E" w:rsidRDefault="008C33D8" w:rsidP="00A32DA2">
            <w:pPr>
              <w:spacing w:before="60" w:after="60"/>
              <w:rPr>
                <w:rFonts w:ascii="Arial" w:hAnsi="Arial" w:cs="Arial"/>
                <w:sz w:val="20"/>
                <w:szCs w:val="20"/>
              </w:rPr>
            </w:pPr>
          </w:p>
        </w:tc>
      </w:tr>
      <w:tr w:rsidR="006C3292" w:rsidRPr="00AB206B" w:rsidTr="00944C3E">
        <w:tc>
          <w:tcPr>
            <w:tcW w:w="2088" w:type="dxa"/>
          </w:tcPr>
          <w:p w:rsidR="006C3292" w:rsidRDefault="006C3292" w:rsidP="00944C3E">
            <w:pPr>
              <w:spacing w:before="60" w:after="60"/>
              <w:rPr>
                <w:b/>
              </w:rPr>
            </w:pPr>
            <w:r>
              <w:rPr>
                <w:b/>
              </w:rPr>
              <w:t>R</w:t>
            </w:r>
            <w:r w:rsidRPr="002A5115">
              <w:rPr>
                <w:b/>
              </w:rPr>
              <w:t>eport</w:t>
            </w:r>
            <w:r w:rsidR="00B45A68">
              <w:rPr>
                <w:b/>
              </w:rPr>
              <w:t>ing Results</w:t>
            </w:r>
          </w:p>
        </w:tc>
        <w:tc>
          <w:tcPr>
            <w:tcW w:w="6768" w:type="dxa"/>
            <w:gridSpan w:val="3"/>
            <w:shd w:val="clear" w:color="auto" w:fill="auto"/>
          </w:tcPr>
          <w:p w:rsidR="006C3292" w:rsidRDefault="00E0787F" w:rsidP="003A5F95">
            <w:pPr>
              <w:spacing w:before="60" w:after="60"/>
              <w:rPr>
                <w:rFonts w:ascii="Arial" w:hAnsi="Arial" w:cs="Arial"/>
                <w:sz w:val="20"/>
                <w:szCs w:val="20"/>
              </w:rPr>
            </w:pPr>
            <w:r>
              <w:rPr>
                <w:rFonts w:ascii="Arial" w:hAnsi="Arial" w:cs="Arial"/>
                <w:sz w:val="20"/>
                <w:szCs w:val="20"/>
              </w:rPr>
              <w:t>Results are interfaced to the LIS and verified by the tech</w:t>
            </w:r>
            <w:r w:rsidR="00192A43">
              <w:rPr>
                <w:rFonts w:ascii="Arial" w:hAnsi="Arial" w:cs="Arial"/>
                <w:sz w:val="20"/>
                <w:szCs w:val="20"/>
              </w:rPr>
              <w:t xml:space="preserve"> or auto-verified by the LIS as appropriate</w:t>
            </w:r>
            <w:r>
              <w:rPr>
                <w:rFonts w:ascii="Arial" w:hAnsi="Arial" w:cs="Arial"/>
                <w:sz w:val="20"/>
                <w:szCs w:val="20"/>
              </w:rPr>
              <w:t>.</w:t>
            </w:r>
          </w:p>
          <w:p w:rsidR="00D40618" w:rsidRDefault="00D40618" w:rsidP="00D40618">
            <w:pPr>
              <w:spacing w:before="60" w:after="60"/>
              <w:rPr>
                <w:rFonts w:ascii="Arial" w:hAnsi="Arial" w:cs="Arial"/>
                <w:sz w:val="20"/>
                <w:szCs w:val="20"/>
              </w:rPr>
            </w:pPr>
            <w:r w:rsidRPr="00D40618">
              <w:rPr>
                <w:rFonts w:ascii="Arial" w:hAnsi="Arial" w:cs="Arial"/>
                <w:sz w:val="20"/>
                <w:szCs w:val="20"/>
              </w:rPr>
              <w:t>Results lower than 3 mcg/mL are reported as &lt;3 mcg/mL.</w:t>
            </w:r>
          </w:p>
          <w:p w:rsidR="00D40618" w:rsidRPr="0099245E" w:rsidRDefault="00A10D54" w:rsidP="00A10D54">
            <w:pPr>
              <w:spacing w:before="60" w:after="60"/>
              <w:rPr>
                <w:rFonts w:ascii="Arial" w:hAnsi="Arial" w:cs="Arial"/>
                <w:sz w:val="20"/>
                <w:szCs w:val="20"/>
              </w:rPr>
            </w:pPr>
            <w:r>
              <w:rPr>
                <w:rFonts w:ascii="Arial" w:hAnsi="Arial" w:cs="Arial"/>
                <w:sz w:val="20"/>
                <w:szCs w:val="20"/>
              </w:rPr>
              <w:t xml:space="preserve">Results higher </w:t>
            </w:r>
            <w:r w:rsidRPr="00432382">
              <w:rPr>
                <w:rFonts w:ascii="Arial" w:hAnsi="Arial" w:cs="Arial"/>
                <w:sz w:val="20"/>
                <w:szCs w:val="20"/>
              </w:rPr>
              <w:t xml:space="preserve">than 2300 </w:t>
            </w:r>
            <w:r w:rsidR="00D40618" w:rsidRPr="00432382">
              <w:rPr>
                <w:rFonts w:ascii="Arial" w:hAnsi="Arial" w:cs="Arial"/>
                <w:sz w:val="20"/>
                <w:szCs w:val="20"/>
              </w:rPr>
              <w:t>mcg/mL are reported as &gt;</w:t>
            </w:r>
            <w:r w:rsidRPr="00432382">
              <w:rPr>
                <w:rFonts w:ascii="Arial" w:hAnsi="Arial" w:cs="Arial"/>
                <w:sz w:val="20"/>
                <w:szCs w:val="20"/>
              </w:rPr>
              <w:t>2300</w:t>
            </w:r>
            <w:r w:rsidR="00D40618" w:rsidRPr="00432382">
              <w:rPr>
                <w:rFonts w:ascii="Arial" w:hAnsi="Arial" w:cs="Arial"/>
                <w:sz w:val="20"/>
                <w:szCs w:val="20"/>
              </w:rPr>
              <w:t xml:space="preserve"> mcg</w:t>
            </w:r>
            <w:r w:rsidR="00D40618">
              <w:rPr>
                <w:rFonts w:ascii="Arial" w:hAnsi="Arial" w:cs="Arial"/>
                <w:sz w:val="20"/>
                <w:szCs w:val="20"/>
              </w:rPr>
              <w:t>/mL.</w:t>
            </w:r>
          </w:p>
        </w:tc>
      </w:tr>
    </w:tbl>
    <w:p w:rsidR="0048679A" w:rsidRDefault="0048679A" w:rsidP="009953AF">
      <w:pPr>
        <w:rPr>
          <w:b/>
          <w:sz w:val="22"/>
          <w:szCs w:val="22"/>
        </w:rPr>
      </w:pPr>
    </w:p>
    <w:p w:rsidR="005E22DE" w:rsidRDefault="005E22DE"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5E22DE" w:rsidRDefault="005E22DE" w:rsidP="009953AF">
      <w:pPr>
        <w:rPr>
          <w:b/>
          <w:sz w:val="22"/>
          <w:szCs w:val="22"/>
        </w:rPr>
      </w:pPr>
    </w:p>
    <w:p w:rsidR="005E22DE" w:rsidRDefault="005E22DE" w:rsidP="009953AF">
      <w:pPr>
        <w:rPr>
          <w:b/>
          <w:sz w:val="22"/>
          <w:szCs w:val="22"/>
        </w:rPr>
      </w:pPr>
    </w:p>
    <w:p w:rsidR="005E22DE" w:rsidRDefault="005E22DE"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663B73" w:rsidRDefault="00663B73" w:rsidP="009953AF">
      <w:pPr>
        <w:rPr>
          <w:b/>
          <w:sz w:val="22"/>
          <w:szCs w:val="22"/>
        </w:rPr>
      </w:pPr>
    </w:p>
    <w:p w:rsidR="001E3E44" w:rsidRDefault="001E3E44" w:rsidP="009953AF">
      <w:pPr>
        <w:rPr>
          <w:b/>
          <w:sz w:val="22"/>
          <w:szCs w:val="22"/>
        </w:rPr>
      </w:pPr>
    </w:p>
    <w:p w:rsidR="001E3E44" w:rsidRDefault="001E3E44" w:rsidP="009953AF">
      <w:pPr>
        <w:rPr>
          <w:b/>
          <w:sz w:val="22"/>
          <w:szCs w:val="22"/>
        </w:rPr>
      </w:pPr>
    </w:p>
    <w:p w:rsidR="001E3E44" w:rsidRDefault="001E3E44" w:rsidP="009953AF">
      <w:pPr>
        <w:rPr>
          <w:b/>
          <w:sz w:val="22"/>
          <w:szCs w:val="22"/>
        </w:rPr>
      </w:pPr>
    </w:p>
    <w:p w:rsidR="001E3E44" w:rsidRDefault="001E3E44" w:rsidP="009953AF">
      <w:pPr>
        <w:rPr>
          <w:b/>
          <w:sz w:val="22"/>
          <w:szCs w:val="22"/>
        </w:rPr>
      </w:pPr>
    </w:p>
    <w:p w:rsidR="00663B73" w:rsidRDefault="00663B73" w:rsidP="009953AF">
      <w:pPr>
        <w:rPr>
          <w:b/>
          <w:sz w:val="22"/>
          <w:szCs w:val="22"/>
        </w:rPr>
      </w:pPr>
    </w:p>
    <w:p w:rsidR="009953AF" w:rsidRDefault="009953AF" w:rsidP="009953AF">
      <w:pPr>
        <w:rPr>
          <w:b/>
          <w:sz w:val="22"/>
          <w:szCs w:val="22"/>
        </w:rPr>
      </w:pPr>
      <w:r w:rsidRPr="00E57CAA">
        <w:rPr>
          <w:b/>
          <w:sz w:val="22"/>
          <w:szCs w:val="22"/>
        </w:rPr>
        <w:t>Approval Signature</w:t>
      </w:r>
      <w:r>
        <w:rPr>
          <w:b/>
          <w:sz w:val="22"/>
          <w:szCs w:val="22"/>
        </w:rPr>
        <w:t>s</w:t>
      </w:r>
      <w:r w:rsidRPr="00E57CAA">
        <w:rPr>
          <w:b/>
          <w:sz w:val="22"/>
          <w:szCs w:val="22"/>
        </w:rPr>
        <w:t>:</w:t>
      </w:r>
    </w:p>
    <w:p w:rsidR="009953AF" w:rsidRPr="00E57CAA" w:rsidRDefault="009953AF" w:rsidP="009953AF">
      <w:pPr>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4410"/>
        <w:gridCol w:w="3960"/>
      </w:tblGrid>
      <w:tr w:rsidR="009953AF" w:rsidRPr="00E57CAA" w:rsidTr="0048679A">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9953AF" w:rsidRPr="00E57CAA" w:rsidRDefault="009953AF" w:rsidP="0048679A">
            <w:pPr>
              <w:spacing w:line="120" w:lineRule="exact"/>
              <w:rPr>
                <w:szCs w:val="22"/>
              </w:rPr>
            </w:pPr>
          </w:p>
          <w:p w:rsidR="009953AF" w:rsidRPr="00E57CAA" w:rsidRDefault="009953AF" w:rsidP="0048679A">
            <w:pPr>
              <w:spacing w:after="58"/>
              <w:jc w:val="center"/>
              <w:rPr>
                <w:szCs w:val="22"/>
              </w:rPr>
            </w:pPr>
            <w:r w:rsidRPr="00E57CAA">
              <w:rPr>
                <w:b/>
                <w:sz w:val="22"/>
                <w:szCs w:val="22"/>
              </w:rPr>
              <w:t>Date</w:t>
            </w:r>
          </w:p>
        </w:tc>
        <w:tc>
          <w:tcPr>
            <w:tcW w:w="4410" w:type="dxa"/>
            <w:tcBorders>
              <w:top w:val="double" w:sz="7" w:space="0" w:color="000000"/>
              <w:left w:val="single" w:sz="7" w:space="0" w:color="000000"/>
              <w:bottom w:val="double" w:sz="7" w:space="0" w:color="000000"/>
              <w:right w:val="single" w:sz="7" w:space="0" w:color="000000"/>
            </w:tcBorders>
            <w:shd w:val="clear" w:color="auto" w:fill="EEECE1"/>
            <w:vAlign w:val="bottom"/>
          </w:tcPr>
          <w:p w:rsidR="009953AF" w:rsidRPr="00E57CAA" w:rsidRDefault="009953AF" w:rsidP="0048679A">
            <w:pPr>
              <w:spacing w:line="120" w:lineRule="exact"/>
              <w:rPr>
                <w:szCs w:val="22"/>
              </w:rPr>
            </w:pPr>
          </w:p>
          <w:p w:rsidR="009953AF" w:rsidRPr="00E57CAA" w:rsidRDefault="009953AF" w:rsidP="0048679A">
            <w:pPr>
              <w:spacing w:after="58"/>
              <w:jc w:val="center"/>
              <w:rPr>
                <w:szCs w:val="22"/>
              </w:rPr>
            </w:pPr>
            <w:r w:rsidRPr="00E57CAA">
              <w:rPr>
                <w:b/>
                <w:sz w:val="22"/>
                <w:szCs w:val="22"/>
              </w:rPr>
              <w:t>Printed Name</w:t>
            </w:r>
          </w:p>
        </w:tc>
        <w:tc>
          <w:tcPr>
            <w:tcW w:w="396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9953AF" w:rsidRPr="00E57CAA" w:rsidRDefault="009953AF" w:rsidP="0048679A">
            <w:pPr>
              <w:spacing w:line="120" w:lineRule="exact"/>
              <w:rPr>
                <w:szCs w:val="22"/>
              </w:rPr>
            </w:pPr>
          </w:p>
          <w:p w:rsidR="009953AF" w:rsidRPr="00E57CAA" w:rsidRDefault="009953AF" w:rsidP="0048679A">
            <w:pPr>
              <w:spacing w:after="58"/>
              <w:jc w:val="center"/>
              <w:rPr>
                <w:szCs w:val="22"/>
              </w:rPr>
            </w:pPr>
            <w:r w:rsidRPr="00E57CAA">
              <w:rPr>
                <w:b/>
                <w:sz w:val="22"/>
                <w:szCs w:val="22"/>
              </w:rPr>
              <w:t>Signature</w:t>
            </w:r>
          </w:p>
        </w:tc>
      </w:tr>
      <w:tr w:rsidR="009953AF" w:rsidRPr="00E57CAA" w:rsidTr="0048679A">
        <w:trPr>
          <w:trHeight w:val="576"/>
        </w:trPr>
        <w:tc>
          <w:tcPr>
            <w:tcW w:w="1260" w:type="dxa"/>
            <w:tcBorders>
              <w:top w:val="single" w:sz="7" w:space="0" w:color="000000"/>
              <w:left w:val="double" w:sz="7" w:space="0" w:color="000000"/>
              <w:bottom w:val="single" w:sz="7" w:space="0" w:color="000000"/>
              <w:right w:val="single" w:sz="7" w:space="0" w:color="000000"/>
            </w:tcBorders>
          </w:tcPr>
          <w:p w:rsidR="005E22DE" w:rsidRDefault="005E22DE" w:rsidP="0048679A">
            <w:pPr>
              <w:spacing w:after="58"/>
              <w:rPr>
                <w:sz w:val="22"/>
                <w:szCs w:val="22"/>
              </w:rPr>
            </w:pPr>
          </w:p>
          <w:p w:rsidR="009953AF" w:rsidRPr="004D0B7A" w:rsidRDefault="00943F06" w:rsidP="00663B73">
            <w:pPr>
              <w:spacing w:after="58"/>
              <w:rPr>
                <w:sz w:val="22"/>
                <w:szCs w:val="22"/>
              </w:rPr>
            </w:pPr>
            <w:r>
              <w:rPr>
                <w:sz w:val="22"/>
                <w:szCs w:val="22"/>
              </w:rPr>
              <w:t>1/29/2016</w:t>
            </w:r>
          </w:p>
        </w:tc>
        <w:tc>
          <w:tcPr>
            <w:tcW w:w="4410" w:type="dxa"/>
            <w:tcBorders>
              <w:top w:val="single" w:sz="7" w:space="0" w:color="000000"/>
              <w:left w:val="single" w:sz="7" w:space="0" w:color="000000"/>
              <w:bottom w:val="single" w:sz="7" w:space="0" w:color="000000"/>
              <w:right w:val="single" w:sz="7" w:space="0" w:color="000000"/>
            </w:tcBorders>
          </w:tcPr>
          <w:p w:rsidR="005E22DE" w:rsidRDefault="005E22DE" w:rsidP="0048679A">
            <w:pPr>
              <w:rPr>
                <w:szCs w:val="22"/>
              </w:rPr>
            </w:pPr>
          </w:p>
          <w:p w:rsidR="009953AF" w:rsidRDefault="00534A1B" w:rsidP="0048679A">
            <w:pPr>
              <w:rPr>
                <w:szCs w:val="22"/>
              </w:rPr>
            </w:pPr>
            <w:r>
              <w:rPr>
                <w:szCs w:val="22"/>
              </w:rPr>
              <w:t>Vanessa Rawlings, MHA, MT</w:t>
            </w:r>
          </w:p>
          <w:p w:rsidR="0094368E" w:rsidRPr="00B20719" w:rsidRDefault="0094368E" w:rsidP="0048679A">
            <w:pPr>
              <w:rPr>
                <w:szCs w:val="22"/>
              </w:rPr>
            </w:pPr>
            <w:r>
              <w:rPr>
                <w:szCs w:val="22"/>
              </w:rPr>
              <w:t>Elkins Park Supervisor</w:t>
            </w:r>
          </w:p>
        </w:tc>
        <w:tc>
          <w:tcPr>
            <w:tcW w:w="396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Cs w:val="22"/>
              </w:rPr>
            </w:pPr>
          </w:p>
          <w:p w:rsidR="009953AF" w:rsidRPr="00E57CAA" w:rsidRDefault="009953AF" w:rsidP="0048679A">
            <w:pPr>
              <w:spacing w:after="58"/>
              <w:rPr>
                <w:szCs w:val="22"/>
              </w:rPr>
            </w:pPr>
          </w:p>
        </w:tc>
      </w:tr>
      <w:tr w:rsidR="0094368E" w:rsidRPr="00E57CAA" w:rsidTr="00A223F5">
        <w:trPr>
          <w:trHeight w:val="576"/>
        </w:trPr>
        <w:tc>
          <w:tcPr>
            <w:tcW w:w="1260" w:type="dxa"/>
            <w:tcBorders>
              <w:top w:val="single" w:sz="7" w:space="0" w:color="000000"/>
              <w:left w:val="double" w:sz="7" w:space="0" w:color="000000"/>
              <w:bottom w:val="single" w:sz="7" w:space="0" w:color="000000"/>
              <w:right w:val="single" w:sz="7" w:space="0" w:color="000000"/>
            </w:tcBorders>
          </w:tcPr>
          <w:p w:rsidR="0094368E" w:rsidRPr="004D0B7A" w:rsidRDefault="0094368E" w:rsidP="00A223F5">
            <w:pPr>
              <w:spacing w:line="120" w:lineRule="exact"/>
              <w:rPr>
                <w:sz w:val="22"/>
                <w:szCs w:val="22"/>
              </w:rPr>
            </w:pPr>
          </w:p>
          <w:p w:rsidR="0094368E" w:rsidRPr="004D0B7A" w:rsidRDefault="00943F06" w:rsidP="00663B73">
            <w:pPr>
              <w:spacing w:after="58"/>
              <w:rPr>
                <w:sz w:val="22"/>
                <w:szCs w:val="22"/>
              </w:rPr>
            </w:pPr>
            <w:r>
              <w:rPr>
                <w:sz w:val="22"/>
                <w:szCs w:val="22"/>
              </w:rPr>
              <w:t>1/29/2016</w:t>
            </w:r>
          </w:p>
        </w:tc>
        <w:tc>
          <w:tcPr>
            <w:tcW w:w="4410" w:type="dxa"/>
            <w:tcBorders>
              <w:top w:val="single" w:sz="7" w:space="0" w:color="000000"/>
              <w:left w:val="single" w:sz="7" w:space="0" w:color="000000"/>
              <w:bottom w:val="single" w:sz="7" w:space="0" w:color="000000"/>
              <w:right w:val="single" w:sz="7" w:space="0" w:color="000000"/>
            </w:tcBorders>
          </w:tcPr>
          <w:p w:rsidR="0094368E" w:rsidRPr="00B20719" w:rsidRDefault="0094368E" w:rsidP="00A223F5">
            <w:pPr>
              <w:spacing w:line="120" w:lineRule="exact"/>
              <w:rPr>
                <w:szCs w:val="22"/>
              </w:rPr>
            </w:pPr>
          </w:p>
          <w:p w:rsidR="0094368E" w:rsidRPr="00B20719" w:rsidRDefault="0094368E" w:rsidP="00A223F5">
            <w:pPr>
              <w:spacing w:after="58"/>
              <w:rPr>
                <w:szCs w:val="22"/>
              </w:rPr>
            </w:pPr>
            <w:r>
              <w:rPr>
                <w:sz w:val="22"/>
                <w:szCs w:val="22"/>
              </w:rPr>
              <w:t>Jennifer Lore, MFS, MT</w:t>
            </w:r>
          </w:p>
          <w:p w:rsidR="0094368E" w:rsidRPr="00B20719" w:rsidRDefault="0094368E" w:rsidP="00A223F5">
            <w:pPr>
              <w:rPr>
                <w:szCs w:val="22"/>
              </w:rPr>
            </w:pPr>
            <w:r>
              <w:rPr>
                <w:sz w:val="22"/>
                <w:szCs w:val="22"/>
              </w:rPr>
              <w:t>Chemistry Supervisor</w:t>
            </w:r>
          </w:p>
        </w:tc>
        <w:tc>
          <w:tcPr>
            <w:tcW w:w="3960" w:type="dxa"/>
            <w:tcBorders>
              <w:top w:val="single" w:sz="7" w:space="0" w:color="000000"/>
              <w:left w:val="single" w:sz="7" w:space="0" w:color="000000"/>
              <w:bottom w:val="single" w:sz="7" w:space="0" w:color="000000"/>
              <w:right w:val="double" w:sz="7" w:space="0" w:color="000000"/>
            </w:tcBorders>
          </w:tcPr>
          <w:p w:rsidR="0094368E" w:rsidRPr="00E57CAA" w:rsidRDefault="0094368E" w:rsidP="00A223F5">
            <w:pPr>
              <w:spacing w:line="120" w:lineRule="exact"/>
              <w:rPr>
                <w:szCs w:val="22"/>
              </w:rPr>
            </w:pPr>
          </w:p>
          <w:p w:rsidR="0094368E" w:rsidRPr="00E57CAA" w:rsidRDefault="0094368E" w:rsidP="00A223F5">
            <w:pPr>
              <w:spacing w:after="58"/>
              <w:rPr>
                <w:szCs w:val="22"/>
              </w:rPr>
            </w:pPr>
          </w:p>
        </w:tc>
      </w:tr>
      <w:tr w:rsidR="0094368E" w:rsidRPr="00E57CAA" w:rsidTr="00A223F5">
        <w:trPr>
          <w:trHeight w:val="576"/>
        </w:trPr>
        <w:tc>
          <w:tcPr>
            <w:tcW w:w="1260" w:type="dxa"/>
            <w:tcBorders>
              <w:top w:val="single" w:sz="7" w:space="0" w:color="000000"/>
              <w:left w:val="double" w:sz="7" w:space="0" w:color="000000"/>
              <w:bottom w:val="single" w:sz="7" w:space="0" w:color="000000"/>
              <w:right w:val="single" w:sz="7" w:space="0" w:color="000000"/>
            </w:tcBorders>
          </w:tcPr>
          <w:p w:rsidR="0094368E" w:rsidRPr="004D0B7A" w:rsidRDefault="0094368E" w:rsidP="00A223F5">
            <w:pPr>
              <w:spacing w:line="120" w:lineRule="exact"/>
              <w:rPr>
                <w:sz w:val="22"/>
                <w:szCs w:val="22"/>
              </w:rPr>
            </w:pPr>
          </w:p>
          <w:p w:rsidR="0094368E" w:rsidRPr="004D0B7A" w:rsidRDefault="00943F06" w:rsidP="00663B73">
            <w:pPr>
              <w:spacing w:after="58"/>
              <w:rPr>
                <w:sz w:val="22"/>
                <w:szCs w:val="22"/>
              </w:rPr>
            </w:pPr>
            <w:r>
              <w:rPr>
                <w:sz w:val="22"/>
                <w:szCs w:val="22"/>
              </w:rPr>
              <w:t>1/29/2016</w:t>
            </w:r>
          </w:p>
        </w:tc>
        <w:tc>
          <w:tcPr>
            <w:tcW w:w="4410" w:type="dxa"/>
            <w:tcBorders>
              <w:top w:val="single" w:sz="7" w:space="0" w:color="000000"/>
              <w:left w:val="single" w:sz="7" w:space="0" w:color="000000"/>
              <w:bottom w:val="single" w:sz="7" w:space="0" w:color="000000"/>
              <w:right w:val="single" w:sz="7" w:space="0" w:color="000000"/>
            </w:tcBorders>
          </w:tcPr>
          <w:p w:rsidR="0094368E" w:rsidRPr="00B20719" w:rsidRDefault="0094368E" w:rsidP="00A223F5">
            <w:pPr>
              <w:spacing w:line="120" w:lineRule="exact"/>
              <w:rPr>
                <w:szCs w:val="22"/>
              </w:rPr>
            </w:pPr>
          </w:p>
          <w:p w:rsidR="0094368E" w:rsidRPr="00E57CAA" w:rsidRDefault="0094368E" w:rsidP="00A223F5">
            <w:pPr>
              <w:rPr>
                <w:szCs w:val="22"/>
              </w:rPr>
            </w:pPr>
            <w:r w:rsidRPr="00E57CAA">
              <w:rPr>
                <w:sz w:val="22"/>
                <w:szCs w:val="22"/>
              </w:rPr>
              <w:t>Nancy A. Young, M.D., FCAP</w:t>
            </w:r>
          </w:p>
          <w:p w:rsidR="0094368E" w:rsidRPr="004D0B7A" w:rsidRDefault="0094368E" w:rsidP="00A223F5">
            <w:pPr>
              <w:pStyle w:val="Heading1"/>
              <w:rPr>
                <w:b w:val="0"/>
                <w:sz w:val="22"/>
                <w:szCs w:val="22"/>
              </w:rPr>
            </w:pPr>
            <w:r w:rsidRPr="00E57CAA">
              <w:rPr>
                <w:b w:val="0"/>
                <w:sz w:val="22"/>
                <w:szCs w:val="22"/>
              </w:rPr>
              <w:t>Medical Director</w:t>
            </w:r>
          </w:p>
        </w:tc>
        <w:tc>
          <w:tcPr>
            <w:tcW w:w="3960" w:type="dxa"/>
            <w:tcBorders>
              <w:top w:val="single" w:sz="7" w:space="0" w:color="000000"/>
              <w:left w:val="single" w:sz="7" w:space="0" w:color="000000"/>
              <w:bottom w:val="single" w:sz="7" w:space="0" w:color="000000"/>
              <w:right w:val="double" w:sz="7" w:space="0" w:color="000000"/>
            </w:tcBorders>
          </w:tcPr>
          <w:p w:rsidR="0094368E" w:rsidRPr="00E57CAA" w:rsidRDefault="0094368E" w:rsidP="0094368E">
            <w:pPr>
              <w:spacing w:line="276" w:lineRule="auto"/>
              <w:rPr>
                <w:szCs w:val="22"/>
              </w:rPr>
            </w:pPr>
          </w:p>
        </w:tc>
      </w:tr>
    </w:tbl>
    <w:p w:rsidR="009953AF" w:rsidRDefault="009953AF" w:rsidP="009953AF"/>
    <w:p w:rsidR="009953AF" w:rsidRDefault="005E22DE" w:rsidP="009953AF">
      <w:r>
        <w:br w:type="page"/>
      </w:r>
    </w:p>
    <w:p w:rsidR="009953AF" w:rsidRPr="009343A2" w:rsidRDefault="009953AF" w:rsidP="009953AF">
      <w:pPr>
        <w:jc w:val="center"/>
        <w:rPr>
          <w:b/>
          <w:sz w:val="22"/>
          <w:szCs w:val="22"/>
          <w:u w:val="single"/>
        </w:rPr>
      </w:pPr>
      <w:r w:rsidRPr="009343A2">
        <w:rPr>
          <w:b/>
          <w:sz w:val="22"/>
          <w:szCs w:val="22"/>
          <w:u w:val="single"/>
        </w:rPr>
        <w:t>History</w:t>
      </w:r>
      <w:r w:rsidR="005E22DE">
        <w:rPr>
          <w:b/>
          <w:sz w:val="22"/>
          <w:szCs w:val="22"/>
          <w:u w:val="single"/>
        </w:rPr>
        <w:t xml:space="preserve"> Review</w:t>
      </w:r>
    </w:p>
    <w:p w:rsidR="009953AF" w:rsidRPr="00E57CAA" w:rsidRDefault="009953AF" w:rsidP="009953AF">
      <w:pPr>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1620"/>
        <w:gridCol w:w="6750"/>
      </w:tblGrid>
      <w:tr w:rsidR="009953AF" w:rsidRPr="00E57CAA" w:rsidTr="0048679A">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9953AF" w:rsidRPr="00E57CAA" w:rsidRDefault="009953AF" w:rsidP="0048679A">
            <w:pPr>
              <w:spacing w:line="120" w:lineRule="exact"/>
              <w:rPr>
                <w:szCs w:val="22"/>
              </w:rPr>
            </w:pPr>
          </w:p>
          <w:p w:rsidR="009953AF" w:rsidRPr="00E57CAA" w:rsidRDefault="009953AF" w:rsidP="0048679A">
            <w:pPr>
              <w:spacing w:after="58"/>
              <w:jc w:val="center"/>
              <w:rPr>
                <w:b/>
                <w:szCs w:val="22"/>
              </w:rPr>
            </w:pPr>
            <w:r w:rsidRPr="00E57CAA">
              <w:rPr>
                <w:b/>
                <w:sz w:val="22"/>
                <w:szCs w:val="22"/>
              </w:rPr>
              <w:t>Date Reviewed</w:t>
            </w:r>
          </w:p>
        </w:tc>
        <w:tc>
          <w:tcPr>
            <w:tcW w:w="1620" w:type="dxa"/>
            <w:tcBorders>
              <w:top w:val="double" w:sz="7" w:space="0" w:color="000000"/>
              <w:left w:val="single" w:sz="7" w:space="0" w:color="000000"/>
              <w:bottom w:val="double" w:sz="7" w:space="0" w:color="000000"/>
              <w:right w:val="single" w:sz="7" w:space="0" w:color="000000"/>
            </w:tcBorders>
            <w:shd w:val="clear" w:color="auto" w:fill="EEECE1"/>
          </w:tcPr>
          <w:p w:rsidR="009953AF" w:rsidRPr="00E57CAA" w:rsidRDefault="009953AF" w:rsidP="0048679A">
            <w:pPr>
              <w:spacing w:line="120" w:lineRule="exact"/>
              <w:rPr>
                <w:b/>
                <w:szCs w:val="22"/>
              </w:rPr>
            </w:pPr>
          </w:p>
          <w:p w:rsidR="009953AF" w:rsidRPr="00E57CAA" w:rsidRDefault="009953AF" w:rsidP="0048679A">
            <w:pPr>
              <w:spacing w:after="58"/>
              <w:jc w:val="center"/>
              <w:rPr>
                <w:b/>
                <w:szCs w:val="22"/>
              </w:rPr>
            </w:pPr>
            <w:r w:rsidRPr="00E57CAA">
              <w:rPr>
                <w:b/>
                <w:sz w:val="22"/>
                <w:szCs w:val="22"/>
              </w:rPr>
              <w:t>Reviewed By</w:t>
            </w:r>
          </w:p>
        </w:tc>
        <w:tc>
          <w:tcPr>
            <w:tcW w:w="675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9953AF" w:rsidRPr="00E57CAA" w:rsidRDefault="009953AF" w:rsidP="0048679A">
            <w:pPr>
              <w:spacing w:line="120" w:lineRule="exact"/>
              <w:rPr>
                <w:b/>
                <w:szCs w:val="22"/>
              </w:rPr>
            </w:pPr>
          </w:p>
          <w:p w:rsidR="009953AF" w:rsidRPr="00E57CAA" w:rsidRDefault="009953AF" w:rsidP="0048679A">
            <w:pPr>
              <w:spacing w:after="58"/>
              <w:jc w:val="center"/>
              <w:rPr>
                <w:b/>
                <w:szCs w:val="22"/>
              </w:rPr>
            </w:pPr>
            <w:r w:rsidRPr="00E57CAA">
              <w:rPr>
                <w:b/>
                <w:sz w:val="22"/>
                <w:szCs w:val="22"/>
              </w:rPr>
              <w:t>Revisions</w:t>
            </w: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C5067B">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FF088F">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7C2D2B" w:rsidP="0048679A">
            <w:pPr>
              <w:spacing w:after="58"/>
              <w:rPr>
                <w:sz w:val="20"/>
              </w:rPr>
            </w:pPr>
            <w:r>
              <w:rPr>
                <w:sz w:val="20"/>
              </w:rPr>
              <w:t xml:space="preserve"> </w:t>
            </w: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BF0061" w:rsidRPr="00E57CAA" w:rsidRDefault="00BF0061" w:rsidP="00FF088F">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9953AF" w:rsidP="00FF369A">
            <w:pPr>
              <w:spacing w:after="58"/>
              <w:rPr>
                <w:sz w:val="20"/>
              </w:rPr>
            </w:pP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r>
      <w:tr w:rsidR="009953AF" w:rsidRPr="00E57CAA" w:rsidTr="0048679A">
        <w:tc>
          <w:tcPr>
            <w:tcW w:w="1260" w:type="dxa"/>
            <w:tcBorders>
              <w:top w:val="single" w:sz="7" w:space="0" w:color="000000"/>
              <w:left w:val="doub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9953AF" w:rsidRPr="00E57CAA" w:rsidRDefault="009953AF" w:rsidP="0048679A">
            <w:pPr>
              <w:spacing w:line="120" w:lineRule="exact"/>
              <w:rPr>
                <w:sz w:val="20"/>
              </w:rPr>
            </w:pPr>
          </w:p>
          <w:p w:rsidR="009953AF" w:rsidRPr="00E57CAA" w:rsidRDefault="009953AF" w:rsidP="0048679A">
            <w:pPr>
              <w:spacing w:after="58"/>
              <w:rPr>
                <w:sz w:val="20"/>
              </w:rPr>
            </w:pPr>
          </w:p>
        </w:tc>
      </w:tr>
    </w:tbl>
    <w:p w:rsidR="006C3292" w:rsidRPr="006C3292" w:rsidRDefault="006C3292" w:rsidP="001505A3">
      <w:pPr>
        <w:rPr>
          <w:sz w:val="28"/>
          <w:szCs w:val="28"/>
        </w:rPr>
      </w:pPr>
    </w:p>
    <w:sectPr w:rsidR="006C3292" w:rsidRPr="006C3292" w:rsidSect="009953AF">
      <w:headerReference w:type="default" r:id="rId8"/>
      <w:footerReference w:type="default" r:id="rId9"/>
      <w:headerReference w:type="first" r:id="rId10"/>
      <w:pgSz w:w="12240" w:h="15840"/>
      <w:pgMar w:top="1440" w:right="1800" w:bottom="1440" w:left="180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F5" w:rsidRDefault="00A223F5">
      <w:r>
        <w:separator/>
      </w:r>
    </w:p>
  </w:endnote>
  <w:endnote w:type="continuationSeparator" w:id="0">
    <w:p w:rsidR="00A223F5" w:rsidRDefault="00A2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en Pr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enPro-Regular">
    <w:altName w:val="Arial Unicode MS"/>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F5" w:rsidRPr="00427B21" w:rsidRDefault="00A223F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F5" w:rsidRDefault="00A223F5">
      <w:r>
        <w:separator/>
      </w:r>
    </w:p>
  </w:footnote>
  <w:footnote w:type="continuationSeparator" w:id="0">
    <w:p w:rsidR="00A223F5" w:rsidRDefault="00A22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79"/>
      <w:gridCol w:w="4774"/>
      <w:gridCol w:w="2277"/>
    </w:tblGrid>
    <w:tr w:rsidR="00A223F5" w:rsidRPr="0022728F" w:rsidTr="0048679A">
      <w:tc>
        <w:tcPr>
          <w:tcW w:w="2579" w:type="dxa"/>
          <w:hideMark/>
        </w:tcPr>
        <w:p w:rsidR="00A223F5" w:rsidRPr="00697053" w:rsidRDefault="00A223F5" w:rsidP="0048679A">
          <w:pPr>
            <w:tabs>
              <w:tab w:val="center" w:pos="1197"/>
              <w:tab w:val="center" w:pos="4320"/>
              <w:tab w:val="right" w:pos="9360"/>
            </w:tabs>
            <w:jc w:val="center"/>
            <w:rPr>
              <w:b/>
              <w:sz w:val="16"/>
              <w:szCs w:val="16"/>
            </w:rPr>
          </w:pPr>
          <w:r w:rsidRPr="00697053">
            <w:rPr>
              <w:b/>
              <w:sz w:val="16"/>
              <w:szCs w:val="16"/>
            </w:rPr>
            <w:t>EINSTEIN MEDICAL CENTER</w:t>
          </w:r>
        </w:p>
        <w:p w:rsidR="00A223F5" w:rsidRPr="00697053" w:rsidRDefault="00A223F5" w:rsidP="0048679A">
          <w:pPr>
            <w:tabs>
              <w:tab w:val="left" w:pos="495"/>
              <w:tab w:val="center" w:pos="1149"/>
              <w:tab w:val="center" w:pos="4320"/>
              <w:tab w:val="right" w:pos="8640"/>
            </w:tabs>
            <w:jc w:val="center"/>
            <w:rPr>
              <w:b/>
              <w:sz w:val="16"/>
              <w:szCs w:val="16"/>
            </w:rPr>
          </w:pPr>
          <w:r>
            <w:rPr>
              <w:b/>
              <w:sz w:val="16"/>
              <w:szCs w:val="16"/>
            </w:rPr>
            <w:t>CHEMISTRY POLICY &amp;</w:t>
          </w:r>
        </w:p>
        <w:p w:rsidR="00A223F5" w:rsidRPr="0022728F" w:rsidRDefault="00A223F5" w:rsidP="0048679A">
          <w:pPr>
            <w:pStyle w:val="Header"/>
            <w:spacing w:before="40"/>
            <w:jc w:val="center"/>
            <w:rPr>
              <w:b/>
              <w:sz w:val="16"/>
              <w:szCs w:val="16"/>
            </w:rPr>
          </w:pPr>
          <w:r w:rsidRPr="00697053">
            <w:rPr>
              <w:b/>
              <w:sz w:val="16"/>
              <w:szCs w:val="16"/>
            </w:rPr>
            <w:t>PROCEDURE MANUAL</w:t>
          </w:r>
        </w:p>
      </w:tc>
      <w:tc>
        <w:tcPr>
          <w:tcW w:w="4774" w:type="dxa"/>
          <w:vAlign w:val="center"/>
          <w:hideMark/>
        </w:tcPr>
        <w:p w:rsidR="00A223F5" w:rsidRPr="0022728F" w:rsidRDefault="00A223F5" w:rsidP="0048679A">
          <w:pPr>
            <w:pStyle w:val="Header"/>
            <w:spacing w:before="40"/>
            <w:jc w:val="center"/>
            <w:rPr>
              <w:b/>
              <w:sz w:val="16"/>
              <w:szCs w:val="16"/>
            </w:rPr>
          </w:pPr>
          <w:r>
            <w:rPr>
              <w:b/>
            </w:rPr>
            <w:t>Acetaminophen</w:t>
          </w:r>
          <w:r w:rsidRPr="00697053">
            <w:rPr>
              <w:b/>
            </w:rPr>
            <w:t xml:space="preserve">         </w:t>
          </w:r>
          <w:r>
            <w:rPr>
              <w:b/>
            </w:rPr>
            <w:t xml:space="preserve"> </w:t>
          </w:r>
        </w:p>
      </w:tc>
      <w:tc>
        <w:tcPr>
          <w:tcW w:w="2277" w:type="dxa"/>
          <w:hideMark/>
        </w:tcPr>
        <w:p w:rsidR="00A223F5" w:rsidRPr="0022728F" w:rsidRDefault="00A223F5" w:rsidP="0048679A">
          <w:pPr>
            <w:pStyle w:val="Header"/>
            <w:spacing w:before="40"/>
            <w:rPr>
              <w:b/>
              <w:sz w:val="16"/>
              <w:szCs w:val="16"/>
            </w:rPr>
          </w:pPr>
          <w:r w:rsidRPr="0022728F">
            <w:rPr>
              <w:b/>
              <w:sz w:val="16"/>
              <w:szCs w:val="16"/>
            </w:rPr>
            <w:t>DOCUMENT NUMBER</w:t>
          </w:r>
        </w:p>
        <w:p w:rsidR="00A223F5" w:rsidRPr="0022728F" w:rsidRDefault="00A223F5" w:rsidP="0048679A">
          <w:pPr>
            <w:pStyle w:val="Header"/>
            <w:spacing w:before="40"/>
            <w:rPr>
              <w:b/>
              <w:sz w:val="20"/>
            </w:rPr>
          </w:pPr>
          <w:r>
            <w:rPr>
              <w:b/>
            </w:rPr>
            <w:t>CH03-002.0</w:t>
          </w:r>
          <w:r w:rsidR="00943F06">
            <w:rPr>
              <w:b/>
            </w:rPr>
            <w:t>5</w:t>
          </w:r>
        </w:p>
      </w:tc>
    </w:tr>
  </w:tbl>
  <w:p w:rsidR="00A223F5" w:rsidRPr="009953AF" w:rsidRDefault="00A223F5" w:rsidP="009953AF">
    <w:pPr>
      <w:tabs>
        <w:tab w:val="right" w:pos="9540"/>
      </w:tabs>
      <w:ind w:right="-270"/>
      <w:rPr>
        <w:sz w:val="22"/>
        <w:szCs w:val="22"/>
      </w:rPr>
    </w:pPr>
    <w:r>
      <w:rPr>
        <w:sz w:val="22"/>
        <w:szCs w:val="22"/>
      </w:rPr>
      <w:tab/>
    </w:r>
    <w:r w:rsidRPr="00076C18">
      <w:rPr>
        <w:sz w:val="22"/>
        <w:szCs w:val="22"/>
      </w:rPr>
      <w:t xml:space="preserve">Page </w:t>
    </w:r>
    <w:r w:rsidRPr="00076C18">
      <w:rPr>
        <w:sz w:val="22"/>
        <w:szCs w:val="22"/>
      </w:rPr>
      <w:fldChar w:fldCharType="begin"/>
    </w:r>
    <w:r w:rsidRPr="00076C18">
      <w:rPr>
        <w:sz w:val="22"/>
        <w:szCs w:val="22"/>
      </w:rPr>
      <w:instrText xml:space="preserve"> PAGE </w:instrText>
    </w:r>
    <w:r w:rsidRPr="00076C18">
      <w:rPr>
        <w:sz w:val="22"/>
        <w:szCs w:val="22"/>
      </w:rPr>
      <w:fldChar w:fldCharType="separate"/>
    </w:r>
    <w:r w:rsidR="00FB41A1">
      <w:rPr>
        <w:noProof/>
        <w:sz w:val="22"/>
        <w:szCs w:val="22"/>
      </w:rPr>
      <w:t>3</w:t>
    </w:r>
    <w:r w:rsidRPr="00076C18">
      <w:rPr>
        <w:sz w:val="22"/>
        <w:szCs w:val="22"/>
      </w:rPr>
      <w:fldChar w:fldCharType="end"/>
    </w:r>
    <w:r w:rsidRPr="00076C18">
      <w:rPr>
        <w:sz w:val="22"/>
        <w:szCs w:val="22"/>
      </w:rPr>
      <w:t xml:space="preserve"> of </w:t>
    </w:r>
    <w:r w:rsidRPr="00076C18">
      <w:rPr>
        <w:sz w:val="22"/>
        <w:szCs w:val="22"/>
      </w:rPr>
      <w:fldChar w:fldCharType="begin"/>
    </w:r>
    <w:r w:rsidRPr="00076C18">
      <w:rPr>
        <w:sz w:val="22"/>
        <w:szCs w:val="22"/>
      </w:rPr>
      <w:instrText xml:space="preserve"> NUMPAGES  </w:instrText>
    </w:r>
    <w:r w:rsidRPr="00076C18">
      <w:rPr>
        <w:sz w:val="22"/>
        <w:szCs w:val="22"/>
      </w:rPr>
      <w:fldChar w:fldCharType="separate"/>
    </w:r>
    <w:r w:rsidR="00FB41A1">
      <w:rPr>
        <w:noProof/>
        <w:sz w:val="22"/>
        <w:szCs w:val="22"/>
      </w:rPr>
      <w:t>6</w:t>
    </w:r>
    <w:r w:rsidRPr="00076C18">
      <w:rPr>
        <w:sz w:val="22"/>
        <w:szCs w:val="22"/>
      </w:rPr>
      <w:fldChar w:fldCharType="end"/>
    </w:r>
    <w:r>
      <w:rPr>
        <w:sz w:val="20"/>
        <w:szCs w:val="20"/>
      </w:rPr>
      <w:t xml:space="preserve"> </w:t>
    </w:r>
  </w:p>
  <w:p w:rsidR="00A223F5" w:rsidRPr="00812AE0" w:rsidRDefault="00A223F5" w:rsidP="009B1A5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5130"/>
      <w:gridCol w:w="2250"/>
    </w:tblGrid>
    <w:tr w:rsidR="00A223F5" w:rsidRPr="00697053" w:rsidTr="0048679A">
      <w:tc>
        <w:tcPr>
          <w:tcW w:w="2520" w:type="dxa"/>
          <w:tcBorders>
            <w:top w:val="double" w:sz="4" w:space="0" w:color="auto"/>
            <w:left w:val="double" w:sz="4" w:space="0" w:color="auto"/>
            <w:bottom w:val="single" w:sz="4" w:space="0" w:color="000000"/>
            <w:right w:val="single" w:sz="4" w:space="0" w:color="000000"/>
          </w:tcBorders>
        </w:tcPr>
        <w:p w:rsidR="00A223F5" w:rsidRPr="00697053" w:rsidRDefault="00A223F5" w:rsidP="0048679A">
          <w:pPr>
            <w:tabs>
              <w:tab w:val="center" w:pos="1197"/>
              <w:tab w:val="center" w:pos="4320"/>
              <w:tab w:val="right" w:pos="9360"/>
            </w:tabs>
            <w:jc w:val="center"/>
            <w:rPr>
              <w:b/>
              <w:sz w:val="16"/>
              <w:szCs w:val="16"/>
            </w:rPr>
          </w:pPr>
          <w:r w:rsidRPr="00697053">
            <w:rPr>
              <w:b/>
              <w:sz w:val="16"/>
              <w:szCs w:val="16"/>
            </w:rPr>
            <w:t>EINSTEIN MEDICAL CENTER</w:t>
          </w:r>
        </w:p>
        <w:p w:rsidR="00A223F5" w:rsidRPr="00697053" w:rsidRDefault="00A223F5" w:rsidP="0048679A">
          <w:pPr>
            <w:tabs>
              <w:tab w:val="left" w:pos="495"/>
              <w:tab w:val="center" w:pos="1149"/>
              <w:tab w:val="center" w:pos="4320"/>
              <w:tab w:val="right" w:pos="8640"/>
            </w:tabs>
            <w:jc w:val="center"/>
            <w:rPr>
              <w:b/>
              <w:sz w:val="16"/>
              <w:szCs w:val="16"/>
            </w:rPr>
          </w:pPr>
          <w:r>
            <w:rPr>
              <w:b/>
              <w:sz w:val="16"/>
              <w:szCs w:val="16"/>
            </w:rPr>
            <w:t>CHEMISTRY POLICY &amp;</w:t>
          </w:r>
        </w:p>
        <w:p w:rsidR="00A223F5" w:rsidRPr="00697053" w:rsidRDefault="00A223F5" w:rsidP="0048679A">
          <w:pPr>
            <w:tabs>
              <w:tab w:val="center" w:pos="4320"/>
              <w:tab w:val="right" w:pos="8640"/>
            </w:tabs>
            <w:jc w:val="center"/>
            <w:rPr>
              <w:b/>
              <w:sz w:val="16"/>
              <w:szCs w:val="16"/>
            </w:rPr>
          </w:pPr>
          <w:r w:rsidRPr="00697053">
            <w:rPr>
              <w:b/>
              <w:sz w:val="16"/>
              <w:szCs w:val="16"/>
            </w:rPr>
            <w:t>PROCEDURE MANUAL</w:t>
          </w:r>
        </w:p>
      </w:tc>
      <w:tc>
        <w:tcPr>
          <w:tcW w:w="5130" w:type="dxa"/>
          <w:tcBorders>
            <w:top w:val="double" w:sz="4" w:space="0" w:color="auto"/>
            <w:left w:val="single" w:sz="4" w:space="0" w:color="000000"/>
            <w:bottom w:val="single" w:sz="4" w:space="0" w:color="000000"/>
            <w:right w:val="single" w:sz="4" w:space="0" w:color="000000"/>
          </w:tcBorders>
          <w:vAlign w:val="center"/>
        </w:tcPr>
        <w:p w:rsidR="00A223F5" w:rsidRPr="00697053" w:rsidRDefault="00A223F5" w:rsidP="0048679A">
          <w:pPr>
            <w:tabs>
              <w:tab w:val="center" w:pos="4320"/>
              <w:tab w:val="right" w:pos="8640"/>
            </w:tabs>
            <w:jc w:val="center"/>
            <w:rPr>
              <w:b/>
              <w:sz w:val="16"/>
              <w:szCs w:val="16"/>
            </w:rPr>
          </w:pPr>
          <w:r w:rsidRPr="00697053">
            <w:rPr>
              <w:b/>
              <w:sz w:val="16"/>
              <w:szCs w:val="16"/>
            </w:rPr>
            <w:t>DEPARTMENT OF PATHOLOGY &amp; LABORATORY</w:t>
          </w:r>
        </w:p>
        <w:p w:rsidR="00A223F5" w:rsidRPr="00697053" w:rsidRDefault="00A223F5" w:rsidP="0048679A">
          <w:pPr>
            <w:tabs>
              <w:tab w:val="center" w:pos="4320"/>
              <w:tab w:val="right" w:pos="8640"/>
            </w:tabs>
            <w:jc w:val="center"/>
            <w:rPr>
              <w:b/>
              <w:sz w:val="16"/>
              <w:szCs w:val="16"/>
            </w:rPr>
          </w:pPr>
          <w:r w:rsidRPr="00697053">
            <w:rPr>
              <w:b/>
              <w:sz w:val="16"/>
              <w:szCs w:val="16"/>
            </w:rPr>
            <w:t>MEDICINE</w:t>
          </w:r>
        </w:p>
      </w:tc>
      <w:tc>
        <w:tcPr>
          <w:tcW w:w="2250" w:type="dxa"/>
          <w:tcBorders>
            <w:top w:val="double" w:sz="4" w:space="0" w:color="auto"/>
            <w:left w:val="single" w:sz="4" w:space="0" w:color="000000"/>
            <w:bottom w:val="single" w:sz="4" w:space="0" w:color="000000"/>
            <w:right w:val="double" w:sz="4" w:space="0" w:color="auto"/>
          </w:tcBorders>
        </w:tcPr>
        <w:p w:rsidR="00A223F5" w:rsidRPr="00697053" w:rsidRDefault="00A223F5" w:rsidP="0048679A">
          <w:pPr>
            <w:tabs>
              <w:tab w:val="center" w:pos="4320"/>
              <w:tab w:val="right" w:pos="8640"/>
            </w:tabs>
            <w:rPr>
              <w:b/>
              <w:sz w:val="16"/>
              <w:szCs w:val="16"/>
            </w:rPr>
          </w:pPr>
          <w:r w:rsidRPr="00697053">
            <w:rPr>
              <w:b/>
              <w:sz w:val="16"/>
              <w:szCs w:val="16"/>
            </w:rPr>
            <w:t>DOCUMENT NUMBER</w:t>
          </w:r>
        </w:p>
        <w:p w:rsidR="00A223F5" w:rsidRPr="00697053" w:rsidRDefault="00A223F5" w:rsidP="0048679A">
          <w:pPr>
            <w:tabs>
              <w:tab w:val="center" w:pos="4320"/>
              <w:tab w:val="right" w:pos="8640"/>
            </w:tabs>
            <w:rPr>
              <w:b/>
            </w:rPr>
          </w:pPr>
          <w:r>
            <w:rPr>
              <w:b/>
            </w:rPr>
            <w:t>CH03-002.05</w:t>
          </w:r>
        </w:p>
      </w:tc>
    </w:tr>
    <w:tr w:rsidR="00A223F5" w:rsidRPr="00697053" w:rsidTr="0048679A">
      <w:trPr>
        <w:trHeight w:val="447"/>
      </w:trPr>
      <w:tc>
        <w:tcPr>
          <w:tcW w:w="7650" w:type="dxa"/>
          <w:gridSpan w:val="2"/>
          <w:tcBorders>
            <w:top w:val="single" w:sz="4" w:space="0" w:color="000000"/>
            <w:left w:val="double" w:sz="4" w:space="0" w:color="auto"/>
            <w:bottom w:val="single" w:sz="4" w:space="0" w:color="000000"/>
            <w:right w:val="single" w:sz="4" w:space="0" w:color="000000"/>
          </w:tcBorders>
        </w:tcPr>
        <w:p w:rsidR="00A223F5" w:rsidRPr="00697053" w:rsidRDefault="00A223F5" w:rsidP="0048679A">
          <w:pPr>
            <w:tabs>
              <w:tab w:val="center" w:pos="4320"/>
              <w:tab w:val="right" w:pos="8640"/>
            </w:tabs>
            <w:jc w:val="center"/>
            <w:rPr>
              <w:b/>
              <w:sz w:val="16"/>
              <w:szCs w:val="16"/>
            </w:rPr>
          </w:pPr>
        </w:p>
        <w:p w:rsidR="00A223F5" w:rsidRPr="00A06265" w:rsidRDefault="00A223F5" w:rsidP="00FB41A1">
          <w:pPr>
            <w:tabs>
              <w:tab w:val="center" w:pos="4320"/>
              <w:tab w:val="right" w:pos="8640"/>
            </w:tabs>
            <w:jc w:val="center"/>
            <w:rPr>
              <w:b/>
              <w:caps/>
              <w:szCs w:val="22"/>
            </w:rPr>
          </w:pPr>
          <w:r>
            <w:rPr>
              <w:b/>
              <w:sz w:val="22"/>
              <w:szCs w:val="22"/>
            </w:rPr>
            <w:t xml:space="preserve">Acetaminophen  </w:t>
          </w:r>
        </w:p>
      </w:tc>
      <w:tc>
        <w:tcPr>
          <w:tcW w:w="2250" w:type="dxa"/>
          <w:vMerge w:val="restart"/>
          <w:tcBorders>
            <w:top w:val="single" w:sz="4" w:space="0" w:color="000000"/>
            <w:left w:val="single" w:sz="4" w:space="0" w:color="000000"/>
            <w:bottom w:val="single" w:sz="4" w:space="0" w:color="000000"/>
            <w:right w:val="double" w:sz="4" w:space="0" w:color="auto"/>
          </w:tcBorders>
        </w:tcPr>
        <w:p w:rsidR="00A223F5" w:rsidRDefault="00A223F5" w:rsidP="0048679A">
          <w:pPr>
            <w:tabs>
              <w:tab w:val="center" w:pos="4320"/>
              <w:tab w:val="right" w:pos="8640"/>
            </w:tabs>
            <w:rPr>
              <w:sz w:val="16"/>
              <w:szCs w:val="16"/>
            </w:rPr>
          </w:pPr>
        </w:p>
        <w:p w:rsidR="00A223F5" w:rsidRPr="00697053" w:rsidRDefault="00A223F5" w:rsidP="0048679A">
          <w:pPr>
            <w:tabs>
              <w:tab w:val="center" w:pos="4320"/>
              <w:tab w:val="right" w:pos="8640"/>
            </w:tabs>
            <w:rPr>
              <w:sz w:val="16"/>
              <w:szCs w:val="16"/>
            </w:rPr>
          </w:pPr>
          <w:r w:rsidRPr="00697053">
            <w:rPr>
              <w:sz w:val="16"/>
              <w:szCs w:val="16"/>
            </w:rPr>
            <w:t>DATE OF ISSUE:</w:t>
          </w:r>
        </w:p>
        <w:p w:rsidR="00A223F5" w:rsidRPr="00A223F5" w:rsidRDefault="00A223F5" w:rsidP="0048679A">
          <w:pPr>
            <w:tabs>
              <w:tab w:val="center" w:pos="4320"/>
              <w:tab w:val="right" w:pos="8640"/>
            </w:tabs>
            <w:rPr>
              <w:strike/>
              <w:sz w:val="16"/>
              <w:szCs w:val="16"/>
            </w:rPr>
          </w:pPr>
          <w:r w:rsidRPr="00A223F5">
            <w:rPr>
              <w:sz w:val="16"/>
              <w:szCs w:val="16"/>
            </w:rPr>
            <w:t>1/29/2016</w:t>
          </w:r>
        </w:p>
        <w:p w:rsidR="00A223F5" w:rsidRPr="00697053" w:rsidRDefault="00A223F5" w:rsidP="0048679A">
          <w:pPr>
            <w:tabs>
              <w:tab w:val="center" w:pos="4320"/>
              <w:tab w:val="right" w:pos="8640"/>
            </w:tabs>
            <w:rPr>
              <w:sz w:val="16"/>
              <w:szCs w:val="16"/>
            </w:rPr>
          </w:pPr>
        </w:p>
      </w:tc>
    </w:tr>
    <w:tr w:rsidR="00A223F5" w:rsidRPr="00697053" w:rsidTr="0048679A">
      <w:tc>
        <w:tcPr>
          <w:tcW w:w="7650" w:type="dxa"/>
          <w:gridSpan w:val="2"/>
          <w:tcBorders>
            <w:top w:val="single" w:sz="4" w:space="0" w:color="000000"/>
            <w:left w:val="double" w:sz="4" w:space="0" w:color="auto"/>
            <w:bottom w:val="double" w:sz="4" w:space="0" w:color="auto"/>
            <w:right w:val="single" w:sz="4" w:space="0" w:color="000000"/>
          </w:tcBorders>
          <w:vAlign w:val="center"/>
        </w:tcPr>
        <w:p w:rsidR="00A223F5" w:rsidRPr="004958D1" w:rsidRDefault="00A223F5" w:rsidP="0048679A">
          <w:pPr>
            <w:tabs>
              <w:tab w:val="center" w:pos="4320"/>
              <w:tab w:val="right" w:pos="8640"/>
            </w:tabs>
            <w:rPr>
              <w:sz w:val="20"/>
            </w:rPr>
          </w:pPr>
          <w:r w:rsidRPr="004958D1">
            <w:rPr>
              <w:b/>
              <w:sz w:val="20"/>
            </w:rPr>
            <w:t xml:space="preserve">POLICY OWNER: </w:t>
          </w:r>
          <w:r>
            <w:rPr>
              <w:b/>
              <w:sz w:val="20"/>
            </w:rPr>
            <w:t>CHEMISTRY SUPERVISOR</w:t>
          </w:r>
        </w:p>
      </w:tc>
      <w:tc>
        <w:tcPr>
          <w:tcW w:w="2250" w:type="dxa"/>
          <w:vMerge/>
          <w:tcBorders>
            <w:left w:val="single" w:sz="4" w:space="0" w:color="000000"/>
            <w:bottom w:val="double" w:sz="4" w:space="0" w:color="auto"/>
            <w:right w:val="double" w:sz="4" w:space="0" w:color="auto"/>
          </w:tcBorders>
        </w:tcPr>
        <w:p w:rsidR="00A223F5" w:rsidRPr="00697053" w:rsidRDefault="00A223F5" w:rsidP="0048679A">
          <w:pPr>
            <w:tabs>
              <w:tab w:val="center" w:pos="4320"/>
              <w:tab w:val="right" w:pos="8640"/>
            </w:tabs>
            <w:rPr>
              <w:sz w:val="16"/>
              <w:szCs w:val="16"/>
            </w:rPr>
          </w:pPr>
        </w:p>
      </w:tc>
    </w:tr>
  </w:tbl>
  <w:p w:rsidR="00A223F5" w:rsidRDefault="00A223F5" w:rsidP="00BF0061">
    <w:pPr>
      <w:tabs>
        <w:tab w:val="left" w:pos="1275"/>
        <w:tab w:val="left" w:pos="3345"/>
        <w:tab w:val="right" w:pos="9810"/>
      </w:tabs>
    </w:pPr>
    <w:r>
      <w:tab/>
    </w:r>
    <w:r>
      <w:rPr>
        <w:color w:val="FF0000"/>
      </w:rPr>
      <w:tab/>
    </w:r>
    <w:r>
      <w:tab/>
    </w:r>
    <w:r w:rsidRPr="00AA4C11">
      <w:rPr>
        <w:sz w:val="22"/>
        <w:szCs w:val="22"/>
      </w:rPr>
      <w:t xml:space="preserve">Page </w:t>
    </w:r>
    <w:r w:rsidRPr="00AA4C11">
      <w:rPr>
        <w:sz w:val="22"/>
        <w:szCs w:val="22"/>
      </w:rPr>
      <w:fldChar w:fldCharType="begin"/>
    </w:r>
    <w:r w:rsidRPr="00AA4C11">
      <w:rPr>
        <w:sz w:val="22"/>
        <w:szCs w:val="22"/>
      </w:rPr>
      <w:instrText xml:space="preserve"> PAGE </w:instrText>
    </w:r>
    <w:r w:rsidRPr="00AA4C11">
      <w:rPr>
        <w:sz w:val="22"/>
        <w:szCs w:val="22"/>
      </w:rPr>
      <w:fldChar w:fldCharType="separate"/>
    </w:r>
    <w:r w:rsidR="00FB41A1">
      <w:rPr>
        <w:noProof/>
        <w:sz w:val="22"/>
        <w:szCs w:val="22"/>
      </w:rPr>
      <w:t>1</w:t>
    </w:r>
    <w:r w:rsidRPr="00AA4C11">
      <w:rPr>
        <w:sz w:val="22"/>
        <w:szCs w:val="22"/>
      </w:rPr>
      <w:fldChar w:fldCharType="end"/>
    </w:r>
    <w:r w:rsidRPr="00AA4C11">
      <w:rPr>
        <w:sz w:val="22"/>
        <w:szCs w:val="22"/>
      </w:rPr>
      <w:t xml:space="preserve"> of </w:t>
    </w:r>
    <w:r w:rsidRPr="00AA4C11">
      <w:rPr>
        <w:sz w:val="22"/>
        <w:szCs w:val="22"/>
      </w:rPr>
      <w:fldChar w:fldCharType="begin"/>
    </w:r>
    <w:r w:rsidRPr="00AA4C11">
      <w:rPr>
        <w:sz w:val="22"/>
        <w:szCs w:val="22"/>
      </w:rPr>
      <w:instrText xml:space="preserve"> NUMPAGES  </w:instrText>
    </w:r>
    <w:r w:rsidRPr="00AA4C11">
      <w:rPr>
        <w:sz w:val="22"/>
        <w:szCs w:val="22"/>
      </w:rPr>
      <w:fldChar w:fldCharType="separate"/>
    </w:r>
    <w:r w:rsidR="00FB41A1">
      <w:rPr>
        <w:noProof/>
        <w:sz w:val="22"/>
        <w:szCs w:val="22"/>
      </w:rPr>
      <w:t>6</w:t>
    </w:r>
    <w:r w:rsidRPr="00AA4C11">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7A4"/>
    <w:multiLevelType w:val="hybridMultilevel"/>
    <w:tmpl w:val="E716C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211CD"/>
    <w:multiLevelType w:val="hybridMultilevel"/>
    <w:tmpl w:val="35DCC7E8"/>
    <w:lvl w:ilvl="0" w:tplc="6FF4503E">
      <w:start w:val="1"/>
      <w:numFmt w:val="bullet"/>
      <w:lvlText w:val=""/>
      <w:lvlJc w:val="left"/>
      <w:pPr>
        <w:tabs>
          <w:tab w:val="num" w:pos="272"/>
        </w:tabs>
        <w:ind w:left="272" w:hanging="272"/>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2">
    <w:nsid w:val="09D15A91"/>
    <w:multiLevelType w:val="multilevel"/>
    <w:tmpl w:val="47DAC8E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E76692"/>
    <w:multiLevelType w:val="hybridMultilevel"/>
    <w:tmpl w:val="47DAC8E6"/>
    <w:lvl w:ilvl="0" w:tplc="6FDCB91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B62CBE"/>
    <w:multiLevelType w:val="hybridMultilevel"/>
    <w:tmpl w:val="8278D202"/>
    <w:lvl w:ilvl="0" w:tplc="D3308036">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E0646E"/>
    <w:multiLevelType w:val="hybridMultilevel"/>
    <w:tmpl w:val="4E080EBE"/>
    <w:lvl w:ilvl="0" w:tplc="D3308036">
      <w:start w:val="1"/>
      <w:numFmt w:val="bullet"/>
      <w:lvlText w:val=""/>
      <w:lvlJc w:val="left"/>
      <w:pPr>
        <w:tabs>
          <w:tab w:val="num" w:pos="272"/>
        </w:tabs>
        <w:ind w:left="272" w:firstLine="0"/>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6">
    <w:nsid w:val="29DF181F"/>
    <w:multiLevelType w:val="hybridMultilevel"/>
    <w:tmpl w:val="44F6F63C"/>
    <w:lvl w:ilvl="0" w:tplc="40EC2D1C">
      <w:start w:val="1"/>
      <w:numFmt w:val="bullet"/>
      <w:lvlText w:val=""/>
      <w:lvlJc w:val="left"/>
      <w:pPr>
        <w:tabs>
          <w:tab w:val="num" w:pos="720"/>
        </w:tabs>
        <w:ind w:left="43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331154"/>
    <w:multiLevelType w:val="hybridMultilevel"/>
    <w:tmpl w:val="E862931E"/>
    <w:lvl w:ilvl="0" w:tplc="D3308036">
      <w:start w:val="1"/>
      <w:numFmt w:val="bullet"/>
      <w:lvlText w:val=""/>
      <w:lvlJc w:val="left"/>
      <w:pPr>
        <w:tabs>
          <w:tab w:val="num" w:pos="272"/>
        </w:tabs>
        <w:ind w:left="272" w:firstLine="0"/>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8">
    <w:nsid w:val="365359DC"/>
    <w:multiLevelType w:val="hybridMultilevel"/>
    <w:tmpl w:val="E7FA2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224F4B"/>
    <w:multiLevelType w:val="hybridMultilevel"/>
    <w:tmpl w:val="5E5A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EB17FB"/>
    <w:multiLevelType w:val="hybridMultilevel"/>
    <w:tmpl w:val="385A3794"/>
    <w:lvl w:ilvl="0" w:tplc="AD341682">
      <w:start w:val="1"/>
      <w:numFmt w:val="bullet"/>
      <w:lvlText w:val=""/>
      <w:lvlJc w:val="left"/>
      <w:pPr>
        <w:tabs>
          <w:tab w:val="num" w:pos="272"/>
        </w:tabs>
        <w:ind w:left="272" w:hanging="272"/>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11">
    <w:nsid w:val="4366599E"/>
    <w:multiLevelType w:val="multilevel"/>
    <w:tmpl w:val="7CF05F6C"/>
    <w:lvl w:ilvl="0">
      <w:start w:val="1"/>
      <w:numFmt w:val="bullet"/>
      <w:lvlText w:val=""/>
      <w:lvlJc w:val="left"/>
      <w:pPr>
        <w:tabs>
          <w:tab w:val="num" w:pos="544"/>
        </w:tabs>
        <w:ind w:left="544" w:hanging="272"/>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12">
    <w:nsid w:val="48885B1E"/>
    <w:multiLevelType w:val="hybridMultilevel"/>
    <w:tmpl w:val="B3CE59EA"/>
    <w:lvl w:ilvl="0" w:tplc="41C8EB04">
      <w:start w:val="1"/>
      <w:numFmt w:val="bullet"/>
      <w:lvlText w:val=""/>
      <w:lvlJc w:val="left"/>
      <w:pPr>
        <w:tabs>
          <w:tab w:val="num" w:pos="272"/>
        </w:tabs>
        <w:ind w:left="272" w:hanging="272"/>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13">
    <w:nsid w:val="4E3A43E4"/>
    <w:multiLevelType w:val="hybridMultilevel"/>
    <w:tmpl w:val="7CF05F6C"/>
    <w:lvl w:ilvl="0" w:tplc="6FF4503E">
      <w:start w:val="1"/>
      <w:numFmt w:val="bullet"/>
      <w:lvlText w:val=""/>
      <w:lvlJc w:val="left"/>
      <w:pPr>
        <w:tabs>
          <w:tab w:val="num" w:pos="544"/>
        </w:tabs>
        <w:ind w:left="544" w:hanging="272"/>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abstractNum w:abstractNumId="14">
    <w:nsid w:val="50F10684"/>
    <w:multiLevelType w:val="hybridMultilevel"/>
    <w:tmpl w:val="6AD00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70D4CF0"/>
    <w:multiLevelType w:val="multilevel"/>
    <w:tmpl w:val="E716C9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87F0E82"/>
    <w:multiLevelType w:val="multilevel"/>
    <w:tmpl w:val="4E080EBE"/>
    <w:lvl w:ilvl="0">
      <w:start w:val="1"/>
      <w:numFmt w:val="bullet"/>
      <w:lvlText w:val=""/>
      <w:lvlJc w:val="left"/>
      <w:pPr>
        <w:tabs>
          <w:tab w:val="num" w:pos="272"/>
        </w:tabs>
        <w:ind w:left="272" w:firstLine="0"/>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17">
    <w:nsid w:val="72742C2D"/>
    <w:multiLevelType w:val="multilevel"/>
    <w:tmpl w:val="7BC6BAEE"/>
    <w:lvl w:ilvl="0">
      <w:start w:val="1"/>
      <w:numFmt w:val="bullet"/>
      <w:lvlText w:val=""/>
      <w:lvlJc w:val="left"/>
      <w:pPr>
        <w:tabs>
          <w:tab w:val="num" w:pos="544"/>
        </w:tabs>
        <w:ind w:left="544" w:hanging="272"/>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18">
    <w:nsid w:val="76C942C5"/>
    <w:multiLevelType w:val="hybridMultilevel"/>
    <w:tmpl w:val="7BC6BAEE"/>
    <w:lvl w:ilvl="0" w:tplc="AD341682">
      <w:start w:val="1"/>
      <w:numFmt w:val="bullet"/>
      <w:lvlText w:val=""/>
      <w:lvlJc w:val="left"/>
      <w:pPr>
        <w:tabs>
          <w:tab w:val="num" w:pos="544"/>
        </w:tabs>
        <w:ind w:left="544" w:hanging="272"/>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num w:numId="1">
    <w:abstractNumId w:val="9"/>
  </w:num>
  <w:num w:numId="2">
    <w:abstractNumId w:val="0"/>
  </w:num>
  <w:num w:numId="3">
    <w:abstractNumId w:val="15"/>
  </w:num>
  <w:num w:numId="4">
    <w:abstractNumId w:val="3"/>
  </w:num>
  <w:num w:numId="5">
    <w:abstractNumId w:val="2"/>
  </w:num>
  <w:num w:numId="6">
    <w:abstractNumId w:val="4"/>
  </w:num>
  <w:num w:numId="7">
    <w:abstractNumId w:val="7"/>
  </w:num>
  <w:num w:numId="8">
    <w:abstractNumId w:val="5"/>
  </w:num>
  <w:num w:numId="9">
    <w:abstractNumId w:val="16"/>
  </w:num>
  <w:num w:numId="10">
    <w:abstractNumId w:val="10"/>
  </w:num>
  <w:num w:numId="11">
    <w:abstractNumId w:val="18"/>
  </w:num>
  <w:num w:numId="12">
    <w:abstractNumId w:val="17"/>
  </w:num>
  <w:num w:numId="13">
    <w:abstractNumId w:val="1"/>
  </w:num>
  <w:num w:numId="14">
    <w:abstractNumId w:val="13"/>
  </w:num>
  <w:num w:numId="15">
    <w:abstractNumId w:val="11"/>
  </w:num>
  <w:num w:numId="16">
    <w:abstractNumId w:val="12"/>
  </w:num>
  <w:num w:numId="17">
    <w:abstractNumId w:val="6"/>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768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7B6"/>
    <w:rsid w:val="000003CD"/>
    <w:rsid w:val="00002EC0"/>
    <w:rsid w:val="000030C3"/>
    <w:rsid w:val="000210C7"/>
    <w:rsid w:val="00040F43"/>
    <w:rsid w:val="00052F1C"/>
    <w:rsid w:val="00053003"/>
    <w:rsid w:val="00057CE3"/>
    <w:rsid w:val="000658C2"/>
    <w:rsid w:val="00073979"/>
    <w:rsid w:val="000745BD"/>
    <w:rsid w:val="0008056F"/>
    <w:rsid w:val="00083654"/>
    <w:rsid w:val="000851C0"/>
    <w:rsid w:val="00094402"/>
    <w:rsid w:val="000C4F08"/>
    <w:rsid w:val="000C6227"/>
    <w:rsid w:val="000E043B"/>
    <w:rsid w:val="000F68B7"/>
    <w:rsid w:val="000F7395"/>
    <w:rsid w:val="00100F26"/>
    <w:rsid w:val="00111163"/>
    <w:rsid w:val="001238C1"/>
    <w:rsid w:val="001324F0"/>
    <w:rsid w:val="001505A3"/>
    <w:rsid w:val="0015287E"/>
    <w:rsid w:val="001672BD"/>
    <w:rsid w:val="00174C4D"/>
    <w:rsid w:val="00192A43"/>
    <w:rsid w:val="001A6D42"/>
    <w:rsid w:val="001B46BA"/>
    <w:rsid w:val="001B65C4"/>
    <w:rsid w:val="001D4172"/>
    <w:rsid w:val="001E3E44"/>
    <w:rsid w:val="001F550D"/>
    <w:rsid w:val="002223D6"/>
    <w:rsid w:val="002261A1"/>
    <w:rsid w:val="002278D1"/>
    <w:rsid w:val="00236822"/>
    <w:rsid w:val="00247489"/>
    <w:rsid w:val="00254CAD"/>
    <w:rsid w:val="002554F0"/>
    <w:rsid w:val="00261589"/>
    <w:rsid w:val="00263949"/>
    <w:rsid w:val="002641D2"/>
    <w:rsid w:val="00265274"/>
    <w:rsid w:val="00271F67"/>
    <w:rsid w:val="00274BFF"/>
    <w:rsid w:val="002A5115"/>
    <w:rsid w:val="002B53CE"/>
    <w:rsid w:val="002C7216"/>
    <w:rsid w:val="002D4700"/>
    <w:rsid w:val="002F395E"/>
    <w:rsid w:val="002F3D96"/>
    <w:rsid w:val="00321A20"/>
    <w:rsid w:val="00323E58"/>
    <w:rsid w:val="0033529B"/>
    <w:rsid w:val="00360623"/>
    <w:rsid w:val="00363DDC"/>
    <w:rsid w:val="00386F35"/>
    <w:rsid w:val="0039719A"/>
    <w:rsid w:val="003A5F95"/>
    <w:rsid w:val="003B5686"/>
    <w:rsid w:val="003C0D68"/>
    <w:rsid w:val="003C0F35"/>
    <w:rsid w:val="003C42C7"/>
    <w:rsid w:val="003D3697"/>
    <w:rsid w:val="003E091D"/>
    <w:rsid w:val="0041076C"/>
    <w:rsid w:val="00416C65"/>
    <w:rsid w:val="004263FB"/>
    <w:rsid w:val="00427438"/>
    <w:rsid w:val="00427B21"/>
    <w:rsid w:val="00432382"/>
    <w:rsid w:val="00440066"/>
    <w:rsid w:val="00453450"/>
    <w:rsid w:val="00472831"/>
    <w:rsid w:val="00477040"/>
    <w:rsid w:val="00480502"/>
    <w:rsid w:val="00483240"/>
    <w:rsid w:val="0048679A"/>
    <w:rsid w:val="00493EA4"/>
    <w:rsid w:val="004969E9"/>
    <w:rsid w:val="004B6D15"/>
    <w:rsid w:val="004C33EE"/>
    <w:rsid w:val="004D0B7A"/>
    <w:rsid w:val="004D2A7B"/>
    <w:rsid w:val="004D5798"/>
    <w:rsid w:val="004D7163"/>
    <w:rsid w:val="004F0500"/>
    <w:rsid w:val="00516CDC"/>
    <w:rsid w:val="00517609"/>
    <w:rsid w:val="00534A1B"/>
    <w:rsid w:val="00536F81"/>
    <w:rsid w:val="00542394"/>
    <w:rsid w:val="0057711F"/>
    <w:rsid w:val="00586ED4"/>
    <w:rsid w:val="005C5718"/>
    <w:rsid w:val="005E22DE"/>
    <w:rsid w:val="005F30B0"/>
    <w:rsid w:val="00603B52"/>
    <w:rsid w:val="00603C15"/>
    <w:rsid w:val="00621CC3"/>
    <w:rsid w:val="006263A6"/>
    <w:rsid w:val="00655259"/>
    <w:rsid w:val="00655ECD"/>
    <w:rsid w:val="00662EAF"/>
    <w:rsid w:val="00663159"/>
    <w:rsid w:val="00663B73"/>
    <w:rsid w:val="00671AAB"/>
    <w:rsid w:val="00675AE4"/>
    <w:rsid w:val="006857C1"/>
    <w:rsid w:val="006A6D36"/>
    <w:rsid w:val="006B6733"/>
    <w:rsid w:val="006C3292"/>
    <w:rsid w:val="006D460A"/>
    <w:rsid w:val="006E169B"/>
    <w:rsid w:val="006E60A4"/>
    <w:rsid w:val="006F46B9"/>
    <w:rsid w:val="006F6830"/>
    <w:rsid w:val="00702A7E"/>
    <w:rsid w:val="00704D8D"/>
    <w:rsid w:val="00704E1A"/>
    <w:rsid w:val="0070509B"/>
    <w:rsid w:val="00720721"/>
    <w:rsid w:val="00721011"/>
    <w:rsid w:val="007459F3"/>
    <w:rsid w:val="00797BEE"/>
    <w:rsid w:val="007B2F6D"/>
    <w:rsid w:val="007C2D2B"/>
    <w:rsid w:val="007E1A75"/>
    <w:rsid w:val="007F5129"/>
    <w:rsid w:val="007F6D49"/>
    <w:rsid w:val="00800BD4"/>
    <w:rsid w:val="00805E8B"/>
    <w:rsid w:val="00812AE0"/>
    <w:rsid w:val="008157D0"/>
    <w:rsid w:val="00816F09"/>
    <w:rsid w:val="00863DC6"/>
    <w:rsid w:val="00874194"/>
    <w:rsid w:val="00894FF1"/>
    <w:rsid w:val="008B6043"/>
    <w:rsid w:val="008C33D8"/>
    <w:rsid w:val="008C7656"/>
    <w:rsid w:val="008E1DF7"/>
    <w:rsid w:val="008F4833"/>
    <w:rsid w:val="008F678D"/>
    <w:rsid w:val="009203A4"/>
    <w:rsid w:val="00920D51"/>
    <w:rsid w:val="0092593F"/>
    <w:rsid w:val="00927F16"/>
    <w:rsid w:val="009367FF"/>
    <w:rsid w:val="00937A55"/>
    <w:rsid w:val="0094368E"/>
    <w:rsid w:val="00943F06"/>
    <w:rsid w:val="00944C3E"/>
    <w:rsid w:val="00953698"/>
    <w:rsid w:val="00953F41"/>
    <w:rsid w:val="00953F86"/>
    <w:rsid w:val="00971F76"/>
    <w:rsid w:val="00977EF0"/>
    <w:rsid w:val="0099245E"/>
    <w:rsid w:val="00993F63"/>
    <w:rsid w:val="009953AF"/>
    <w:rsid w:val="009B0024"/>
    <w:rsid w:val="009B1A58"/>
    <w:rsid w:val="009B2F1A"/>
    <w:rsid w:val="009C6F0E"/>
    <w:rsid w:val="009E1F85"/>
    <w:rsid w:val="009E6BFE"/>
    <w:rsid w:val="00A10D54"/>
    <w:rsid w:val="00A10F11"/>
    <w:rsid w:val="00A217B6"/>
    <w:rsid w:val="00A223F5"/>
    <w:rsid w:val="00A32DA2"/>
    <w:rsid w:val="00A41E5B"/>
    <w:rsid w:val="00A61868"/>
    <w:rsid w:val="00A657CB"/>
    <w:rsid w:val="00A74FB5"/>
    <w:rsid w:val="00A823CA"/>
    <w:rsid w:val="00AA4103"/>
    <w:rsid w:val="00AA6F98"/>
    <w:rsid w:val="00AB155C"/>
    <w:rsid w:val="00AB206B"/>
    <w:rsid w:val="00AD122A"/>
    <w:rsid w:val="00AD48B6"/>
    <w:rsid w:val="00AE0E38"/>
    <w:rsid w:val="00AE30FF"/>
    <w:rsid w:val="00AF060D"/>
    <w:rsid w:val="00B02E4B"/>
    <w:rsid w:val="00B055DA"/>
    <w:rsid w:val="00B14B9D"/>
    <w:rsid w:val="00B34FA8"/>
    <w:rsid w:val="00B40CD0"/>
    <w:rsid w:val="00B45A68"/>
    <w:rsid w:val="00B55E04"/>
    <w:rsid w:val="00B60749"/>
    <w:rsid w:val="00B71E2F"/>
    <w:rsid w:val="00B92107"/>
    <w:rsid w:val="00B95DBD"/>
    <w:rsid w:val="00BA2553"/>
    <w:rsid w:val="00BC4ECD"/>
    <w:rsid w:val="00BC5E79"/>
    <w:rsid w:val="00BF0061"/>
    <w:rsid w:val="00BF25C8"/>
    <w:rsid w:val="00C17E21"/>
    <w:rsid w:val="00C32833"/>
    <w:rsid w:val="00C36E52"/>
    <w:rsid w:val="00C45719"/>
    <w:rsid w:val="00C5067B"/>
    <w:rsid w:val="00C722F8"/>
    <w:rsid w:val="00C75562"/>
    <w:rsid w:val="00C8071E"/>
    <w:rsid w:val="00C860A7"/>
    <w:rsid w:val="00C86A33"/>
    <w:rsid w:val="00C87DB8"/>
    <w:rsid w:val="00C911AD"/>
    <w:rsid w:val="00CA1A41"/>
    <w:rsid w:val="00CB7A49"/>
    <w:rsid w:val="00CE0E02"/>
    <w:rsid w:val="00CE7DF1"/>
    <w:rsid w:val="00D12F1D"/>
    <w:rsid w:val="00D1388D"/>
    <w:rsid w:val="00D210B1"/>
    <w:rsid w:val="00D21E71"/>
    <w:rsid w:val="00D30A51"/>
    <w:rsid w:val="00D40618"/>
    <w:rsid w:val="00D434A7"/>
    <w:rsid w:val="00D454BB"/>
    <w:rsid w:val="00D45528"/>
    <w:rsid w:val="00D56981"/>
    <w:rsid w:val="00D605CE"/>
    <w:rsid w:val="00D64D9F"/>
    <w:rsid w:val="00D85E0C"/>
    <w:rsid w:val="00D8786F"/>
    <w:rsid w:val="00D94FDE"/>
    <w:rsid w:val="00D9511C"/>
    <w:rsid w:val="00DA7389"/>
    <w:rsid w:val="00DA7894"/>
    <w:rsid w:val="00DB0682"/>
    <w:rsid w:val="00DB0992"/>
    <w:rsid w:val="00DB127D"/>
    <w:rsid w:val="00DE7B4D"/>
    <w:rsid w:val="00DF182E"/>
    <w:rsid w:val="00E0787F"/>
    <w:rsid w:val="00E12989"/>
    <w:rsid w:val="00E14F8E"/>
    <w:rsid w:val="00E232D9"/>
    <w:rsid w:val="00E302AF"/>
    <w:rsid w:val="00E31E04"/>
    <w:rsid w:val="00E40C57"/>
    <w:rsid w:val="00E51605"/>
    <w:rsid w:val="00E55316"/>
    <w:rsid w:val="00E568A0"/>
    <w:rsid w:val="00E60E52"/>
    <w:rsid w:val="00E65A11"/>
    <w:rsid w:val="00E85B3D"/>
    <w:rsid w:val="00EB0640"/>
    <w:rsid w:val="00EB56AE"/>
    <w:rsid w:val="00EC15CE"/>
    <w:rsid w:val="00ED3C96"/>
    <w:rsid w:val="00EE1C2E"/>
    <w:rsid w:val="00EE4F2D"/>
    <w:rsid w:val="00F10938"/>
    <w:rsid w:val="00F20D80"/>
    <w:rsid w:val="00F21359"/>
    <w:rsid w:val="00F26862"/>
    <w:rsid w:val="00F31426"/>
    <w:rsid w:val="00F33375"/>
    <w:rsid w:val="00F347AA"/>
    <w:rsid w:val="00F64932"/>
    <w:rsid w:val="00F7308B"/>
    <w:rsid w:val="00F751E2"/>
    <w:rsid w:val="00F82A01"/>
    <w:rsid w:val="00F859D5"/>
    <w:rsid w:val="00F95867"/>
    <w:rsid w:val="00FB41A1"/>
    <w:rsid w:val="00FB626D"/>
    <w:rsid w:val="00FD1397"/>
    <w:rsid w:val="00FD7627"/>
    <w:rsid w:val="00FE3F06"/>
    <w:rsid w:val="00FE5CFF"/>
    <w:rsid w:val="00FF088F"/>
    <w:rsid w:val="00FF369A"/>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3CA"/>
    <w:rPr>
      <w:sz w:val="24"/>
      <w:szCs w:val="24"/>
    </w:rPr>
  </w:style>
  <w:style w:type="paragraph" w:styleId="Heading1">
    <w:name w:val="heading 1"/>
    <w:basedOn w:val="Normal"/>
    <w:next w:val="Normal"/>
    <w:link w:val="Heading1Char"/>
    <w:qFormat/>
    <w:rsid w:val="009953AF"/>
    <w:pPr>
      <w:keepNext/>
      <w:widowControl w:val="0"/>
      <w:spacing w:after="58"/>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F63"/>
    <w:pPr>
      <w:tabs>
        <w:tab w:val="center" w:pos="4320"/>
        <w:tab w:val="right" w:pos="8640"/>
      </w:tabs>
    </w:pPr>
  </w:style>
  <w:style w:type="paragraph" w:styleId="Footer">
    <w:name w:val="footer"/>
    <w:basedOn w:val="Normal"/>
    <w:rsid w:val="00993F63"/>
    <w:pPr>
      <w:tabs>
        <w:tab w:val="center" w:pos="4320"/>
        <w:tab w:val="right" w:pos="8640"/>
      </w:tabs>
    </w:pPr>
  </w:style>
  <w:style w:type="table" w:styleId="TableGrid">
    <w:name w:val="Table Grid"/>
    <w:basedOn w:val="TableNormal"/>
    <w:rsid w:val="00925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46BA"/>
    <w:rPr>
      <w:rFonts w:ascii="Tahoma" w:hAnsi="Tahoma" w:cs="Tahoma"/>
      <w:sz w:val="16"/>
      <w:szCs w:val="16"/>
    </w:rPr>
  </w:style>
  <w:style w:type="paragraph" w:styleId="BodyText">
    <w:name w:val="Body Text"/>
    <w:basedOn w:val="Normal"/>
    <w:rsid w:val="00DB127D"/>
    <w:pPr>
      <w:widowControl w:val="0"/>
      <w:suppressAutoHyphens/>
      <w:autoSpaceDE w:val="0"/>
      <w:autoSpaceDN w:val="0"/>
      <w:adjustRightInd w:val="0"/>
      <w:spacing w:after="29" w:line="180" w:lineRule="atLeast"/>
      <w:jc w:val="both"/>
      <w:textAlignment w:val="center"/>
    </w:pPr>
    <w:rPr>
      <w:rFonts w:ascii="Helen Pro" w:hAnsi="Helen Pro" w:cs="Helen Pro"/>
      <w:color w:val="006B66"/>
      <w:sz w:val="16"/>
      <w:szCs w:val="16"/>
    </w:rPr>
  </w:style>
  <w:style w:type="character" w:customStyle="1" w:styleId="Superscript">
    <w:name w:val="Superscript"/>
    <w:rsid w:val="00DB127D"/>
    <w:rPr>
      <w:rFonts w:ascii="Helen Pro" w:hAnsi="Helen Pro" w:cs="Helen Pro"/>
      <w:color w:val="006B66"/>
      <w:w w:val="100"/>
      <w:position w:val="4"/>
      <w:sz w:val="14"/>
      <w:szCs w:val="14"/>
      <w:vertAlign w:val="baseline"/>
    </w:rPr>
  </w:style>
  <w:style w:type="paragraph" w:customStyle="1" w:styleId="Bullet">
    <w:name w:val="Bullet"/>
    <w:basedOn w:val="Normal"/>
    <w:rsid w:val="00AF060D"/>
    <w:pPr>
      <w:widowControl w:val="0"/>
      <w:tabs>
        <w:tab w:val="left" w:pos="272"/>
      </w:tabs>
      <w:suppressAutoHyphens/>
      <w:autoSpaceDE w:val="0"/>
      <w:autoSpaceDN w:val="0"/>
      <w:adjustRightInd w:val="0"/>
      <w:spacing w:after="29" w:line="180" w:lineRule="atLeast"/>
      <w:ind w:left="272" w:hanging="272"/>
      <w:jc w:val="both"/>
      <w:textAlignment w:val="center"/>
    </w:pPr>
    <w:rPr>
      <w:rFonts w:ascii="Helen Pro" w:hAnsi="Helen Pro" w:cs="Helen Pro"/>
      <w:color w:val="006B66"/>
      <w:sz w:val="16"/>
      <w:szCs w:val="16"/>
    </w:rPr>
  </w:style>
  <w:style w:type="character" w:customStyle="1" w:styleId="Bold">
    <w:name w:val="Bold"/>
    <w:rsid w:val="00AF060D"/>
    <w:rPr>
      <w:b/>
      <w:bCs/>
    </w:rPr>
  </w:style>
  <w:style w:type="paragraph" w:customStyle="1" w:styleId="BulletIndented">
    <w:name w:val="Bullet Indented"/>
    <w:basedOn w:val="Bullet"/>
    <w:rsid w:val="00AF060D"/>
    <w:pPr>
      <w:tabs>
        <w:tab w:val="clear" w:pos="272"/>
        <w:tab w:val="left" w:pos="540"/>
      </w:tabs>
      <w:ind w:left="544"/>
    </w:pPr>
  </w:style>
  <w:style w:type="paragraph" w:customStyle="1" w:styleId="TableLeft">
    <w:name w:val="Table Left"/>
    <w:basedOn w:val="Normal"/>
    <w:rsid w:val="00E51605"/>
    <w:pPr>
      <w:widowControl w:val="0"/>
      <w:tabs>
        <w:tab w:val="center" w:pos="2100"/>
      </w:tabs>
      <w:suppressAutoHyphens/>
      <w:autoSpaceDE w:val="0"/>
      <w:autoSpaceDN w:val="0"/>
      <w:adjustRightInd w:val="0"/>
      <w:spacing w:after="29" w:line="180" w:lineRule="atLeast"/>
      <w:textAlignment w:val="center"/>
    </w:pPr>
    <w:rPr>
      <w:rFonts w:ascii="Helen Pro" w:hAnsi="Helen Pro" w:cs="Helen Pro"/>
      <w:color w:val="006B66"/>
      <w:sz w:val="16"/>
      <w:szCs w:val="16"/>
    </w:rPr>
  </w:style>
  <w:style w:type="character" w:customStyle="1" w:styleId="Heading1Char">
    <w:name w:val="Heading 1 Char"/>
    <w:basedOn w:val="DefaultParagraphFont"/>
    <w:link w:val="Heading1"/>
    <w:rsid w:val="009953AF"/>
    <w:rPr>
      <w:b/>
      <w:snapToGrid w:val="0"/>
    </w:rPr>
  </w:style>
  <w:style w:type="character" w:customStyle="1" w:styleId="HeaderChar">
    <w:name w:val="Header Char"/>
    <w:basedOn w:val="DefaultParagraphFont"/>
    <w:link w:val="Header"/>
    <w:rsid w:val="009953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Analyte Attributes</vt:lpstr>
    </vt:vector>
  </TitlesOfParts>
  <Company>Einstein Healthcare Network</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Analyte Attributes</dc:title>
  <dc:creator>MeltonDi</dc:creator>
  <cp:lastModifiedBy>Jennifer M Lore</cp:lastModifiedBy>
  <cp:revision>2</cp:revision>
  <cp:lastPrinted>2016-02-04T15:32:00Z</cp:lastPrinted>
  <dcterms:created xsi:type="dcterms:W3CDTF">2016-02-04T15:32:00Z</dcterms:created>
  <dcterms:modified xsi:type="dcterms:W3CDTF">2016-02-04T15:32:00Z</dcterms:modified>
</cp:coreProperties>
</file>