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4D2" w:rsidRPr="00E5155B" w:rsidRDefault="001434D2" w:rsidP="00040C1C">
      <w:pPr>
        <w:pStyle w:val="ListParagraph"/>
        <w:numPr>
          <w:ilvl w:val="0"/>
          <w:numId w:val="1"/>
        </w:numPr>
        <w:rPr>
          <w:b/>
        </w:rPr>
      </w:pPr>
      <w:r w:rsidRPr="00E5155B">
        <w:rPr>
          <w:b/>
        </w:rPr>
        <w:t xml:space="preserve">PRINCIPLE </w:t>
      </w:r>
    </w:p>
    <w:p w:rsidR="00242DBC" w:rsidRPr="00362C8E" w:rsidRDefault="00242DBC" w:rsidP="00FC0BE6">
      <w:pPr>
        <w:pStyle w:val="Default"/>
        <w:rPr>
          <w:bCs/>
        </w:rPr>
      </w:pPr>
    </w:p>
    <w:p w:rsidR="001434D2" w:rsidRPr="00362C8E" w:rsidRDefault="000E2C58" w:rsidP="00FC0BE6">
      <w:pPr>
        <w:pStyle w:val="Default"/>
      </w:pPr>
      <w:r w:rsidRPr="00362C8E">
        <w:rPr>
          <w:bCs/>
        </w:rPr>
        <w:t>The assay principle combines a one-step immunoassay sandwich method with a final fluorescent detection (ELFA). The Solid Phase Receptacle (SPR®</w:t>
      </w:r>
      <w:r w:rsidR="002A7208" w:rsidRPr="00362C8E">
        <w:rPr>
          <w:bCs/>
        </w:rPr>
        <w:t>)</w:t>
      </w:r>
      <w:r w:rsidRPr="00362C8E">
        <w:rPr>
          <w:bCs/>
        </w:rPr>
        <w:t xml:space="preserve"> serves as the solid phase as well as the pipetting device. Reagents for the assay are ready-to-use and pre-dispensed in the sealed reagent strips. All of the assay steps are performed automatically by the instrument. The sample is transferred into the wells containing anti-</w:t>
      </w:r>
      <w:proofErr w:type="spellStart"/>
      <w:r w:rsidRPr="00362C8E">
        <w:rPr>
          <w:bCs/>
        </w:rPr>
        <w:t>procalcitonin</w:t>
      </w:r>
      <w:proofErr w:type="spellEnd"/>
      <w:r w:rsidRPr="00362C8E">
        <w:rPr>
          <w:bCs/>
        </w:rPr>
        <w:t xml:space="preserve"> antibodies labeled with alkaline phosphatase (conjugate). The sample/conjugate mixture is cycled in and out of the SPR® several times. This operation enables the antigen to bind with the </w:t>
      </w:r>
      <w:proofErr w:type="spellStart"/>
      <w:r w:rsidRPr="00362C8E">
        <w:rPr>
          <w:bCs/>
        </w:rPr>
        <w:t>immunoglobulins</w:t>
      </w:r>
      <w:proofErr w:type="spellEnd"/>
      <w:r w:rsidRPr="00362C8E">
        <w:rPr>
          <w:bCs/>
        </w:rPr>
        <w:t xml:space="preserve"> fixed to the interior wall of the SPR® and the conjugate to form a sandwich. Unbound compounds are eliminated during washing steps.</w:t>
      </w:r>
      <w:r w:rsidR="00D3668A" w:rsidRPr="00362C8E">
        <w:rPr>
          <w:bCs/>
        </w:rPr>
        <w:t xml:space="preserve"> </w:t>
      </w:r>
      <w:r w:rsidRPr="00362C8E">
        <w:rPr>
          <w:bCs/>
        </w:rPr>
        <w:t>Two detection steps are performed successively. During each step, the substrate (4-Methyl-umbelliferyl phosphate) is cycled in and out of the SPR. The conjugate enzyme catalyzes the hydrolysis of this substrate into a fluorescent product (4-Methyl-umbelliferone) the fluorescence of which is measured at 450 nm. The intensity of the fluorescence is proportional to the concentration of antigen present in the sample. At the end of the assay, results are automatically calculated by the instrument in relation to two calibration curves corresponding to the two detection steps. A fluorescence threshold value determines the calibration curve to be used for each sample. The results are then printed out.</w:t>
      </w:r>
    </w:p>
    <w:p w:rsidR="001434D2" w:rsidRPr="00362C8E" w:rsidRDefault="001434D2" w:rsidP="00040C1C"/>
    <w:p w:rsidR="001434D2" w:rsidRPr="00E5155B" w:rsidRDefault="0090066E" w:rsidP="00040C1C">
      <w:pPr>
        <w:numPr>
          <w:ilvl w:val="0"/>
          <w:numId w:val="1"/>
        </w:numPr>
        <w:rPr>
          <w:b/>
        </w:rPr>
      </w:pPr>
      <w:r w:rsidRPr="00E5155B">
        <w:rPr>
          <w:b/>
        </w:rPr>
        <w:t>METHOD</w:t>
      </w:r>
    </w:p>
    <w:p w:rsidR="00242DBC" w:rsidRPr="00362C8E" w:rsidRDefault="00242DBC" w:rsidP="00FC0BE6">
      <w:pPr>
        <w:pStyle w:val="Default"/>
        <w:rPr>
          <w:bCs/>
        </w:rPr>
      </w:pPr>
    </w:p>
    <w:p w:rsidR="001434D2" w:rsidRPr="00362C8E" w:rsidRDefault="00D4038E" w:rsidP="00FC0BE6">
      <w:pPr>
        <w:pStyle w:val="Default"/>
      </w:pPr>
      <w:r w:rsidRPr="00362C8E">
        <w:rPr>
          <w:bCs/>
        </w:rPr>
        <w:t xml:space="preserve">VIDAS® B·R·A·H·M·S PCT (PCT) is an automated test for use on the instruments of the VIDAS family for the determination of human </w:t>
      </w:r>
      <w:proofErr w:type="spellStart"/>
      <w:r w:rsidRPr="00362C8E">
        <w:rPr>
          <w:bCs/>
        </w:rPr>
        <w:t>procalcitonin</w:t>
      </w:r>
      <w:proofErr w:type="spellEnd"/>
      <w:r w:rsidRPr="00362C8E">
        <w:rPr>
          <w:bCs/>
        </w:rPr>
        <w:t xml:space="preserve"> in human serum or plasma (lithium </w:t>
      </w:r>
      <w:proofErr w:type="spellStart"/>
      <w:r w:rsidRPr="00362C8E">
        <w:rPr>
          <w:bCs/>
        </w:rPr>
        <w:t>heparinate</w:t>
      </w:r>
      <w:proofErr w:type="spellEnd"/>
      <w:r w:rsidRPr="00362C8E">
        <w:rPr>
          <w:bCs/>
        </w:rPr>
        <w:t xml:space="preserve">) using the ELFA (Enzyme-Linked Fluorescent Assay) technique. The VIDAS® B·R·A·H·M·S PCT (PCT) is intended for use in conjunction with other </w:t>
      </w:r>
      <w:r w:rsidR="006641A2" w:rsidRPr="00362C8E">
        <w:rPr>
          <w:bCs/>
        </w:rPr>
        <w:t xml:space="preserve">laboratory </w:t>
      </w:r>
      <w:r w:rsidRPr="00362C8E">
        <w:rPr>
          <w:bCs/>
        </w:rPr>
        <w:t>findings and clinical assessments to aid in the risk assessment of critically ill patients on their first day of ICU admission for progression to severe sepsis and septic shock.</w:t>
      </w:r>
    </w:p>
    <w:p w:rsidR="001434D2" w:rsidRPr="00362C8E" w:rsidRDefault="001434D2" w:rsidP="00040C1C"/>
    <w:p w:rsidR="00242DBC" w:rsidRPr="00E5155B" w:rsidRDefault="001434D2" w:rsidP="00040C1C">
      <w:pPr>
        <w:numPr>
          <w:ilvl w:val="0"/>
          <w:numId w:val="1"/>
        </w:numPr>
        <w:rPr>
          <w:b/>
        </w:rPr>
      </w:pPr>
      <w:r w:rsidRPr="00E5155B">
        <w:rPr>
          <w:b/>
        </w:rPr>
        <w:t>REAGENTS AND MATERIALS</w:t>
      </w:r>
    </w:p>
    <w:p w:rsidR="00242DBC" w:rsidRPr="00362C8E" w:rsidRDefault="00242DBC" w:rsidP="00040C1C"/>
    <w:p w:rsidR="0078300B" w:rsidRDefault="00D4038E" w:rsidP="00040C1C">
      <w:pPr>
        <w:numPr>
          <w:ilvl w:val="1"/>
          <w:numId w:val="1"/>
        </w:numPr>
      </w:pPr>
      <w:r w:rsidRPr="00362C8E">
        <w:t>Reagents and Materials Provided</w:t>
      </w:r>
    </w:p>
    <w:p w:rsidR="00B478E4" w:rsidRPr="00362C8E" w:rsidRDefault="00B478E4" w:rsidP="00007C1B">
      <w:pPr>
        <w:pStyle w:val="Default"/>
        <w:ind w:firstLine="1440"/>
      </w:pPr>
      <w:r w:rsidRPr="00362C8E">
        <w:rPr>
          <w:bCs/>
        </w:rPr>
        <w:t xml:space="preserve">3.1.1 PCT Reagent Strips </w:t>
      </w:r>
    </w:p>
    <w:p w:rsidR="00B478E4" w:rsidRPr="00362C8E" w:rsidRDefault="00FB2AAC" w:rsidP="00007C1B">
      <w:pPr>
        <w:pStyle w:val="Default"/>
        <w:ind w:left="1440"/>
      </w:pPr>
      <w:r w:rsidRPr="00362C8E">
        <w:rPr>
          <w:bCs/>
        </w:rPr>
        <w:t xml:space="preserve">3.1.2 </w:t>
      </w:r>
      <w:r w:rsidR="00B478E4" w:rsidRPr="00362C8E">
        <w:rPr>
          <w:bCs/>
        </w:rPr>
        <w:t xml:space="preserve">PCT SPRs </w:t>
      </w:r>
    </w:p>
    <w:p w:rsidR="00B478E4" w:rsidRPr="00362C8E" w:rsidRDefault="00B478E4" w:rsidP="00007C1B">
      <w:pPr>
        <w:pStyle w:val="Default"/>
        <w:ind w:firstLine="1440"/>
      </w:pPr>
      <w:r w:rsidRPr="00362C8E">
        <w:rPr>
          <w:bCs/>
        </w:rPr>
        <w:t xml:space="preserve">3.1.3 PCT Calibrators (S1 &amp; S2) </w:t>
      </w:r>
    </w:p>
    <w:p w:rsidR="001B3387" w:rsidRDefault="00B478E4" w:rsidP="00007C1B">
      <w:pPr>
        <w:pStyle w:val="Default"/>
        <w:ind w:firstLine="1440"/>
        <w:rPr>
          <w:bCs/>
        </w:rPr>
      </w:pPr>
      <w:r w:rsidRPr="00362C8E">
        <w:rPr>
          <w:bCs/>
        </w:rPr>
        <w:t>3.1.4 PCT Kit Controls (C1 and C2)</w:t>
      </w:r>
    </w:p>
    <w:p w:rsidR="00D62988" w:rsidRDefault="00D62988" w:rsidP="00007C1B">
      <w:pPr>
        <w:pStyle w:val="Default"/>
        <w:ind w:firstLine="1440"/>
        <w:rPr>
          <w:bCs/>
        </w:rPr>
      </w:pPr>
      <w:r>
        <w:rPr>
          <w:bCs/>
        </w:rPr>
        <w:t>3.1.5 MLE Card</w:t>
      </w:r>
    </w:p>
    <w:p w:rsidR="00B478E4" w:rsidRPr="00362C8E" w:rsidRDefault="00B478E4" w:rsidP="00007C1B">
      <w:pPr>
        <w:pStyle w:val="Default"/>
        <w:ind w:firstLine="1440"/>
      </w:pPr>
      <w:r w:rsidRPr="00362C8E">
        <w:rPr>
          <w:bCs/>
        </w:rPr>
        <w:t xml:space="preserve"> </w:t>
      </w:r>
    </w:p>
    <w:p w:rsidR="00F810AB" w:rsidRDefault="006B6E11" w:rsidP="00FC0BE6">
      <w:pPr>
        <w:pStyle w:val="Default"/>
      </w:pPr>
      <w:r w:rsidRPr="00362C8E">
        <w:t xml:space="preserve">     </w:t>
      </w:r>
    </w:p>
    <w:p w:rsidR="00E5155B" w:rsidRDefault="00E5155B" w:rsidP="00FC0BE6">
      <w:pPr>
        <w:pStyle w:val="Default"/>
      </w:pPr>
    </w:p>
    <w:p w:rsidR="00E5155B" w:rsidRDefault="00E5155B" w:rsidP="00FC0BE6">
      <w:pPr>
        <w:pStyle w:val="Default"/>
      </w:pPr>
    </w:p>
    <w:p w:rsidR="00E5155B" w:rsidRDefault="00E5155B" w:rsidP="00FC0BE6">
      <w:pPr>
        <w:pStyle w:val="Default"/>
      </w:pPr>
    </w:p>
    <w:p w:rsidR="00E5155B" w:rsidRDefault="00E5155B" w:rsidP="00FC0BE6">
      <w:pPr>
        <w:pStyle w:val="Default"/>
      </w:pPr>
    </w:p>
    <w:p w:rsidR="00E5155B" w:rsidRDefault="00E5155B" w:rsidP="00FC0BE6">
      <w:pPr>
        <w:pStyle w:val="Default"/>
      </w:pPr>
    </w:p>
    <w:p w:rsidR="00E5155B" w:rsidRDefault="00E5155B" w:rsidP="00FC0BE6">
      <w:pPr>
        <w:pStyle w:val="Default"/>
      </w:pPr>
    </w:p>
    <w:p w:rsidR="006B6E11" w:rsidRPr="00362C8E" w:rsidRDefault="006B6E11" w:rsidP="00FC0BE6">
      <w:pPr>
        <w:pStyle w:val="Default"/>
      </w:pPr>
      <w:r w:rsidRPr="00362C8E">
        <w:t xml:space="preserve">  </w:t>
      </w:r>
      <w:r w:rsidR="0008656E">
        <w:t xml:space="preserve">Reagents and Materials should be </w:t>
      </w:r>
      <w:r w:rsidR="004142DA" w:rsidRPr="0008656E">
        <w:t>r</w:t>
      </w:r>
      <w:r w:rsidR="004142DA" w:rsidRPr="0008656E">
        <w:rPr>
          <w:bCs/>
        </w:rPr>
        <w:t>efrigera</w:t>
      </w:r>
      <w:r w:rsidR="004142DA">
        <w:rPr>
          <w:bCs/>
        </w:rPr>
        <w:t>ted</w:t>
      </w:r>
      <w:r w:rsidR="0078300B" w:rsidRPr="0008656E">
        <w:rPr>
          <w:bCs/>
        </w:rPr>
        <w:t xml:space="preserve"> 2 to 8</w:t>
      </w:r>
      <w:r w:rsidR="0078300B" w:rsidRPr="0008656E">
        <w:t xml:space="preserve"> </w:t>
      </w:r>
      <w:r w:rsidR="0078300B" w:rsidRPr="0008656E">
        <w:rPr>
          <w:bCs/>
        </w:rPr>
        <w:t>C</w:t>
      </w:r>
      <w:r w:rsidR="0008656E" w:rsidRPr="0008656E">
        <w:rPr>
          <w:bCs/>
        </w:rPr>
        <w:t xml:space="preserve">. </w:t>
      </w:r>
      <w:r w:rsidR="0078300B" w:rsidRPr="0008656E">
        <w:rPr>
          <w:bCs/>
        </w:rPr>
        <w:t xml:space="preserve"> Do not freeze the reagent kit.</w:t>
      </w:r>
    </w:p>
    <w:p w:rsidR="00007C1B" w:rsidRDefault="00007C1B" w:rsidP="00007C1B">
      <w:pPr>
        <w:pStyle w:val="Default"/>
        <w:rPr>
          <w:bCs/>
        </w:rPr>
      </w:pPr>
    </w:p>
    <w:p w:rsidR="00B478E4" w:rsidRPr="0078300B" w:rsidRDefault="00B478E4" w:rsidP="00007C1B">
      <w:pPr>
        <w:pStyle w:val="Default"/>
        <w:numPr>
          <w:ilvl w:val="1"/>
          <w:numId w:val="1"/>
        </w:numPr>
        <w:rPr>
          <w:bCs/>
        </w:rPr>
      </w:pPr>
      <w:r w:rsidRPr="0078300B">
        <w:rPr>
          <w:bCs/>
        </w:rPr>
        <w:t xml:space="preserve">Reagent Preparation and Storage </w:t>
      </w:r>
    </w:p>
    <w:p w:rsidR="00BF1855" w:rsidRDefault="00FB2AAC" w:rsidP="0078300B">
      <w:pPr>
        <w:pStyle w:val="Default"/>
        <w:numPr>
          <w:ilvl w:val="2"/>
          <w:numId w:val="1"/>
        </w:numPr>
        <w:rPr>
          <w:bCs/>
        </w:rPr>
      </w:pPr>
      <w:r w:rsidRPr="00362C8E">
        <w:rPr>
          <w:bCs/>
        </w:rPr>
        <w:t xml:space="preserve"> </w:t>
      </w:r>
      <w:r w:rsidR="006B6E11" w:rsidRPr="00362C8E">
        <w:rPr>
          <w:bCs/>
        </w:rPr>
        <w:t>PCT Calibrator - Reconstitute with 2 ml of distilled</w:t>
      </w:r>
      <w:r w:rsidR="00007C1B">
        <w:rPr>
          <w:bCs/>
        </w:rPr>
        <w:t xml:space="preserve"> water. Wait 5 - 10 minutes and </w:t>
      </w:r>
      <w:r w:rsidR="006B6E11" w:rsidRPr="00362C8E">
        <w:rPr>
          <w:bCs/>
        </w:rPr>
        <w:t xml:space="preserve">then mix. After reconstitution, the calibrator </w:t>
      </w:r>
      <w:r w:rsidR="003C551B" w:rsidRPr="00362C8E">
        <w:rPr>
          <w:bCs/>
        </w:rPr>
        <w:t>is stable for 8 hours at 2 to 8</w:t>
      </w:r>
      <w:r w:rsidR="006C4037">
        <w:rPr>
          <w:bCs/>
        </w:rPr>
        <w:t>°</w:t>
      </w:r>
      <w:r w:rsidR="006B6E11" w:rsidRPr="00362C8E">
        <w:t xml:space="preserve"> </w:t>
      </w:r>
      <w:r w:rsidR="006B6E11" w:rsidRPr="00362C8E">
        <w:rPr>
          <w:bCs/>
        </w:rPr>
        <w:t>C or until the expiration date of the kit at – 25</w:t>
      </w:r>
      <w:r w:rsidR="006C4037">
        <w:rPr>
          <w:bCs/>
        </w:rPr>
        <w:t>°</w:t>
      </w:r>
      <w:r w:rsidR="006B6E11" w:rsidRPr="00362C8E">
        <w:rPr>
          <w:bCs/>
        </w:rPr>
        <w:t xml:space="preserve"> + 6</w:t>
      </w:r>
      <w:r w:rsidR="006C4037">
        <w:rPr>
          <w:bCs/>
        </w:rPr>
        <w:t>°</w:t>
      </w:r>
      <w:r w:rsidR="006B6E11" w:rsidRPr="00362C8E">
        <w:rPr>
          <w:bCs/>
        </w:rPr>
        <w:t xml:space="preserve"> C. </w:t>
      </w:r>
    </w:p>
    <w:p w:rsidR="006641A2" w:rsidRDefault="006B6E11" w:rsidP="00BF1855">
      <w:pPr>
        <w:pStyle w:val="Default"/>
        <w:numPr>
          <w:ilvl w:val="3"/>
          <w:numId w:val="1"/>
        </w:numPr>
        <w:rPr>
          <w:bCs/>
        </w:rPr>
      </w:pPr>
      <w:r w:rsidRPr="00362C8E">
        <w:rPr>
          <w:bCs/>
        </w:rPr>
        <w:lastRenderedPageBreak/>
        <w:t xml:space="preserve">5 </w:t>
      </w:r>
      <w:r w:rsidR="006641A2" w:rsidRPr="00362C8E">
        <w:rPr>
          <w:bCs/>
        </w:rPr>
        <w:t>freeze/thaw cycles are possible.</w:t>
      </w:r>
    </w:p>
    <w:p w:rsidR="00BF1855" w:rsidRPr="00397196" w:rsidRDefault="00BF1855" w:rsidP="00BF1855">
      <w:pPr>
        <w:pStyle w:val="Default"/>
        <w:numPr>
          <w:ilvl w:val="3"/>
          <w:numId w:val="1"/>
        </w:numPr>
        <w:rPr>
          <w:bCs/>
        </w:rPr>
      </w:pPr>
      <w:r w:rsidRPr="00397196">
        <w:rPr>
          <w:bCs/>
        </w:rPr>
        <w:t xml:space="preserve">Once Calibrator is prepared, </w:t>
      </w:r>
      <w:r w:rsidR="00D62988" w:rsidRPr="00D62988">
        <w:rPr>
          <w:b/>
          <w:bCs/>
        </w:rPr>
        <w:t>aliquot and freeze 450uL in the -70</w:t>
      </w:r>
      <w:r w:rsidR="00D62988">
        <w:rPr>
          <w:b/>
          <w:bCs/>
        </w:rPr>
        <w:t>°</w:t>
      </w:r>
      <w:r w:rsidR="00D62988" w:rsidRPr="00D62988">
        <w:rPr>
          <w:b/>
          <w:bCs/>
        </w:rPr>
        <w:t xml:space="preserve"> freezer.</w:t>
      </w:r>
      <w:r w:rsidR="00D62988">
        <w:rPr>
          <w:bCs/>
        </w:rPr>
        <w:t xml:space="preserve"> A</w:t>
      </w:r>
      <w:r w:rsidRPr="00397196">
        <w:rPr>
          <w:bCs/>
        </w:rPr>
        <w:t>liquots should be prepared</w:t>
      </w:r>
      <w:r w:rsidR="00D62988">
        <w:rPr>
          <w:bCs/>
        </w:rPr>
        <w:t xml:space="preserve"> and </w:t>
      </w:r>
      <w:r w:rsidRPr="00397196">
        <w:rPr>
          <w:bCs/>
        </w:rPr>
        <w:t>labeled</w:t>
      </w:r>
      <w:r w:rsidR="00D62988">
        <w:rPr>
          <w:bCs/>
        </w:rPr>
        <w:t xml:space="preserve"> prior to being </w:t>
      </w:r>
      <w:r w:rsidRPr="00397196">
        <w:rPr>
          <w:bCs/>
        </w:rPr>
        <w:t>placed in the freezer. This will allow for more stability with</w:t>
      </w:r>
      <w:r w:rsidR="00491D3F" w:rsidRPr="00397196">
        <w:rPr>
          <w:bCs/>
        </w:rPr>
        <w:t xml:space="preserve"> the freeze </w:t>
      </w:r>
      <w:r w:rsidRPr="00397196">
        <w:rPr>
          <w:bCs/>
        </w:rPr>
        <w:t xml:space="preserve">and thaws. </w:t>
      </w:r>
    </w:p>
    <w:p w:rsidR="006641A2" w:rsidRPr="00397196" w:rsidRDefault="00FB2AAC" w:rsidP="00007C1B">
      <w:pPr>
        <w:pStyle w:val="Default"/>
        <w:numPr>
          <w:ilvl w:val="2"/>
          <w:numId w:val="1"/>
        </w:numPr>
        <w:rPr>
          <w:bCs/>
        </w:rPr>
      </w:pPr>
      <w:r w:rsidRPr="00397196">
        <w:rPr>
          <w:bCs/>
        </w:rPr>
        <w:t xml:space="preserve"> </w:t>
      </w:r>
      <w:r w:rsidR="006641A2" w:rsidRPr="00397196">
        <w:rPr>
          <w:bCs/>
        </w:rPr>
        <w:t>PCT Controls - Reconstitute with 2 ml of distilled water. Wait 5 -10 minutes and then mix. After reconstitution, the controls are stable for 8 hours at 2 to 8</w:t>
      </w:r>
      <w:r w:rsidR="006C4037">
        <w:rPr>
          <w:bCs/>
        </w:rPr>
        <w:t>°</w:t>
      </w:r>
      <w:r w:rsidR="006641A2" w:rsidRPr="00397196">
        <w:t xml:space="preserve"> </w:t>
      </w:r>
      <w:r w:rsidR="006641A2" w:rsidRPr="00397196">
        <w:rPr>
          <w:bCs/>
        </w:rPr>
        <w:t>C or until the expirat</w:t>
      </w:r>
      <w:r w:rsidR="007831F2" w:rsidRPr="00397196">
        <w:rPr>
          <w:bCs/>
        </w:rPr>
        <w:t>ion date of the kit at – 25</w:t>
      </w:r>
      <w:r w:rsidR="006C4037">
        <w:rPr>
          <w:bCs/>
        </w:rPr>
        <w:t>°</w:t>
      </w:r>
      <w:r w:rsidR="007831F2" w:rsidRPr="00397196">
        <w:rPr>
          <w:bCs/>
        </w:rPr>
        <w:t xml:space="preserve"> + 6</w:t>
      </w:r>
      <w:r w:rsidR="006641A2" w:rsidRPr="00397196">
        <w:t xml:space="preserve"> </w:t>
      </w:r>
      <w:r w:rsidR="006C4037">
        <w:t>°</w:t>
      </w:r>
      <w:r w:rsidR="006641A2" w:rsidRPr="00397196">
        <w:rPr>
          <w:bCs/>
        </w:rPr>
        <w:t xml:space="preserve">C. 5 freeze/thaw cycles are possible. </w:t>
      </w:r>
      <w:r w:rsidR="006C4037">
        <w:rPr>
          <w:bCs/>
        </w:rPr>
        <w:t xml:space="preserve"> </w:t>
      </w:r>
    </w:p>
    <w:p w:rsidR="00491D3F" w:rsidRPr="00397196" w:rsidRDefault="00491D3F" w:rsidP="00491D3F">
      <w:pPr>
        <w:pStyle w:val="Default"/>
        <w:numPr>
          <w:ilvl w:val="3"/>
          <w:numId w:val="1"/>
        </w:numPr>
        <w:rPr>
          <w:bCs/>
        </w:rPr>
      </w:pPr>
      <w:r w:rsidRPr="00397196">
        <w:rPr>
          <w:bCs/>
        </w:rPr>
        <w:t>Once QC Material is prepared,</w:t>
      </w:r>
      <w:r w:rsidR="006C4037" w:rsidRPr="006C4037">
        <w:rPr>
          <w:b/>
          <w:bCs/>
        </w:rPr>
        <w:t xml:space="preserve"> </w:t>
      </w:r>
      <w:r w:rsidR="006C4037" w:rsidRPr="00D62988">
        <w:rPr>
          <w:b/>
          <w:bCs/>
        </w:rPr>
        <w:t xml:space="preserve">aliquot and freeze </w:t>
      </w:r>
      <w:r w:rsidR="006C4037">
        <w:rPr>
          <w:b/>
          <w:bCs/>
        </w:rPr>
        <w:t>250</w:t>
      </w:r>
      <w:r w:rsidR="006C4037" w:rsidRPr="00D62988">
        <w:rPr>
          <w:b/>
          <w:bCs/>
        </w:rPr>
        <w:t>uL in the -70</w:t>
      </w:r>
      <w:r w:rsidR="006C4037">
        <w:rPr>
          <w:b/>
          <w:bCs/>
        </w:rPr>
        <w:t>°</w:t>
      </w:r>
      <w:r w:rsidR="006C4037" w:rsidRPr="00D62988">
        <w:rPr>
          <w:b/>
          <w:bCs/>
        </w:rPr>
        <w:t xml:space="preserve"> freezer.</w:t>
      </w:r>
      <w:r w:rsidRPr="00397196">
        <w:rPr>
          <w:bCs/>
        </w:rPr>
        <w:t xml:space="preserve"> </w:t>
      </w:r>
      <w:r w:rsidR="006C4037">
        <w:rPr>
          <w:bCs/>
        </w:rPr>
        <w:t>A</w:t>
      </w:r>
      <w:r w:rsidRPr="00397196">
        <w:rPr>
          <w:bCs/>
        </w:rPr>
        <w:t>liquots should be prepared</w:t>
      </w:r>
      <w:r w:rsidR="006C4037">
        <w:rPr>
          <w:bCs/>
        </w:rPr>
        <w:t xml:space="preserve"> and </w:t>
      </w:r>
      <w:r w:rsidRPr="00397196">
        <w:rPr>
          <w:bCs/>
        </w:rPr>
        <w:t xml:space="preserve">labeled, </w:t>
      </w:r>
      <w:r w:rsidR="006C4037">
        <w:rPr>
          <w:bCs/>
        </w:rPr>
        <w:t>prior to being</w:t>
      </w:r>
      <w:r w:rsidRPr="00397196">
        <w:rPr>
          <w:bCs/>
        </w:rPr>
        <w:t xml:space="preserve"> placed in the freezer. This will allow for more stability with the freeze and thaws. </w:t>
      </w:r>
    </w:p>
    <w:p w:rsidR="00491D3F" w:rsidRDefault="00491D3F" w:rsidP="00491D3F">
      <w:pPr>
        <w:pStyle w:val="Default"/>
        <w:ind w:left="2160"/>
        <w:rPr>
          <w:bCs/>
        </w:rPr>
      </w:pPr>
    </w:p>
    <w:p w:rsidR="00E5155B" w:rsidRPr="00362C8E" w:rsidRDefault="00E5155B" w:rsidP="00491D3F">
      <w:pPr>
        <w:pStyle w:val="Default"/>
        <w:ind w:left="2160"/>
        <w:rPr>
          <w:bCs/>
        </w:rPr>
      </w:pPr>
    </w:p>
    <w:p w:rsidR="006641A2" w:rsidRPr="00362C8E" w:rsidRDefault="006641A2" w:rsidP="00FC0BE6">
      <w:pPr>
        <w:pStyle w:val="Default"/>
      </w:pPr>
    </w:p>
    <w:p w:rsidR="006B6E11" w:rsidRPr="00362C8E" w:rsidRDefault="006B6E11" w:rsidP="00007C1B">
      <w:pPr>
        <w:pStyle w:val="Default"/>
        <w:numPr>
          <w:ilvl w:val="1"/>
          <w:numId w:val="1"/>
        </w:numPr>
        <w:rPr>
          <w:bCs/>
        </w:rPr>
      </w:pPr>
      <w:r w:rsidRPr="00362C8E">
        <w:rPr>
          <w:bCs/>
        </w:rPr>
        <w:t xml:space="preserve">Materials Required But Not Provided </w:t>
      </w:r>
    </w:p>
    <w:p w:rsidR="007831F2" w:rsidRPr="00362C8E" w:rsidRDefault="007831F2" w:rsidP="00FC0BE6">
      <w:pPr>
        <w:pStyle w:val="Default"/>
        <w:rPr>
          <w:bCs/>
        </w:rPr>
      </w:pPr>
    </w:p>
    <w:p w:rsidR="007831F2" w:rsidRDefault="00FB2AAC" w:rsidP="00007C1B">
      <w:pPr>
        <w:pStyle w:val="Default"/>
        <w:numPr>
          <w:ilvl w:val="2"/>
          <w:numId w:val="1"/>
        </w:numPr>
        <w:rPr>
          <w:bCs/>
        </w:rPr>
      </w:pPr>
      <w:r w:rsidRPr="00362C8E">
        <w:rPr>
          <w:bCs/>
        </w:rPr>
        <w:t xml:space="preserve"> </w:t>
      </w:r>
      <w:r w:rsidR="006641A2" w:rsidRPr="00362C8E">
        <w:rPr>
          <w:bCs/>
        </w:rPr>
        <w:t xml:space="preserve">Calibrated pipette to dispense 2 mL and 200 </w:t>
      </w:r>
      <w:proofErr w:type="spellStart"/>
      <w:r w:rsidR="006641A2" w:rsidRPr="00362C8E">
        <w:rPr>
          <w:bCs/>
        </w:rPr>
        <w:t>μ</w:t>
      </w:r>
      <w:r w:rsidR="007831F2" w:rsidRPr="00362C8E">
        <w:rPr>
          <w:bCs/>
        </w:rPr>
        <w:t>L</w:t>
      </w:r>
      <w:proofErr w:type="spellEnd"/>
      <w:r w:rsidR="007831F2" w:rsidRPr="00362C8E">
        <w:rPr>
          <w:bCs/>
        </w:rPr>
        <w:t>.</w:t>
      </w:r>
    </w:p>
    <w:p w:rsidR="00491D3F" w:rsidRPr="00362C8E" w:rsidRDefault="00491D3F" w:rsidP="00007C1B">
      <w:pPr>
        <w:pStyle w:val="Default"/>
        <w:numPr>
          <w:ilvl w:val="2"/>
          <w:numId w:val="1"/>
        </w:numPr>
        <w:rPr>
          <w:bCs/>
        </w:rPr>
      </w:pPr>
      <w:r>
        <w:rPr>
          <w:bCs/>
        </w:rPr>
        <w:t xml:space="preserve"> Distilled water</w:t>
      </w:r>
    </w:p>
    <w:p w:rsidR="006641A2" w:rsidRPr="00362C8E" w:rsidRDefault="00FB2AAC" w:rsidP="00007C1B">
      <w:pPr>
        <w:pStyle w:val="Default"/>
        <w:numPr>
          <w:ilvl w:val="2"/>
          <w:numId w:val="1"/>
        </w:numPr>
        <w:rPr>
          <w:bCs/>
        </w:rPr>
      </w:pPr>
      <w:r w:rsidRPr="00362C8E">
        <w:rPr>
          <w:bCs/>
        </w:rPr>
        <w:t xml:space="preserve"> </w:t>
      </w:r>
      <w:r w:rsidR="006641A2" w:rsidRPr="00362C8E">
        <w:rPr>
          <w:bCs/>
        </w:rPr>
        <w:t xml:space="preserve">Disposable pipette tips for pipette. </w:t>
      </w:r>
    </w:p>
    <w:p w:rsidR="002D7BF7" w:rsidRPr="00491D3F" w:rsidRDefault="00FB2AAC" w:rsidP="00007C1B">
      <w:pPr>
        <w:pStyle w:val="Default"/>
        <w:numPr>
          <w:ilvl w:val="2"/>
          <w:numId w:val="1"/>
        </w:numPr>
      </w:pPr>
      <w:r w:rsidRPr="00362C8E">
        <w:rPr>
          <w:bCs/>
        </w:rPr>
        <w:t xml:space="preserve"> </w:t>
      </w:r>
      <w:r w:rsidR="006641A2" w:rsidRPr="00362C8E">
        <w:rPr>
          <w:bCs/>
        </w:rPr>
        <w:t>Powder</w:t>
      </w:r>
      <w:r w:rsidR="00877318">
        <w:rPr>
          <w:bCs/>
        </w:rPr>
        <w:t xml:space="preserve"> </w:t>
      </w:r>
      <w:r w:rsidR="006641A2" w:rsidRPr="00362C8E">
        <w:rPr>
          <w:bCs/>
        </w:rPr>
        <w:t xml:space="preserve">less disposable gloves. </w:t>
      </w:r>
    </w:p>
    <w:p w:rsidR="00491D3F" w:rsidRDefault="009C66CB" w:rsidP="00007C1B">
      <w:pPr>
        <w:pStyle w:val="Default"/>
        <w:numPr>
          <w:ilvl w:val="2"/>
          <w:numId w:val="1"/>
        </w:numPr>
      </w:pPr>
      <w:r>
        <w:t xml:space="preserve"> Mini Centrifuge Tube</w:t>
      </w:r>
      <w:r w:rsidR="00397196">
        <w:t>s</w:t>
      </w:r>
      <w:r>
        <w:t xml:space="preserve"> </w:t>
      </w:r>
    </w:p>
    <w:p w:rsidR="006C4037" w:rsidRDefault="006C4037" w:rsidP="006C4037">
      <w:pPr>
        <w:pStyle w:val="Default"/>
        <w:ind w:left="2160"/>
      </w:pPr>
    </w:p>
    <w:p w:rsidR="00E5155B" w:rsidRDefault="00E5155B" w:rsidP="006C4037">
      <w:pPr>
        <w:pStyle w:val="Default"/>
        <w:ind w:left="2160"/>
      </w:pPr>
    </w:p>
    <w:p w:rsidR="006C4037" w:rsidRDefault="006C4037" w:rsidP="006C4037">
      <w:pPr>
        <w:pStyle w:val="Default"/>
        <w:numPr>
          <w:ilvl w:val="1"/>
          <w:numId w:val="1"/>
        </w:numPr>
      </w:pPr>
      <w:r>
        <w:t>Personal Protective Equipment</w:t>
      </w:r>
    </w:p>
    <w:p w:rsidR="006C4037" w:rsidRDefault="006C4037" w:rsidP="006C4037">
      <w:pPr>
        <w:pStyle w:val="Default"/>
        <w:numPr>
          <w:ilvl w:val="2"/>
          <w:numId w:val="1"/>
        </w:numPr>
      </w:pPr>
      <w:r>
        <w:t>Gloves</w:t>
      </w:r>
    </w:p>
    <w:p w:rsidR="006C4037" w:rsidRPr="00362C8E" w:rsidRDefault="006C4037" w:rsidP="006C4037">
      <w:pPr>
        <w:pStyle w:val="Default"/>
        <w:numPr>
          <w:ilvl w:val="2"/>
          <w:numId w:val="1"/>
        </w:numPr>
      </w:pPr>
      <w:r>
        <w:t>Lab Coats</w:t>
      </w:r>
    </w:p>
    <w:p w:rsidR="002D7BF7" w:rsidRDefault="002D7BF7" w:rsidP="002D7BF7">
      <w:pPr>
        <w:pStyle w:val="Default"/>
        <w:widowControl w:val="0"/>
        <w:rPr>
          <w:b/>
        </w:rPr>
      </w:pPr>
    </w:p>
    <w:p w:rsidR="00E5155B" w:rsidRDefault="00E5155B" w:rsidP="002D7BF7">
      <w:pPr>
        <w:pStyle w:val="Default"/>
        <w:widowControl w:val="0"/>
        <w:rPr>
          <w:b/>
        </w:rPr>
      </w:pPr>
    </w:p>
    <w:p w:rsidR="00E5155B" w:rsidRPr="00362C8E" w:rsidRDefault="00E5155B" w:rsidP="002D7BF7">
      <w:pPr>
        <w:pStyle w:val="Default"/>
        <w:widowControl w:val="0"/>
        <w:rPr>
          <w:b/>
        </w:rPr>
      </w:pPr>
    </w:p>
    <w:p w:rsidR="0090066E" w:rsidRPr="00362C8E" w:rsidRDefault="001640D4" w:rsidP="002D7BF7">
      <w:pPr>
        <w:pStyle w:val="Default"/>
        <w:widowControl w:val="0"/>
      </w:pPr>
      <w:r w:rsidRPr="00362C8E">
        <w:rPr>
          <w:b/>
        </w:rPr>
        <w:t xml:space="preserve">4.0 </w:t>
      </w:r>
      <w:r w:rsidR="0090066E" w:rsidRPr="00362C8E">
        <w:rPr>
          <w:b/>
        </w:rPr>
        <w:t>SPECIMEN COLLECTION AND PREPARATION</w:t>
      </w:r>
    </w:p>
    <w:p w:rsidR="00F810AB" w:rsidRDefault="00F810AB" w:rsidP="00040C1C"/>
    <w:p w:rsidR="0090066E" w:rsidRDefault="00FF4B0D" w:rsidP="00040C1C">
      <w:r>
        <w:t xml:space="preserve">   </w:t>
      </w:r>
      <w:r w:rsidR="002D7BF7" w:rsidRPr="00362C8E">
        <w:t>4</w:t>
      </w:r>
      <w:r w:rsidR="0090066E" w:rsidRPr="00362C8E">
        <w:t xml:space="preserve">.1 Collect Human Serum or Plasma with Lithium </w:t>
      </w:r>
      <w:proofErr w:type="spellStart"/>
      <w:r w:rsidR="0090066E" w:rsidRPr="00362C8E">
        <w:t>Heparinate</w:t>
      </w:r>
      <w:proofErr w:type="spellEnd"/>
      <w:r w:rsidR="0090066E" w:rsidRPr="00362C8E">
        <w:t xml:space="preserve">. For a given patient, the PCT </w:t>
      </w:r>
      <w:r w:rsidR="00F810AB">
        <w:t xml:space="preserve">    </w:t>
      </w:r>
    </w:p>
    <w:p w:rsidR="00F810AB" w:rsidRPr="00C403F2" w:rsidRDefault="00FF4B0D" w:rsidP="00040C1C">
      <w:pPr>
        <w:rPr>
          <w:b/>
        </w:rPr>
      </w:pPr>
      <w:r>
        <w:t xml:space="preserve">          </w:t>
      </w:r>
      <w:proofErr w:type="gramStart"/>
      <w:r w:rsidR="00F810AB" w:rsidRPr="00362C8E">
        <w:t>assays</w:t>
      </w:r>
      <w:proofErr w:type="gramEnd"/>
      <w:r w:rsidR="00F810AB" w:rsidRPr="00362C8E">
        <w:t xml:space="preserve"> must be performed on the same type of sample tube. </w:t>
      </w:r>
      <w:r w:rsidR="00F810AB" w:rsidRPr="00C403F2">
        <w:rPr>
          <w:b/>
        </w:rPr>
        <w:t xml:space="preserve">Since EDTA causes a decrease   </w:t>
      </w:r>
    </w:p>
    <w:p w:rsidR="00F810AB" w:rsidRDefault="00FF4B0D" w:rsidP="00040C1C">
      <w:r w:rsidRPr="00C403F2">
        <w:t xml:space="preserve">         </w:t>
      </w:r>
      <w:r w:rsidR="00F810AB" w:rsidRPr="00C403F2">
        <w:t xml:space="preserve"> </w:t>
      </w:r>
      <w:proofErr w:type="gramStart"/>
      <w:r w:rsidR="00F810AB" w:rsidRPr="00C403F2">
        <w:t>in</w:t>
      </w:r>
      <w:proofErr w:type="gramEnd"/>
      <w:r w:rsidR="00F810AB" w:rsidRPr="00C403F2">
        <w:t xml:space="preserve"> the values measured, plasma collected on EDTA should not be used (to test).</w:t>
      </w:r>
      <w:r w:rsidR="00F810AB" w:rsidRPr="00362C8E">
        <w:t xml:space="preserve"> Samples </w:t>
      </w:r>
      <w:r w:rsidR="00F810AB">
        <w:t xml:space="preserve"> </w:t>
      </w:r>
    </w:p>
    <w:p w:rsidR="00F810AB" w:rsidRPr="00F810AB" w:rsidRDefault="00FF4B0D" w:rsidP="00040C1C">
      <w:pPr>
        <w:rPr>
          <w:b/>
        </w:rPr>
      </w:pPr>
      <w:r>
        <w:t xml:space="preserve">          </w:t>
      </w:r>
      <w:proofErr w:type="gramStart"/>
      <w:r w:rsidR="00F810AB" w:rsidRPr="00362C8E">
        <w:t>containing</w:t>
      </w:r>
      <w:proofErr w:type="gramEnd"/>
      <w:r w:rsidR="00F810AB" w:rsidRPr="00362C8E">
        <w:t xml:space="preserve"> suspended fibrin particles or erythrocyte </w:t>
      </w:r>
      <w:proofErr w:type="spellStart"/>
      <w:r w:rsidR="00F810AB" w:rsidRPr="00362C8E">
        <w:t>stroma</w:t>
      </w:r>
      <w:proofErr w:type="spellEnd"/>
      <w:r w:rsidR="00F810AB" w:rsidRPr="00362C8E">
        <w:t xml:space="preserve"> should be centrifuged before </w:t>
      </w:r>
      <w:r>
        <w:t xml:space="preserve">  </w:t>
      </w:r>
    </w:p>
    <w:p w:rsidR="00F810AB" w:rsidRPr="00F810AB" w:rsidRDefault="00FF4B0D" w:rsidP="00040C1C">
      <w:r>
        <w:t xml:space="preserve">          </w:t>
      </w:r>
      <w:proofErr w:type="gramStart"/>
      <w:r w:rsidRPr="00362C8E">
        <w:rPr>
          <w:bCs/>
        </w:rPr>
        <w:t>testing</w:t>
      </w:r>
      <w:proofErr w:type="gramEnd"/>
      <w:r w:rsidRPr="00362C8E">
        <w:rPr>
          <w:bCs/>
        </w:rPr>
        <w:t>.</w:t>
      </w:r>
    </w:p>
    <w:p w:rsidR="00070ACD" w:rsidRDefault="00FF4B0D" w:rsidP="00DE6AFD">
      <w:pPr>
        <w:pStyle w:val="Default"/>
        <w:ind w:firstLine="144"/>
        <w:outlineLvl w:val="8"/>
        <w:rPr>
          <w:bCs/>
        </w:rPr>
      </w:pPr>
      <w:r>
        <w:rPr>
          <w:bCs/>
        </w:rPr>
        <w:t xml:space="preserve">   </w:t>
      </w:r>
      <w:r w:rsidR="002D7BF7" w:rsidRPr="00362C8E">
        <w:rPr>
          <w:bCs/>
        </w:rPr>
        <w:t xml:space="preserve"> </w:t>
      </w:r>
    </w:p>
    <w:p w:rsidR="00DE6AFD" w:rsidRPr="00070ACD" w:rsidRDefault="00070ACD" w:rsidP="00DE6AFD">
      <w:pPr>
        <w:pStyle w:val="Default"/>
        <w:ind w:firstLine="144"/>
        <w:outlineLvl w:val="8"/>
      </w:pPr>
      <w:r>
        <w:rPr>
          <w:bCs/>
        </w:rPr>
        <w:t xml:space="preserve">   </w:t>
      </w:r>
      <w:r w:rsidR="002D7BF7" w:rsidRPr="00070ACD">
        <w:rPr>
          <w:bCs/>
        </w:rPr>
        <w:t>4</w:t>
      </w:r>
      <w:r w:rsidR="0090066E" w:rsidRPr="00070ACD">
        <w:rPr>
          <w:bCs/>
        </w:rPr>
        <w:t xml:space="preserve">.2 Sample preparation: </w:t>
      </w:r>
    </w:p>
    <w:p w:rsidR="00DE6AFD" w:rsidRPr="00070ACD" w:rsidRDefault="00DE6AFD" w:rsidP="00DE6AFD">
      <w:pPr>
        <w:pStyle w:val="Default"/>
        <w:ind w:firstLine="144"/>
        <w:outlineLvl w:val="8"/>
        <w:rPr>
          <w:bCs/>
        </w:rPr>
      </w:pPr>
      <w:r w:rsidRPr="00070ACD">
        <w:t xml:space="preserve">                       4.2.1 </w:t>
      </w:r>
      <w:r w:rsidRPr="00070ACD">
        <w:rPr>
          <w:bCs/>
        </w:rPr>
        <w:t>Dry tubes: wait for samples to coagulate and centrifuge according to the tube</w:t>
      </w:r>
    </w:p>
    <w:p w:rsidR="00DE6AFD" w:rsidRPr="00070ACD" w:rsidRDefault="00DE6AFD" w:rsidP="00DE6AFD">
      <w:pPr>
        <w:pStyle w:val="Default"/>
        <w:ind w:firstLine="144"/>
        <w:outlineLvl w:val="8"/>
      </w:pPr>
      <w:r w:rsidRPr="00070ACD">
        <w:rPr>
          <w:bCs/>
        </w:rPr>
        <w:t xml:space="preserve">                                </w:t>
      </w:r>
      <w:proofErr w:type="gramStart"/>
      <w:r w:rsidRPr="00070ACD">
        <w:rPr>
          <w:bCs/>
        </w:rPr>
        <w:t>manufacturer’s</w:t>
      </w:r>
      <w:proofErr w:type="gramEnd"/>
      <w:r w:rsidRPr="00070ACD">
        <w:rPr>
          <w:bCs/>
        </w:rPr>
        <w:t xml:space="preserve"> recommendations to eliminate fibrin.</w:t>
      </w:r>
    </w:p>
    <w:p w:rsidR="0090066E" w:rsidRPr="00070ACD" w:rsidRDefault="00070ACD" w:rsidP="00C403F2">
      <w:pPr>
        <w:pStyle w:val="Default"/>
        <w:rPr>
          <w:bCs/>
        </w:rPr>
      </w:pPr>
      <w:r w:rsidRPr="00070ACD">
        <w:t xml:space="preserve">                          4.2.2 </w:t>
      </w:r>
      <w:r w:rsidR="0090066E" w:rsidRPr="00070ACD">
        <w:rPr>
          <w:bCs/>
        </w:rPr>
        <w:t>Frozen-stored samples: after thawing, all the</w:t>
      </w:r>
      <w:r w:rsidRPr="00070ACD">
        <w:rPr>
          <w:bCs/>
        </w:rPr>
        <w:t>se samples must be clarified by</w:t>
      </w:r>
    </w:p>
    <w:p w:rsidR="00070ACD" w:rsidRPr="00070ACD" w:rsidRDefault="00070ACD" w:rsidP="00070ACD">
      <w:pPr>
        <w:pStyle w:val="Default"/>
        <w:outlineLvl w:val="8"/>
      </w:pPr>
      <w:r w:rsidRPr="00070ACD">
        <w:rPr>
          <w:bCs/>
        </w:rPr>
        <w:t xml:space="preserve">                                   </w:t>
      </w:r>
      <w:proofErr w:type="gramStart"/>
      <w:r w:rsidRPr="00070ACD">
        <w:rPr>
          <w:bCs/>
        </w:rPr>
        <w:t>centrifuging</w:t>
      </w:r>
      <w:proofErr w:type="gramEnd"/>
      <w:r w:rsidRPr="00070ACD">
        <w:rPr>
          <w:bCs/>
        </w:rPr>
        <w:t>.</w:t>
      </w:r>
    </w:p>
    <w:p w:rsidR="00070ACD" w:rsidRDefault="00070ACD" w:rsidP="00344A3C">
      <w:pPr>
        <w:pStyle w:val="Default"/>
        <w:outlineLvl w:val="8"/>
      </w:pPr>
      <w:r w:rsidRPr="00070ACD">
        <w:t xml:space="preserve">        </w:t>
      </w:r>
    </w:p>
    <w:p w:rsidR="0090066E" w:rsidRDefault="00070ACD" w:rsidP="00C403F2">
      <w:pPr>
        <w:pStyle w:val="Default"/>
        <w:outlineLvl w:val="8"/>
        <w:rPr>
          <w:bCs/>
        </w:rPr>
      </w:pPr>
      <w:r>
        <w:t xml:space="preserve">     </w:t>
      </w:r>
      <w:proofErr w:type="gramStart"/>
      <w:r w:rsidR="002D7BF7" w:rsidRPr="00070ACD">
        <w:t>4.</w:t>
      </w:r>
      <w:r w:rsidR="00344A3C" w:rsidRPr="00070ACD">
        <w:t>3</w:t>
      </w:r>
      <w:r w:rsidR="0090066E" w:rsidRPr="00362C8E">
        <w:t xml:space="preserve"> </w:t>
      </w:r>
      <w:r w:rsidR="0090066E" w:rsidRPr="00362C8E">
        <w:rPr>
          <w:bCs/>
        </w:rPr>
        <w:t xml:space="preserve"> The</w:t>
      </w:r>
      <w:proofErr w:type="gramEnd"/>
      <w:r w:rsidR="0090066E" w:rsidRPr="00362C8E">
        <w:rPr>
          <w:bCs/>
        </w:rPr>
        <w:t xml:space="preserve"> sera or plasma separated from the clot can be stored at 2-8°C in stoppered tubes for up to </w:t>
      </w:r>
    </w:p>
    <w:p w:rsidR="00D22DC0" w:rsidRDefault="00D22DC0" w:rsidP="00040C1C">
      <w:r>
        <w:t xml:space="preserve">            </w:t>
      </w:r>
      <w:r w:rsidRPr="00362C8E">
        <w:t xml:space="preserve">48 hours; if longer storage is required, freeze at -25 ± 6°C. Six-month storage of frozen </w:t>
      </w:r>
    </w:p>
    <w:p w:rsidR="00D22DC0" w:rsidRPr="00D22DC0" w:rsidRDefault="00D22DC0" w:rsidP="00040C1C">
      <w:r>
        <w:t xml:space="preserve">            </w:t>
      </w:r>
      <w:proofErr w:type="gramStart"/>
      <w:r w:rsidRPr="00362C8E">
        <w:t>samples</w:t>
      </w:r>
      <w:proofErr w:type="gramEnd"/>
      <w:r w:rsidRPr="00362C8E">
        <w:t xml:space="preserve"> does not affect the quality of results. Three freeze/thaw cycles were validated.</w:t>
      </w:r>
    </w:p>
    <w:p w:rsidR="00484740" w:rsidRPr="00362C8E" w:rsidRDefault="00484740" w:rsidP="00FC0BE6">
      <w:pPr>
        <w:pStyle w:val="Default"/>
        <w:rPr>
          <w:b/>
        </w:rPr>
      </w:pPr>
    </w:p>
    <w:p w:rsidR="00B973FD" w:rsidRDefault="00B973FD" w:rsidP="00FC0BE6">
      <w:pPr>
        <w:pStyle w:val="Default"/>
        <w:rPr>
          <w:b/>
        </w:rPr>
      </w:pPr>
    </w:p>
    <w:p w:rsidR="00484740" w:rsidRPr="00362C8E" w:rsidRDefault="00905C37" w:rsidP="00FC0BE6">
      <w:pPr>
        <w:pStyle w:val="Default"/>
      </w:pPr>
      <w:r w:rsidRPr="00362C8E">
        <w:rPr>
          <w:b/>
        </w:rPr>
        <w:lastRenderedPageBreak/>
        <w:t>5.0</w:t>
      </w:r>
      <w:r w:rsidR="00484740" w:rsidRPr="00362C8E">
        <w:t xml:space="preserve"> </w:t>
      </w:r>
      <w:r w:rsidR="00484740" w:rsidRPr="00362C8E">
        <w:rPr>
          <w:b/>
          <w:bCs/>
        </w:rPr>
        <w:t xml:space="preserve">INTERFERENCES </w:t>
      </w:r>
    </w:p>
    <w:p w:rsidR="00AA205C" w:rsidRDefault="00AE63B0" w:rsidP="00FC0BE6">
      <w:pPr>
        <w:pStyle w:val="Default"/>
      </w:pPr>
      <w:r w:rsidRPr="00362C8E">
        <w:t xml:space="preserve">       </w:t>
      </w:r>
    </w:p>
    <w:p w:rsidR="00484740" w:rsidRPr="00362C8E" w:rsidRDefault="00AA205C" w:rsidP="00FC0BE6">
      <w:pPr>
        <w:pStyle w:val="Default"/>
      </w:pPr>
      <w:r>
        <w:t xml:space="preserve">        </w:t>
      </w:r>
      <w:r w:rsidR="00AE63B0" w:rsidRPr="00362C8E">
        <w:t>5.1.</w:t>
      </w:r>
      <w:r w:rsidR="00AE63B0" w:rsidRPr="00362C8E">
        <w:rPr>
          <w:b/>
        </w:rPr>
        <w:t xml:space="preserve"> </w:t>
      </w:r>
      <w:r w:rsidR="00484740" w:rsidRPr="00362C8E">
        <w:rPr>
          <w:bCs/>
        </w:rPr>
        <w:t xml:space="preserve">None of the following factors have been found to significantly influence this assay: </w:t>
      </w:r>
    </w:p>
    <w:p w:rsidR="00484740" w:rsidRDefault="00D22DC0" w:rsidP="006C175E">
      <w:pPr>
        <w:pStyle w:val="Default"/>
        <w:ind w:firstLine="720"/>
        <w:jc w:val="both"/>
        <w:rPr>
          <w:bCs/>
        </w:rPr>
      </w:pPr>
      <w:r>
        <w:t xml:space="preserve">                </w:t>
      </w:r>
      <w:r w:rsidR="00AE63B0" w:rsidRPr="00362C8E">
        <w:t>5.1.1</w:t>
      </w:r>
      <w:r w:rsidR="00484740" w:rsidRPr="00362C8E">
        <w:t xml:space="preserve"> </w:t>
      </w:r>
      <w:r w:rsidR="00484740" w:rsidRPr="00362C8E">
        <w:rPr>
          <w:bCs/>
        </w:rPr>
        <w:t>Hemolysis - after spiking samples wi</w:t>
      </w:r>
      <w:r w:rsidR="006C175E">
        <w:rPr>
          <w:bCs/>
        </w:rPr>
        <w:t xml:space="preserve">th hemoglobin, </w:t>
      </w:r>
      <w:proofErr w:type="gramStart"/>
      <w:r w:rsidR="006C175E">
        <w:rPr>
          <w:bCs/>
        </w:rPr>
        <w:t xml:space="preserve">up to 347 </w:t>
      </w:r>
      <w:proofErr w:type="spellStart"/>
      <w:r w:rsidR="006C175E">
        <w:rPr>
          <w:bCs/>
        </w:rPr>
        <w:t>μmol</w:t>
      </w:r>
      <w:proofErr w:type="spellEnd"/>
      <w:r w:rsidR="006C175E">
        <w:rPr>
          <w:bCs/>
        </w:rPr>
        <w:t>/L</w:t>
      </w:r>
      <w:proofErr w:type="gramEnd"/>
    </w:p>
    <w:p w:rsidR="006C175E" w:rsidRPr="00362C8E" w:rsidRDefault="006C175E" w:rsidP="006C175E">
      <w:pPr>
        <w:pStyle w:val="Default"/>
        <w:ind w:firstLine="720"/>
      </w:pPr>
      <w:r>
        <w:rPr>
          <w:bCs/>
        </w:rPr>
        <w:t xml:space="preserve">                         </w:t>
      </w:r>
      <w:r w:rsidRPr="00362C8E">
        <w:rPr>
          <w:bCs/>
        </w:rPr>
        <w:t>(</w:t>
      </w:r>
      <w:proofErr w:type="gramStart"/>
      <w:r w:rsidRPr="00362C8E">
        <w:rPr>
          <w:bCs/>
        </w:rPr>
        <w:t>monomer</w:t>
      </w:r>
      <w:proofErr w:type="gramEnd"/>
      <w:r w:rsidRPr="00362C8E">
        <w:rPr>
          <w:bCs/>
        </w:rPr>
        <w:t xml:space="preserve">). </w:t>
      </w:r>
    </w:p>
    <w:p w:rsidR="006C175E" w:rsidRDefault="006C175E" w:rsidP="006C175E">
      <w:pPr>
        <w:pStyle w:val="Default"/>
      </w:pPr>
    </w:p>
    <w:p w:rsidR="00484740" w:rsidRDefault="006C175E" w:rsidP="006C175E">
      <w:pPr>
        <w:pStyle w:val="Default"/>
        <w:rPr>
          <w:bCs/>
        </w:rPr>
      </w:pPr>
      <w:r>
        <w:t xml:space="preserve">                            </w:t>
      </w:r>
      <w:r w:rsidR="00AE63B0" w:rsidRPr="00362C8E">
        <w:t>5.1.2</w:t>
      </w:r>
      <w:r w:rsidR="00484740" w:rsidRPr="00362C8E">
        <w:t xml:space="preserve"> </w:t>
      </w:r>
      <w:proofErr w:type="spellStart"/>
      <w:r w:rsidR="00484740" w:rsidRPr="00362C8E">
        <w:rPr>
          <w:bCs/>
        </w:rPr>
        <w:t>Lipemia</w:t>
      </w:r>
      <w:proofErr w:type="spellEnd"/>
      <w:r w:rsidR="00484740" w:rsidRPr="00362C8E">
        <w:rPr>
          <w:bCs/>
        </w:rPr>
        <w:t xml:space="preserve"> - after spiking samples with lip</w:t>
      </w:r>
      <w:r>
        <w:rPr>
          <w:bCs/>
        </w:rPr>
        <w:t>ids, up to 30 g/L equivalent in</w:t>
      </w:r>
    </w:p>
    <w:p w:rsidR="006C175E" w:rsidRPr="00362C8E" w:rsidRDefault="006C175E" w:rsidP="006C175E">
      <w:pPr>
        <w:pStyle w:val="Default"/>
      </w:pPr>
      <w:r>
        <w:rPr>
          <w:bCs/>
        </w:rPr>
        <w:t xml:space="preserve">                                      </w:t>
      </w:r>
      <w:proofErr w:type="gramStart"/>
      <w:r w:rsidRPr="00362C8E">
        <w:rPr>
          <w:bCs/>
        </w:rPr>
        <w:t>triglycerides</w:t>
      </w:r>
      <w:proofErr w:type="gramEnd"/>
      <w:r w:rsidRPr="00362C8E">
        <w:rPr>
          <w:bCs/>
        </w:rPr>
        <w:t xml:space="preserve">. </w:t>
      </w:r>
    </w:p>
    <w:p w:rsidR="00484740" w:rsidRPr="00362C8E" w:rsidRDefault="00484740" w:rsidP="00FC0BE6">
      <w:pPr>
        <w:pStyle w:val="Default"/>
      </w:pPr>
    </w:p>
    <w:p w:rsidR="006C175E" w:rsidRDefault="006C175E" w:rsidP="006C175E">
      <w:pPr>
        <w:pStyle w:val="Default"/>
        <w:ind w:firstLine="720"/>
        <w:rPr>
          <w:bCs/>
        </w:rPr>
      </w:pPr>
      <w:r>
        <w:t xml:space="preserve">                </w:t>
      </w:r>
      <w:r w:rsidR="00AE63B0" w:rsidRPr="00362C8E">
        <w:t xml:space="preserve">5.1.3. </w:t>
      </w:r>
      <w:proofErr w:type="spellStart"/>
      <w:r w:rsidR="00484740" w:rsidRPr="00362C8E">
        <w:rPr>
          <w:bCs/>
        </w:rPr>
        <w:t>Bilirubinemia</w:t>
      </w:r>
      <w:proofErr w:type="spellEnd"/>
      <w:r w:rsidR="00484740" w:rsidRPr="00362C8E">
        <w:rPr>
          <w:bCs/>
        </w:rPr>
        <w:t xml:space="preserve"> - after spiking samples wi</w:t>
      </w:r>
      <w:r>
        <w:rPr>
          <w:bCs/>
        </w:rPr>
        <w:t xml:space="preserve">th bilirubin, </w:t>
      </w:r>
      <w:proofErr w:type="gramStart"/>
      <w:r>
        <w:rPr>
          <w:bCs/>
        </w:rPr>
        <w:t xml:space="preserve">up to 547 </w:t>
      </w:r>
      <w:proofErr w:type="spellStart"/>
      <w:r>
        <w:rPr>
          <w:bCs/>
        </w:rPr>
        <w:t>μmol</w:t>
      </w:r>
      <w:proofErr w:type="spellEnd"/>
      <w:r>
        <w:rPr>
          <w:bCs/>
        </w:rPr>
        <w:t>/L.</w:t>
      </w:r>
      <w:proofErr w:type="gramEnd"/>
    </w:p>
    <w:p w:rsidR="00AA205C" w:rsidRDefault="00AA205C" w:rsidP="006C175E">
      <w:pPr>
        <w:pStyle w:val="Default"/>
        <w:rPr>
          <w:b/>
          <w:bCs/>
        </w:rPr>
      </w:pPr>
    </w:p>
    <w:p w:rsidR="00CE0895" w:rsidRPr="004F7A83" w:rsidRDefault="00484740" w:rsidP="006C175E">
      <w:pPr>
        <w:pStyle w:val="Default"/>
        <w:rPr>
          <w:u w:val="single"/>
        </w:rPr>
      </w:pPr>
      <w:r w:rsidRPr="004F7A83">
        <w:rPr>
          <w:b/>
          <w:bCs/>
          <w:u w:val="single"/>
        </w:rPr>
        <w:t xml:space="preserve">However, it is recommended not to use samples which appear to be </w:t>
      </w:r>
      <w:proofErr w:type="spellStart"/>
      <w:r w:rsidRPr="004F7A83">
        <w:rPr>
          <w:b/>
          <w:bCs/>
          <w:u w:val="single"/>
        </w:rPr>
        <w:t>hemolyzed</w:t>
      </w:r>
      <w:proofErr w:type="spellEnd"/>
      <w:r w:rsidRPr="004F7A83">
        <w:rPr>
          <w:b/>
          <w:bCs/>
          <w:u w:val="single"/>
        </w:rPr>
        <w:t xml:space="preserve">, </w:t>
      </w:r>
      <w:proofErr w:type="spellStart"/>
      <w:r w:rsidRPr="004F7A83">
        <w:rPr>
          <w:b/>
          <w:bCs/>
          <w:u w:val="single"/>
        </w:rPr>
        <w:t>lipemic</w:t>
      </w:r>
      <w:proofErr w:type="spellEnd"/>
      <w:r w:rsidRPr="004F7A83">
        <w:rPr>
          <w:b/>
          <w:bCs/>
          <w:u w:val="single"/>
        </w:rPr>
        <w:t xml:space="preserve"> or icteric and, if possible, to collect a new sample</w:t>
      </w:r>
      <w:r w:rsidR="00CE0895" w:rsidRPr="004F7A83">
        <w:rPr>
          <w:b/>
          <w:bCs/>
          <w:u w:val="single"/>
        </w:rPr>
        <w:t>.</w:t>
      </w:r>
    </w:p>
    <w:p w:rsidR="00CE0895" w:rsidRPr="00362C8E" w:rsidRDefault="002A7208" w:rsidP="00040C1C">
      <w:r>
        <w:t xml:space="preserve"> </w:t>
      </w:r>
    </w:p>
    <w:p w:rsidR="00E5155B" w:rsidRDefault="00E5155B" w:rsidP="00040C1C"/>
    <w:p w:rsidR="00CE0895" w:rsidRPr="00E5155B" w:rsidRDefault="00CE0895" w:rsidP="00040C1C">
      <w:pPr>
        <w:rPr>
          <w:b/>
        </w:rPr>
      </w:pPr>
      <w:r w:rsidRPr="00E5155B">
        <w:rPr>
          <w:b/>
        </w:rPr>
        <w:t>6</w:t>
      </w:r>
      <w:r w:rsidR="00905C37" w:rsidRPr="00E5155B">
        <w:rPr>
          <w:b/>
        </w:rPr>
        <w:t>.0</w:t>
      </w:r>
      <w:r w:rsidRPr="00E5155B">
        <w:rPr>
          <w:b/>
        </w:rPr>
        <w:t xml:space="preserve"> CALIBRATION</w:t>
      </w:r>
    </w:p>
    <w:p w:rsidR="00AA205C" w:rsidRDefault="00AA205C" w:rsidP="00FC0BE6">
      <w:pPr>
        <w:pStyle w:val="Default"/>
        <w:ind w:firstLine="720"/>
      </w:pPr>
    </w:p>
    <w:p w:rsidR="00CE0895" w:rsidRPr="00362C8E" w:rsidRDefault="00CE0895" w:rsidP="00FC0BE6">
      <w:pPr>
        <w:pStyle w:val="Default"/>
        <w:ind w:firstLine="720"/>
      </w:pPr>
      <w:r w:rsidRPr="00362C8E">
        <w:t xml:space="preserve">5.1 </w:t>
      </w:r>
      <w:r w:rsidRPr="00362C8E">
        <w:rPr>
          <w:bCs/>
        </w:rPr>
        <w:t xml:space="preserve">VIDAS® PTC Protocol Data Entry </w:t>
      </w:r>
    </w:p>
    <w:p w:rsidR="00CE0895" w:rsidRPr="00362C8E" w:rsidRDefault="00CE0895" w:rsidP="00040C1C">
      <w:r w:rsidRPr="00362C8E">
        <w:t xml:space="preserve">When using the assay for the first time and before reading the MLE data, scan the barcode (at the end of the package insert) using the instrument barcode reader. This reading will allow the VIDAS® PTC protocol data to be transferred to the instrument software for its update. These data should only be read the first time the assay is used.          </w:t>
      </w:r>
    </w:p>
    <w:p w:rsidR="006C175E" w:rsidRDefault="00CE0895" w:rsidP="00FC0BE6">
      <w:pPr>
        <w:pStyle w:val="Default"/>
        <w:rPr>
          <w:b/>
        </w:rPr>
      </w:pPr>
      <w:r w:rsidRPr="00362C8E">
        <w:rPr>
          <w:b/>
        </w:rPr>
        <w:t xml:space="preserve">              </w:t>
      </w:r>
    </w:p>
    <w:p w:rsidR="00CE0895" w:rsidRPr="00362C8E" w:rsidRDefault="006C175E" w:rsidP="006C175E">
      <w:pPr>
        <w:pStyle w:val="Default"/>
        <w:rPr>
          <w:b/>
          <w:bCs/>
        </w:rPr>
      </w:pPr>
      <w:r>
        <w:rPr>
          <w:b/>
        </w:rPr>
        <w:t xml:space="preserve">              </w:t>
      </w:r>
      <w:r w:rsidR="00CE0895" w:rsidRPr="00362C8E">
        <w:t xml:space="preserve">5.2 </w:t>
      </w:r>
      <w:r w:rsidR="00CE0895" w:rsidRPr="00362C8E">
        <w:rPr>
          <w:bCs/>
        </w:rPr>
        <w:t>Master Lot Data Entry</w:t>
      </w:r>
      <w:r w:rsidR="00CE0895" w:rsidRPr="00362C8E">
        <w:rPr>
          <w:b/>
          <w:bCs/>
        </w:rPr>
        <w:t xml:space="preserve"> </w:t>
      </w:r>
    </w:p>
    <w:p w:rsidR="00CE0895" w:rsidRPr="00362C8E" w:rsidRDefault="00CE0895" w:rsidP="00905C37">
      <w:pPr>
        <w:pStyle w:val="Default"/>
        <w:ind w:left="2736"/>
        <w:rPr>
          <w:b/>
          <w:bCs/>
        </w:rPr>
      </w:pPr>
      <w:proofErr w:type="gramStart"/>
      <w:r w:rsidRPr="004F7A83">
        <w:rPr>
          <w:b/>
          <w:bCs/>
          <w:u w:val="single"/>
        </w:rPr>
        <w:t>Note</w:t>
      </w:r>
      <w:r w:rsidRPr="00362C8E">
        <w:rPr>
          <w:b/>
          <w:bCs/>
        </w:rPr>
        <w:t>:</w:t>
      </w:r>
      <w:r w:rsidRPr="00362C8E">
        <w:rPr>
          <w:bCs/>
        </w:rPr>
        <w:t xml:space="preserve"> When using the assay for the first time, enter the VIDAS® PTC protocol barcode at the end of the package insert) before reading the MLE data.</w:t>
      </w:r>
      <w:proofErr w:type="gramEnd"/>
      <w:r w:rsidRPr="00362C8E">
        <w:rPr>
          <w:bCs/>
        </w:rPr>
        <w:t xml:space="preserve"> If the MLE data have been read before the VIDAS® PTC protocol, read the MLE data again. Before each new lot of reagents is used, specifications (or factory master calibration data) must be entered into the instrument using a master lot entry (MLE) card included in each kit. If this operation is not performed before initiating the tests, the instrument will not be able to print results. The master lot entry (MLE) need only be entered once for each lot. It is possible to enter MLE data manually or automatically depending on the instrument. For complete instructions refer to the Operator’s Manual.</w:t>
      </w:r>
    </w:p>
    <w:p w:rsidR="00AA205C" w:rsidRDefault="00CE0895" w:rsidP="00FC0BE6">
      <w:pPr>
        <w:pStyle w:val="Default"/>
      </w:pPr>
      <w:r w:rsidRPr="00362C8E">
        <w:t xml:space="preserve">  </w:t>
      </w:r>
      <w:r w:rsidR="00344A3C" w:rsidRPr="00362C8E">
        <w:t xml:space="preserve">         </w:t>
      </w:r>
      <w:r w:rsidRPr="00362C8E">
        <w:t xml:space="preserve"> </w:t>
      </w:r>
    </w:p>
    <w:p w:rsidR="00CE0895" w:rsidRPr="00362C8E" w:rsidRDefault="00AA205C" w:rsidP="00FC0BE6">
      <w:pPr>
        <w:pStyle w:val="Default"/>
        <w:rPr>
          <w:bCs/>
        </w:rPr>
      </w:pPr>
      <w:r>
        <w:t xml:space="preserve">            </w:t>
      </w:r>
      <w:r w:rsidR="00CE0895" w:rsidRPr="00362C8E">
        <w:t xml:space="preserve">5.3 </w:t>
      </w:r>
      <w:r w:rsidR="00CE0895" w:rsidRPr="00362C8E">
        <w:rPr>
          <w:bCs/>
        </w:rPr>
        <w:t xml:space="preserve">Calibration </w:t>
      </w:r>
    </w:p>
    <w:p w:rsidR="00CE0895" w:rsidRPr="00362C8E" w:rsidRDefault="00CE0895" w:rsidP="00905C37">
      <w:pPr>
        <w:pStyle w:val="Default"/>
        <w:ind w:left="2736"/>
        <w:rPr>
          <w:bCs/>
        </w:rPr>
      </w:pPr>
      <w:r w:rsidRPr="00362C8E">
        <w:rPr>
          <w:bCs/>
        </w:rPr>
        <w:t xml:space="preserve">Calibration, using the two calibrators provided in the kit, must be </w:t>
      </w:r>
      <w:r w:rsidR="00344A3C" w:rsidRPr="00362C8E">
        <w:rPr>
          <w:bCs/>
        </w:rPr>
        <w:t xml:space="preserve">performed each time a new </w:t>
      </w:r>
      <w:r w:rsidRPr="00362C8E">
        <w:rPr>
          <w:bCs/>
        </w:rPr>
        <w:t xml:space="preserve">lot of reagents </w:t>
      </w:r>
      <w:r w:rsidR="002A7208">
        <w:rPr>
          <w:bCs/>
        </w:rPr>
        <w:t>are</w:t>
      </w:r>
      <w:r w:rsidRPr="00362C8E">
        <w:rPr>
          <w:bCs/>
        </w:rPr>
        <w:t xml:space="preserve"> opened, after the master lot data has been entered, and then every 28 days. This operation provides instrument-specific calibration curves and compensates for possible minor variations in assay signal throughout the shelf life of the kit. The calibrators, identified by S1 and S2, must be tested in duplicate in the same run (see Operator’s Manual). The calibration values must be within the set RFV ("Relative Fluorescence Value"). If this is not the case, recalibrate using S1 and S2.</w:t>
      </w:r>
    </w:p>
    <w:p w:rsidR="00CE0895" w:rsidRDefault="00CE0895" w:rsidP="00040C1C"/>
    <w:p w:rsidR="008F24AE" w:rsidRPr="00E5155B" w:rsidRDefault="008F24AE" w:rsidP="00040C1C">
      <w:pPr>
        <w:rPr>
          <w:b/>
        </w:rPr>
      </w:pPr>
      <w:r w:rsidRPr="00E5155B">
        <w:rPr>
          <w:b/>
        </w:rPr>
        <w:t>7.0 NEW LOT CORRELATION</w:t>
      </w:r>
    </w:p>
    <w:p w:rsidR="00E5155B" w:rsidRDefault="008F24AE" w:rsidP="00E5155B">
      <w:pPr>
        <w:ind w:firstLine="2736"/>
      </w:pPr>
      <w:r w:rsidRPr="008F24AE">
        <w:t>7.1</w:t>
      </w:r>
      <w:r>
        <w:rPr>
          <w:b/>
        </w:rPr>
        <w:t xml:space="preserve"> </w:t>
      </w:r>
      <w:r>
        <w:t xml:space="preserve">Due to possible manufacturing differences, new lots of </w:t>
      </w:r>
      <w:proofErr w:type="spellStart"/>
      <w:r>
        <w:t>Procalcitonin</w:t>
      </w:r>
      <w:proofErr w:type="spellEnd"/>
      <w:r>
        <w:t xml:space="preserve"> </w:t>
      </w:r>
    </w:p>
    <w:p w:rsidR="008F24AE" w:rsidRDefault="008F24AE" w:rsidP="00E5155B">
      <w:pPr>
        <w:ind w:left="2736"/>
      </w:pPr>
      <w:proofErr w:type="gramStart"/>
      <w:r>
        <w:t>reagent</w:t>
      </w:r>
      <w:proofErr w:type="gramEnd"/>
      <w:r>
        <w:t xml:space="preserve"> kits .</w:t>
      </w:r>
      <w:r w:rsidR="00E5155B">
        <w:t xml:space="preserve"> </w:t>
      </w:r>
      <w:proofErr w:type="gramStart"/>
      <w:r>
        <w:t>must</w:t>
      </w:r>
      <w:proofErr w:type="gramEnd"/>
      <w:r>
        <w:t xml:space="preserve"> be tested and evaluated with the old lot prior to being used for patient testing to ensure consistent patient results. </w:t>
      </w:r>
    </w:p>
    <w:p w:rsidR="008F24AE" w:rsidRDefault="008F24AE" w:rsidP="00040C1C"/>
    <w:p w:rsidR="00E5155B" w:rsidRDefault="008F24AE" w:rsidP="00E5155B">
      <w:pPr>
        <w:ind w:firstLine="2736"/>
      </w:pPr>
      <w:r>
        <w:t xml:space="preserve">7.2 Patient samples, previously tested, are saved and frozen in the -70° </w:t>
      </w:r>
    </w:p>
    <w:p w:rsidR="008F24AE" w:rsidRDefault="008F24AE" w:rsidP="00E5155B">
      <w:pPr>
        <w:ind w:firstLine="2736"/>
      </w:pPr>
      <w:proofErr w:type="gramStart"/>
      <w:r>
        <w:t>freezer</w:t>
      </w:r>
      <w:proofErr w:type="gramEnd"/>
      <w:r>
        <w:t>.</w:t>
      </w:r>
    </w:p>
    <w:p w:rsidR="00A32E25" w:rsidRDefault="00A32E25" w:rsidP="00040C1C"/>
    <w:p w:rsidR="00A32E25" w:rsidRPr="008F24AE" w:rsidRDefault="00A32E25" w:rsidP="00E5155B">
      <w:pPr>
        <w:ind w:firstLine="2736"/>
      </w:pPr>
      <w:r>
        <w:t xml:space="preserve">7.3 Form </w:t>
      </w:r>
      <w:r w:rsidRPr="00A20EF8">
        <w:rPr>
          <w:b/>
        </w:rPr>
        <w:t>VIDAS01-001 Form A</w:t>
      </w:r>
      <w:r>
        <w:t xml:space="preserve"> will be used to document lot to lots. </w:t>
      </w:r>
    </w:p>
    <w:p w:rsidR="008F24AE" w:rsidRDefault="008F24AE" w:rsidP="00040C1C"/>
    <w:p w:rsidR="008F24AE" w:rsidRDefault="008F24AE" w:rsidP="00040C1C"/>
    <w:p w:rsidR="001434D2" w:rsidRPr="00E5155B" w:rsidRDefault="00A32E25" w:rsidP="00040C1C">
      <w:pPr>
        <w:rPr>
          <w:b/>
        </w:rPr>
      </w:pPr>
      <w:r w:rsidRPr="00E5155B">
        <w:rPr>
          <w:b/>
          <w:bCs/>
        </w:rPr>
        <w:t>8</w:t>
      </w:r>
      <w:r w:rsidR="001434D2" w:rsidRPr="00E5155B">
        <w:rPr>
          <w:b/>
        </w:rPr>
        <w:t>.0 QUALITY CONTROL</w:t>
      </w:r>
    </w:p>
    <w:p w:rsidR="00AA205C" w:rsidRDefault="00AA205C" w:rsidP="00905C37">
      <w:pPr>
        <w:pStyle w:val="Default"/>
        <w:rPr>
          <w:bCs/>
        </w:rPr>
      </w:pPr>
      <w:r>
        <w:rPr>
          <w:bCs/>
        </w:rPr>
        <w:t xml:space="preserve">       </w:t>
      </w:r>
    </w:p>
    <w:p w:rsidR="007E4A59" w:rsidRPr="00362C8E" w:rsidRDefault="00AA205C" w:rsidP="00905C37">
      <w:pPr>
        <w:pStyle w:val="Default"/>
      </w:pPr>
      <w:r>
        <w:rPr>
          <w:bCs/>
        </w:rPr>
        <w:t xml:space="preserve">       </w:t>
      </w:r>
      <w:r w:rsidR="007E4A59" w:rsidRPr="00362C8E">
        <w:rPr>
          <w:bCs/>
        </w:rPr>
        <w:t xml:space="preserve">Two controls are included in each </w:t>
      </w:r>
      <w:proofErr w:type="gramStart"/>
      <w:r w:rsidR="007E4A59" w:rsidRPr="00362C8E">
        <w:rPr>
          <w:bCs/>
        </w:rPr>
        <w:t>VIDAS</w:t>
      </w:r>
      <w:r w:rsidR="00F76BEA">
        <w:rPr>
          <w:bCs/>
        </w:rPr>
        <w:t xml:space="preserve"> </w:t>
      </w:r>
      <w:r w:rsidR="007E4A59" w:rsidRPr="00362C8E">
        <w:t xml:space="preserve"> </w:t>
      </w:r>
      <w:r w:rsidR="007E4A59" w:rsidRPr="00362C8E">
        <w:rPr>
          <w:bCs/>
        </w:rPr>
        <w:t>B.R.A.H.M.S</w:t>
      </w:r>
      <w:proofErr w:type="gramEnd"/>
      <w:r w:rsidR="007E4A59" w:rsidRPr="00362C8E">
        <w:rPr>
          <w:bCs/>
        </w:rPr>
        <w:t xml:space="preserve"> PCT kit. These controls must be </w:t>
      </w:r>
      <w:r>
        <w:rPr>
          <w:bCs/>
        </w:rPr>
        <w:t xml:space="preserve">     </w:t>
      </w:r>
      <w:r w:rsidR="007E4A59" w:rsidRPr="00362C8E">
        <w:rPr>
          <w:bCs/>
        </w:rPr>
        <w:t xml:space="preserve">performed immediately after opening a new kit to ensure that reagent performance has not been altered. Each calibration must also be checked using these controls. The instrument will only be able to check the control values if they are identified as C1 and C2. Results cannot be validated if the controls deviate from the expected values. Samples tested in the same run must be re-assayed. </w:t>
      </w:r>
    </w:p>
    <w:p w:rsidR="001F3515" w:rsidRDefault="001F3515" w:rsidP="00040C1C"/>
    <w:p w:rsidR="004F7A83" w:rsidRPr="00E32306" w:rsidRDefault="007E4A59" w:rsidP="00040C1C">
      <w:pPr>
        <w:rPr>
          <w:b/>
        </w:rPr>
      </w:pPr>
      <w:r w:rsidRPr="0071286B">
        <w:rPr>
          <w:b/>
          <w:u w:val="single"/>
        </w:rPr>
        <w:t>Note:</w:t>
      </w:r>
      <w:r w:rsidRPr="00362C8E">
        <w:t xml:space="preserve"> It is the responsibility of the user to perform Quality Control </w:t>
      </w:r>
      <w:r w:rsidR="004F7A83" w:rsidRPr="004F7A83">
        <w:rPr>
          <w:b/>
          <w:u w:val="single"/>
        </w:rPr>
        <w:t xml:space="preserve">every 24 hours. </w:t>
      </w:r>
    </w:p>
    <w:p w:rsidR="004F7A83" w:rsidRPr="00362C8E" w:rsidRDefault="004F7A83" w:rsidP="00FC0BE6">
      <w:pPr>
        <w:pStyle w:val="Default"/>
        <w:rPr>
          <w:b/>
        </w:rPr>
      </w:pPr>
    </w:p>
    <w:p w:rsidR="00E5155B" w:rsidRDefault="00E5155B" w:rsidP="00FC0BE6">
      <w:pPr>
        <w:pStyle w:val="Default"/>
        <w:rPr>
          <w:b/>
        </w:rPr>
      </w:pPr>
    </w:p>
    <w:p w:rsidR="00E5155B" w:rsidRDefault="00E5155B" w:rsidP="00FC0BE6">
      <w:pPr>
        <w:pStyle w:val="Default"/>
        <w:rPr>
          <w:b/>
        </w:rPr>
      </w:pPr>
    </w:p>
    <w:p w:rsidR="00515975" w:rsidRPr="00362C8E" w:rsidRDefault="00A32E25" w:rsidP="00FC0BE6">
      <w:pPr>
        <w:pStyle w:val="Default"/>
        <w:rPr>
          <w:b/>
          <w:bCs/>
        </w:rPr>
      </w:pPr>
      <w:r>
        <w:rPr>
          <w:b/>
        </w:rPr>
        <w:t>9</w:t>
      </w:r>
      <w:r w:rsidR="00905C37" w:rsidRPr="00362C8E">
        <w:rPr>
          <w:b/>
        </w:rPr>
        <w:t xml:space="preserve">.0 </w:t>
      </w:r>
      <w:r w:rsidR="00515975" w:rsidRPr="00362C8E">
        <w:rPr>
          <w:b/>
          <w:bCs/>
        </w:rPr>
        <w:t xml:space="preserve">EXPECTED VALUES FOR THE CONTROLS AND CALIBRATORS </w:t>
      </w:r>
    </w:p>
    <w:p w:rsidR="00AA205C" w:rsidRDefault="00AA205C" w:rsidP="00FC0BE6">
      <w:pPr>
        <w:pStyle w:val="Default"/>
        <w:rPr>
          <w:bCs/>
        </w:rPr>
      </w:pPr>
      <w:r>
        <w:rPr>
          <w:bCs/>
        </w:rPr>
        <w:t xml:space="preserve">      </w:t>
      </w:r>
    </w:p>
    <w:p w:rsidR="00515975" w:rsidRPr="00362C8E" w:rsidRDefault="00AA205C" w:rsidP="00FC0BE6">
      <w:pPr>
        <w:pStyle w:val="Default"/>
        <w:rPr>
          <w:bCs/>
        </w:rPr>
      </w:pPr>
      <w:r>
        <w:rPr>
          <w:bCs/>
        </w:rPr>
        <w:t xml:space="preserve">      </w:t>
      </w:r>
      <w:r w:rsidR="00515975" w:rsidRPr="00362C8E">
        <w:rPr>
          <w:bCs/>
        </w:rPr>
        <w:t>The expected values for the controls and calibrators are printed on the MLE card. If the result     from testing the controls and calibrators do not meet these specifications, do not report patient results.</w:t>
      </w:r>
    </w:p>
    <w:p w:rsidR="00905C37" w:rsidRPr="00362C8E" w:rsidRDefault="00905C37" w:rsidP="00FC0BE6">
      <w:pPr>
        <w:pStyle w:val="Default"/>
        <w:rPr>
          <w:bCs/>
        </w:rPr>
      </w:pPr>
    </w:p>
    <w:p w:rsidR="00E5155B" w:rsidRDefault="00E5155B" w:rsidP="009A6F26">
      <w:pPr>
        <w:pStyle w:val="Default"/>
        <w:rPr>
          <w:b/>
        </w:rPr>
      </w:pPr>
    </w:p>
    <w:p w:rsidR="00E5155B" w:rsidRDefault="00E5155B" w:rsidP="009A6F26">
      <w:pPr>
        <w:pStyle w:val="Default"/>
        <w:rPr>
          <w:b/>
        </w:rPr>
      </w:pPr>
    </w:p>
    <w:p w:rsidR="00E5155B" w:rsidRDefault="00E5155B" w:rsidP="009A6F26">
      <w:pPr>
        <w:pStyle w:val="Default"/>
        <w:rPr>
          <w:b/>
        </w:rPr>
      </w:pPr>
    </w:p>
    <w:p w:rsidR="00E5155B" w:rsidRDefault="00E5155B" w:rsidP="009A6F26">
      <w:pPr>
        <w:pStyle w:val="Default"/>
        <w:rPr>
          <w:b/>
        </w:rPr>
      </w:pPr>
    </w:p>
    <w:p w:rsidR="00E5155B" w:rsidRDefault="00E5155B" w:rsidP="009A6F26">
      <w:pPr>
        <w:pStyle w:val="Default"/>
        <w:rPr>
          <w:b/>
        </w:rPr>
      </w:pPr>
    </w:p>
    <w:p w:rsidR="00E5155B" w:rsidRDefault="00E5155B" w:rsidP="009A6F26">
      <w:pPr>
        <w:pStyle w:val="Default"/>
        <w:rPr>
          <w:b/>
        </w:rPr>
      </w:pPr>
    </w:p>
    <w:p w:rsidR="009A6F26" w:rsidRDefault="00F76BEA" w:rsidP="009A6F26">
      <w:pPr>
        <w:pStyle w:val="Default"/>
      </w:pPr>
      <w:r>
        <w:rPr>
          <w:b/>
        </w:rPr>
        <w:t>10</w:t>
      </w:r>
      <w:r w:rsidR="00905C37" w:rsidRPr="00362C8E">
        <w:rPr>
          <w:b/>
        </w:rPr>
        <w:t>.0</w:t>
      </w:r>
      <w:r w:rsidR="00712C70" w:rsidRPr="00362C8E">
        <w:rPr>
          <w:b/>
        </w:rPr>
        <w:t xml:space="preserve"> </w:t>
      </w:r>
      <w:r w:rsidR="00712C70" w:rsidRPr="00362C8E">
        <w:rPr>
          <w:b/>
          <w:bCs/>
        </w:rPr>
        <w:t>PROCEDURE</w:t>
      </w:r>
    </w:p>
    <w:p w:rsidR="009A6F26" w:rsidRDefault="009A6F26" w:rsidP="009A6F26">
      <w:pPr>
        <w:pStyle w:val="Default"/>
      </w:pPr>
    </w:p>
    <w:p w:rsidR="00712C70" w:rsidRPr="00362C8E" w:rsidRDefault="009A6F26" w:rsidP="009A6F26">
      <w:pPr>
        <w:pStyle w:val="Default"/>
      </w:pPr>
      <w:r>
        <w:t xml:space="preserve"> </w:t>
      </w:r>
      <w:r w:rsidR="00381A16">
        <w:t xml:space="preserve">            </w:t>
      </w:r>
      <w:r w:rsidR="00F76BEA">
        <w:rPr>
          <w:bCs/>
        </w:rPr>
        <w:t>10</w:t>
      </w:r>
      <w:r w:rsidR="00905C37" w:rsidRPr="00362C8E">
        <w:rPr>
          <w:bCs/>
        </w:rPr>
        <w:t>.1.</w:t>
      </w:r>
      <w:r w:rsidR="00712C70" w:rsidRPr="00362C8E">
        <w:rPr>
          <w:bCs/>
        </w:rPr>
        <w:t xml:space="preserve"> Remove the required reagents from the refrigerator. </w:t>
      </w:r>
    </w:p>
    <w:p w:rsidR="00381A16" w:rsidRDefault="00381A16" w:rsidP="00FC0BE6">
      <w:pPr>
        <w:pStyle w:val="Default"/>
        <w:rPr>
          <w:bCs/>
        </w:rPr>
      </w:pPr>
      <w:r>
        <w:rPr>
          <w:bCs/>
        </w:rPr>
        <w:t xml:space="preserve">    </w:t>
      </w:r>
    </w:p>
    <w:p w:rsidR="00381A16" w:rsidRDefault="00381A16" w:rsidP="00FC0BE6">
      <w:pPr>
        <w:pStyle w:val="Default"/>
        <w:rPr>
          <w:bCs/>
        </w:rPr>
      </w:pPr>
      <w:r>
        <w:rPr>
          <w:bCs/>
        </w:rPr>
        <w:t xml:space="preserve">             </w:t>
      </w:r>
      <w:r w:rsidR="00F76BEA">
        <w:rPr>
          <w:bCs/>
        </w:rPr>
        <w:t>10</w:t>
      </w:r>
      <w:r w:rsidR="00905C37" w:rsidRPr="00362C8E">
        <w:rPr>
          <w:bCs/>
        </w:rPr>
        <w:t>.2.</w:t>
      </w:r>
      <w:r w:rsidR="00712C70" w:rsidRPr="00362C8E">
        <w:rPr>
          <w:bCs/>
        </w:rPr>
        <w:t xml:space="preserve"> Use one "PCT" strip and one "PCT" SPR for each sample, control or calibrator to be </w:t>
      </w:r>
      <w:r>
        <w:rPr>
          <w:bCs/>
        </w:rPr>
        <w:t xml:space="preserve">  </w:t>
      </w:r>
    </w:p>
    <w:p w:rsidR="00712C70" w:rsidRDefault="00381A16" w:rsidP="00FC0BE6">
      <w:pPr>
        <w:pStyle w:val="Default"/>
        <w:rPr>
          <w:bCs/>
        </w:rPr>
      </w:pPr>
      <w:r>
        <w:rPr>
          <w:bCs/>
        </w:rPr>
        <w:t xml:space="preserve">                   </w:t>
      </w:r>
      <w:proofErr w:type="gramStart"/>
      <w:r w:rsidRPr="00362C8E">
        <w:rPr>
          <w:bCs/>
        </w:rPr>
        <w:t>tested</w:t>
      </w:r>
      <w:proofErr w:type="gramEnd"/>
      <w:r w:rsidRPr="00362C8E">
        <w:rPr>
          <w:bCs/>
        </w:rPr>
        <w:t xml:space="preserve">. Make sure the storage pouch has been carefully resealed after the required SPRs </w:t>
      </w:r>
    </w:p>
    <w:p w:rsidR="00381A16" w:rsidRPr="00362C8E" w:rsidRDefault="00381A16" w:rsidP="00FC0BE6">
      <w:pPr>
        <w:pStyle w:val="Default"/>
      </w:pPr>
      <w:r>
        <w:rPr>
          <w:bCs/>
        </w:rPr>
        <w:t xml:space="preserve">                   </w:t>
      </w:r>
      <w:proofErr w:type="gramStart"/>
      <w:r w:rsidRPr="00362C8E">
        <w:rPr>
          <w:bCs/>
        </w:rPr>
        <w:t>have</w:t>
      </w:r>
      <w:proofErr w:type="gramEnd"/>
      <w:r w:rsidRPr="00362C8E">
        <w:rPr>
          <w:bCs/>
        </w:rPr>
        <w:t xml:space="preserve"> been removed.</w:t>
      </w:r>
    </w:p>
    <w:p w:rsidR="00381A16" w:rsidRDefault="00381A16" w:rsidP="00FC0BE6">
      <w:pPr>
        <w:pStyle w:val="Default"/>
        <w:rPr>
          <w:bCs/>
        </w:rPr>
      </w:pPr>
    </w:p>
    <w:p w:rsidR="00381A16" w:rsidRDefault="00381A16" w:rsidP="00FC0BE6">
      <w:pPr>
        <w:pStyle w:val="Default"/>
        <w:rPr>
          <w:bCs/>
        </w:rPr>
      </w:pPr>
      <w:r>
        <w:rPr>
          <w:bCs/>
        </w:rPr>
        <w:t xml:space="preserve">             </w:t>
      </w:r>
      <w:r w:rsidR="00F76BEA">
        <w:rPr>
          <w:bCs/>
        </w:rPr>
        <w:t>10</w:t>
      </w:r>
      <w:r w:rsidR="00905C37" w:rsidRPr="00362C8E">
        <w:rPr>
          <w:bCs/>
        </w:rPr>
        <w:t>.</w:t>
      </w:r>
      <w:r w:rsidR="00712C70" w:rsidRPr="00362C8E">
        <w:rPr>
          <w:bCs/>
        </w:rPr>
        <w:t xml:space="preserve">3. The test is identified by the "PCT" code on the instrument. The calibrators must be </w:t>
      </w:r>
      <w:r>
        <w:rPr>
          <w:bCs/>
        </w:rPr>
        <w:t xml:space="preserve">  </w:t>
      </w:r>
    </w:p>
    <w:p w:rsidR="00381A16" w:rsidRDefault="00381A16" w:rsidP="00FC0BE6">
      <w:pPr>
        <w:pStyle w:val="Default"/>
        <w:rPr>
          <w:bCs/>
        </w:rPr>
      </w:pPr>
      <w:r>
        <w:rPr>
          <w:bCs/>
        </w:rPr>
        <w:t xml:space="preserve">                    </w:t>
      </w:r>
      <w:proofErr w:type="gramStart"/>
      <w:r w:rsidRPr="00362C8E">
        <w:rPr>
          <w:bCs/>
        </w:rPr>
        <w:t>identified</w:t>
      </w:r>
      <w:proofErr w:type="gramEnd"/>
      <w:r w:rsidRPr="00362C8E">
        <w:rPr>
          <w:bCs/>
        </w:rPr>
        <w:t xml:space="preserve"> by "S1" and by “S2”, and tested in duplicate. If the controls need to be tested, </w:t>
      </w:r>
    </w:p>
    <w:p w:rsidR="00381A16" w:rsidRPr="00362C8E" w:rsidRDefault="00381A16" w:rsidP="00381A16">
      <w:pPr>
        <w:pStyle w:val="Default"/>
      </w:pPr>
      <w:r>
        <w:rPr>
          <w:bCs/>
        </w:rPr>
        <w:t xml:space="preserve">                </w:t>
      </w:r>
      <w:r w:rsidR="00B11908">
        <w:rPr>
          <w:bCs/>
        </w:rPr>
        <w:t xml:space="preserve"> </w:t>
      </w:r>
      <w:r>
        <w:rPr>
          <w:bCs/>
        </w:rPr>
        <w:t xml:space="preserve">   </w:t>
      </w:r>
      <w:proofErr w:type="gramStart"/>
      <w:r w:rsidRPr="00362C8E">
        <w:rPr>
          <w:bCs/>
        </w:rPr>
        <w:t>they</w:t>
      </w:r>
      <w:proofErr w:type="gramEnd"/>
      <w:r w:rsidRPr="00362C8E">
        <w:rPr>
          <w:bCs/>
        </w:rPr>
        <w:t xml:space="preserve"> should be identified by C1 and C2 and tested singly. </w:t>
      </w:r>
    </w:p>
    <w:p w:rsidR="00381A16" w:rsidRDefault="00381A16" w:rsidP="00FC0BE6">
      <w:pPr>
        <w:pStyle w:val="Default"/>
        <w:rPr>
          <w:bCs/>
        </w:rPr>
      </w:pPr>
    </w:p>
    <w:p w:rsidR="00712C70" w:rsidRPr="00362C8E" w:rsidRDefault="00381A16" w:rsidP="00FC0BE6">
      <w:pPr>
        <w:pStyle w:val="Default"/>
      </w:pPr>
      <w:r>
        <w:rPr>
          <w:bCs/>
        </w:rPr>
        <w:t xml:space="preserve">             </w:t>
      </w:r>
      <w:r w:rsidR="00F76BEA">
        <w:rPr>
          <w:bCs/>
        </w:rPr>
        <w:t>10</w:t>
      </w:r>
      <w:r w:rsidR="00905C37" w:rsidRPr="00362C8E">
        <w:rPr>
          <w:bCs/>
        </w:rPr>
        <w:t>.</w:t>
      </w:r>
      <w:r w:rsidR="00712C70" w:rsidRPr="00362C8E">
        <w:rPr>
          <w:bCs/>
        </w:rPr>
        <w:t xml:space="preserve">4. Mix the calibrators and/or controls using a vortex-type mixer. </w:t>
      </w:r>
    </w:p>
    <w:p w:rsidR="00381A16" w:rsidRDefault="00381A16" w:rsidP="00FC0BE6">
      <w:pPr>
        <w:pStyle w:val="Default"/>
        <w:rPr>
          <w:bCs/>
        </w:rPr>
      </w:pPr>
    </w:p>
    <w:p w:rsidR="00B11908" w:rsidRDefault="00381A16" w:rsidP="00FC0BE6">
      <w:pPr>
        <w:pStyle w:val="Default"/>
        <w:rPr>
          <w:bCs/>
        </w:rPr>
      </w:pPr>
      <w:r>
        <w:rPr>
          <w:bCs/>
        </w:rPr>
        <w:t xml:space="preserve">             </w:t>
      </w:r>
      <w:r w:rsidR="00F76BEA">
        <w:rPr>
          <w:bCs/>
        </w:rPr>
        <w:t>10</w:t>
      </w:r>
      <w:r w:rsidR="00905C37" w:rsidRPr="00362C8E">
        <w:rPr>
          <w:bCs/>
        </w:rPr>
        <w:t>.</w:t>
      </w:r>
      <w:r w:rsidR="00712C70" w:rsidRPr="00362C8E">
        <w:rPr>
          <w:bCs/>
        </w:rPr>
        <w:t xml:space="preserve">5. For this test, the calibrator, control, and sample test portion is 200 </w:t>
      </w:r>
      <w:proofErr w:type="spellStart"/>
      <w:r w:rsidR="00712C70" w:rsidRPr="00362C8E">
        <w:rPr>
          <w:bCs/>
        </w:rPr>
        <w:t>μl</w:t>
      </w:r>
      <w:proofErr w:type="spellEnd"/>
      <w:r w:rsidR="00712C70" w:rsidRPr="00362C8E">
        <w:rPr>
          <w:bCs/>
        </w:rPr>
        <w:t xml:space="preserve">. </w:t>
      </w:r>
      <w:r w:rsidR="00B11908">
        <w:rPr>
          <w:bCs/>
        </w:rPr>
        <w:t xml:space="preserve">Inoculate 200uL </w:t>
      </w:r>
    </w:p>
    <w:p w:rsidR="00B11908" w:rsidRDefault="00B11908" w:rsidP="00FC0BE6">
      <w:pPr>
        <w:pStyle w:val="Default"/>
        <w:rPr>
          <w:bCs/>
        </w:rPr>
      </w:pPr>
      <w:r>
        <w:rPr>
          <w:bCs/>
        </w:rPr>
        <w:t xml:space="preserve">                      </w:t>
      </w:r>
      <w:proofErr w:type="gramStart"/>
      <w:r>
        <w:rPr>
          <w:bCs/>
        </w:rPr>
        <w:t>of</w:t>
      </w:r>
      <w:proofErr w:type="gramEnd"/>
      <w:r>
        <w:rPr>
          <w:bCs/>
        </w:rPr>
        <w:t xml:space="preserve"> patient specimen into the SPR in the front well.  Check specimen prior to  </w:t>
      </w:r>
    </w:p>
    <w:p w:rsidR="00F35603" w:rsidRDefault="00B11908" w:rsidP="00FC0BE6">
      <w:pPr>
        <w:pStyle w:val="Default"/>
        <w:rPr>
          <w:bCs/>
        </w:rPr>
      </w:pPr>
      <w:r>
        <w:rPr>
          <w:bCs/>
        </w:rPr>
        <w:t xml:space="preserve">                      </w:t>
      </w:r>
      <w:proofErr w:type="gramStart"/>
      <w:r>
        <w:rPr>
          <w:bCs/>
        </w:rPr>
        <w:t>inoculating</w:t>
      </w:r>
      <w:proofErr w:type="gramEnd"/>
      <w:r>
        <w:rPr>
          <w:bCs/>
        </w:rPr>
        <w:t xml:space="preserve"> the SPR to ensure 200uL has been aspirated and no bubbles are present.</w:t>
      </w:r>
      <w:r w:rsidR="00F35603">
        <w:rPr>
          <w:bCs/>
        </w:rPr>
        <w:t xml:space="preserve"> </w:t>
      </w:r>
    </w:p>
    <w:p w:rsidR="00712C70" w:rsidRPr="00362C8E" w:rsidRDefault="00F35603" w:rsidP="00FC0BE6">
      <w:pPr>
        <w:pStyle w:val="Default"/>
      </w:pPr>
      <w:r>
        <w:rPr>
          <w:bCs/>
        </w:rPr>
        <w:t xml:space="preserve">                      Specimens with less than 200 </w:t>
      </w:r>
      <w:proofErr w:type="spellStart"/>
      <w:r>
        <w:rPr>
          <w:bCs/>
        </w:rPr>
        <w:t>uL</w:t>
      </w:r>
      <w:proofErr w:type="spellEnd"/>
      <w:r>
        <w:rPr>
          <w:bCs/>
        </w:rPr>
        <w:t xml:space="preserve"> should be canceled as QNS. </w:t>
      </w:r>
    </w:p>
    <w:p w:rsidR="00381A16" w:rsidRDefault="00381A16" w:rsidP="00FC0BE6">
      <w:pPr>
        <w:pStyle w:val="Default"/>
        <w:rPr>
          <w:bCs/>
        </w:rPr>
      </w:pPr>
    </w:p>
    <w:p w:rsidR="00F76BEA" w:rsidRDefault="00381A16" w:rsidP="00FC0BE6">
      <w:pPr>
        <w:pStyle w:val="Default"/>
        <w:rPr>
          <w:bCs/>
        </w:rPr>
      </w:pPr>
      <w:r>
        <w:rPr>
          <w:bCs/>
        </w:rPr>
        <w:t xml:space="preserve">             </w:t>
      </w:r>
      <w:r w:rsidR="00F76BEA">
        <w:rPr>
          <w:bCs/>
        </w:rPr>
        <w:t>10</w:t>
      </w:r>
      <w:r w:rsidR="00905C37" w:rsidRPr="00362C8E">
        <w:rPr>
          <w:bCs/>
        </w:rPr>
        <w:t>.</w:t>
      </w:r>
      <w:r w:rsidR="00712C70" w:rsidRPr="00362C8E">
        <w:rPr>
          <w:bCs/>
        </w:rPr>
        <w:t xml:space="preserve">6. Insert the "PCT" SPRs and strips into the appropriate position on the instrument. </w:t>
      </w:r>
    </w:p>
    <w:p w:rsidR="00F76BEA" w:rsidRDefault="00F76BEA" w:rsidP="00381A16">
      <w:pPr>
        <w:pStyle w:val="Default"/>
        <w:rPr>
          <w:bCs/>
        </w:rPr>
      </w:pPr>
      <w:r>
        <w:rPr>
          <w:bCs/>
        </w:rPr>
        <w:t xml:space="preserve">                      </w:t>
      </w:r>
      <w:r w:rsidR="00712C70" w:rsidRPr="00362C8E">
        <w:rPr>
          <w:bCs/>
        </w:rPr>
        <w:t xml:space="preserve">Check </w:t>
      </w:r>
      <w:r w:rsidR="00381A16" w:rsidRPr="00362C8E">
        <w:rPr>
          <w:bCs/>
        </w:rPr>
        <w:t xml:space="preserve">to make sure the color labels with the assay code on the SPRs and the Reagent </w:t>
      </w:r>
      <w:r>
        <w:rPr>
          <w:bCs/>
        </w:rPr>
        <w:t xml:space="preserve"> </w:t>
      </w:r>
    </w:p>
    <w:p w:rsidR="00381A16" w:rsidRPr="00362C8E" w:rsidRDefault="00F76BEA" w:rsidP="00381A16">
      <w:pPr>
        <w:pStyle w:val="Default"/>
      </w:pPr>
      <w:r>
        <w:rPr>
          <w:bCs/>
        </w:rPr>
        <w:t xml:space="preserve">                      </w:t>
      </w:r>
      <w:r w:rsidR="00381A16" w:rsidRPr="00362C8E">
        <w:rPr>
          <w:bCs/>
        </w:rPr>
        <w:t>Strips match.</w:t>
      </w:r>
    </w:p>
    <w:p w:rsidR="00381A16" w:rsidRDefault="00381A16" w:rsidP="00FC0BE6">
      <w:pPr>
        <w:pStyle w:val="Default"/>
        <w:rPr>
          <w:bCs/>
        </w:rPr>
      </w:pPr>
    </w:p>
    <w:p w:rsidR="00712C70" w:rsidRDefault="00381A16" w:rsidP="00FC0BE6">
      <w:pPr>
        <w:pStyle w:val="Default"/>
        <w:rPr>
          <w:bCs/>
        </w:rPr>
      </w:pPr>
      <w:r>
        <w:rPr>
          <w:bCs/>
        </w:rPr>
        <w:t xml:space="preserve">            </w:t>
      </w:r>
      <w:r w:rsidR="00F76BEA">
        <w:rPr>
          <w:bCs/>
        </w:rPr>
        <w:t>10</w:t>
      </w:r>
      <w:r w:rsidR="00905C37" w:rsidRPr="00362C8E">
        <w:rPr>
          <w:bCs/>
        </w:rPr>
        <w:t>.</w:t>
      </w:r>
      <w:r w:rsidR="00712C70" w:rsidRPr="00362C8E">
        <w:rPr>
          <w:bCs/>
        </w:rPr>
        <w:t xml:space="preserve">7. Initiate the assay immediately. All the assay steps are performed automatically by the </w:t>
      </w:r>
      <w:r>
        <w:rPr>
          <w:bCs/>
        </w:rPr>
        <w:t xml:space="preserve"> </w:t>
      </w:r>
    </w:p>
    <w:p w:rsidR="00381A16" w:rsidRPr="00362C8E" w:rsidRDefault="00381A16" w:rsidP="00FC0BE6">
      <w:pPr>
        <w:pStyle w:val="Default"/>
      </w:pPr>
      <w:r>
        <w:rPr>
          <w:bCs/>
        </w:rPr>
        <w:t xml:space="preserve">                    </w:t>
      </w:r>
      <w:proofErr w:type="gramStart"/>
      <w:r w:rsidR="00E7436E" w:rsidRPr="00362C8E">
        <w:rPr>
          <w:bCs/>
        </w:rPr>
        <w:t>instrument</w:t>
      </w:r>
      <w:proofErr w:type="gramEnd"/>
      <w:r w:rsidR="00E7436E" w:rsidRPr="00362C8E">
        <w:rPr>
          <w:bCs/>
        </w:rPr>
        <w:t>.</w:t>
      </w:r>
    </w:p>
    <w:p w:rsidR="00E7436E" w:rsidRDefault="00E7436E" w:rsidP="00FC0BE6">
      <w:pPr>
        <w:pStyle w:val="Default"/>
        <w:rPr>
          <w:bCs/>
        </w:rPr>
      </w:pPr>
      <w:r>
        <w:rPr>
          <w:bCs/>
        </w:rPr>
        <w:t xml:space="preserve">             </w:t>
      </w:r>
    </w:p>
    <w:p w:rsidR="00712C70" w:rsidRPr="00362C8E" w:rsidRDefault="00F76BEA" w:rsidP="00FC0BE6">
      <w:pPr>
        <w:pStyle w:val="Default"/>
      </w:pPr>
      <w:r>
        <w:rPr>
          <w:bCs/>
        </w:rPr>
        <w:t xml:space="preserve">            10</w:t>
      </w:r>
      <w:r w:rsidR="00905C37" w:rsidRPr="00362C8E">
        <w:rPr>
          <w:bCs/>
        </w:rPr>
        <w:t>.</w:t>
      </w:r>
      <w:r w:rsidR="00712C70" w:rsidRPr="00362C8E">
        <w:rPr>
          <w:bCs/>
        </w:rPr>
        <w:t xml:space="preserve">8. Reclose the vials and return them to the required temperature after pipetting. </w:t>
      </w:r>
    </w:p>
    <w:p w:rsidR="00E7436E" w:rsidRDefault="00E7436E" w:rsidP="00FC0BE6">
      <w:pPr>
        <w:pStyle w:val="Default"/>
        <w:rPr>
          <w:bCs/>
        </w:rPr>
      </w:pPr>
    </w:p>
    <w:p w:rsidR="00712C70" w:rsidRDefault="00F76BEA" w:rsidP="00FC0BE6">
      <w:pPr>
        <w:pStyle w:val="Default"/>
        <w:rPr>
          <w:bCs/>
        </w:rPr>
      </w:pPr>
      <w:r>
        <w:rPr>
          <w:bCs/>
        </w:rPr>
        <w:t xml:space="preserve">            10</w:t>
      </w:r>
      <w:r w:rsidR="00905C37" w:rsidRPr="00362C8E">
        <w:rPr>
          <w:bCs/>
        </w:rPr>
        <w:t>.</w:t>
      </w:r>
      <w:r w:rsidR="00712C70" w:rsidRPr="00362C8E">
        <w:rPr>
          <w:bCs/>
        </w:rPr>
        <w:t xml:space="preserve">9. The assay will be completed within approximately 20 minutes. After the assay is </w:t>
      </w:r>
    </w:p>
    <w:p w:rsidR="00E7436E" w:rsidRPr="00362C8E" w:rsidRDefault="00E7436E" w:rsidP="00FC0BE6">
      <w:pPr>
        <w:pStyle w:val="Default"/>
      </w:pPr>
      <w:r>
        <w:rPr>
          <w:bCs/>
        </w:rPr>
        <w:t xml:space="preserve">                    </w:t>
      </w:r>
      <w:r w:rsidRPr="00362C8E">
        <w:rPr>
          <w:bCs/>
        </w:rPr>
        <w:t>completed, remove the SPRs and strips from the instrument.</w:t>
      </w:r>
    </w:p>
    <w:p w:rsidR="00E7436E" w:rsidRDefault="00E7436E" w:rsidP="00040C1C"/>
    <w:p w:rsidR="00712C70" w:rsidRDefault="00F76BEA" w:rsidP="00040C1C">
      <w:r>
        <w:t xml:space="preserve">            10</w:t>
      </w:r>
      <w:r w:rsidR="00905C37" w:rsidRPr="00362C8E">
        <w:t>.</w:t>
      </w:r>
      <w:r w:rsidR="00712C70" w:rsidRPr="00362C8E">
        <w:t>10. Dispose of the used SPRs and strips into an appropriate recipient.</w:t>
      </w:r>
    </w:p>
    <w:p w:rsidR="00B72B01" w:rsidRDefault="00B72B01" w:rsidP="00040C1C"/>
    <w:p w:rsidR="00B72B01" w:rsidRDefault="00B72B01" w:rsidP="00040C1C">
      <w:r>
        <w:t xml:space="preserve">            10.11 Results from controls and patient tests can be searched and printed by clicking on the </w:t>
      </w:r>
    </w:p>
    <w:p w:rsidR="00B72B01" w:rsidRPr="00362C8E" w:rsidRDefault="00B72B01" w:rsidP="00040C1C">
      <w:r>
        <w:t xml:space="preserve">                      History tab and filling in the date range. </w:t>
      </w:r>
    </w:p>
    <w:p w:rsidR="00AB5065" w:rsidRPr="00362C8E" w:rsidRDefault="00AB5065" w:rsidP="00040C1C"/>
    <w:p w:rsidR="00E5155B" w:rsidRDefault="00E5155B" w:rsidP="00FC0BE6">
      <w:pPr>
        <w:pStyle w:val="Default"/>
        <w:rPr>
          <w:b/>
        </w:rPr>
      </w:pPr>
    </w:p>
    <w:p w:rsidR="00E5155B" w:rsidRDefault="00E5155B" w:rsidP="00FC0BE6">
      <w:pPr>
        <w:pStyle w:val="Default"/>
        <w:rPr>
          <w:b/>
        </w:rPr>
      </w:pPr>
    </w:p>
    <w:p w:rsidR="00D6772B" w:rsidRPr="00362C8E" w:rsidRDefault="00515975" w:rsidP="00FC0BE6">
      <w:pPr>
        <w:pStyle w:val="Default"/>
      </w:pPr>
      <w:r w:rsidRPr="00362C8E">
        <w:rPr>
          <w:b/>
        </w:rPr>
        <w:t>1</w:t>
      </w:r>
      <w:r w:rsidR="00F76BEA">
        <w:rPr>
          <w:b/>
        </w:rPr>
        <w:t>1</w:t>
      </w:r>
      <w:r w:rsidR="00D6772B" w:rsidRPr="00362C8E">
        <w:rPr>
          <w:b/>
        </w:rPr>
        <w:t xml:space="preserve">.0. </w:t>
      </w:r>
      <w:r w:rsidR="00D6772B" w:rsidRPr="00362C8E">
        <w:rPr>
          <w:b/>
          <w:bCs/>
        </w:rPr>
        <w:t xml:space="preserve">RESULTS </w:t>
      </w:r>
    </w:p>
    <w:p w:rsidR="00E7436E" w:rsidRDefault="00E7436E" w:rsidP="00E7436E">
      <w:pPr>
        <w:pStyle w:val="Default"/>
        <w:rPr>
          <w:bCs/>
        </w:rPr>
      </w:pPr>
    </w:p>
    <w:p w:rsidR="00300C77" w:rsidRPr="00362C8E" w:rsidRDefault="00E7436E" w:rsidP="00E7436E">
      <w:pPr>
        <w:pStyle w:val="Default"/>
      </w:pPr>
      <w:r>
        <w:rPr>
          <w:bCs/>
        </w:rPr>
        <w:t xml:space="preserve">          </w:t>
      </w:r>
      <w:r w:rsidR="00300C77" w:rsidRPr="00362C8E">
        <w:rPr>
          <w:bCs/>
        </w:rPr>
        <w:t xml:space="preserve">Once the assay is completed, results are analyzed automatically by the computer using two calibration curves which are stored by the instrument; the concentrations are expressed in </w:t>
      </w:r>
      <w:proofErr w:type="spellStart"/>
      <w:r w:rsidR="00300C77" w:rsidRPr="00362C8E">
        <w:rPr>
          <w:bCs/>
        </w:rPr>
        <w:t>ng</w:t>
      </w:r>
      <w:proofErr w:type="spellEnd"/>
      <w:r w:rsidR="00300C77" w:rsidRPr="00362C8E">
        <w:rPr>
          <w:bCs/>
        </w:rPr>
        <w:t>/</w:t>
      </w:r>
      <w:proofErr w:type="spellStart"/>
      <w:r w:rsidR="00300C77" w:rsidRPr="00362C8E">
        <w:rPr>
          <w:bCs/>
        </w:rPr>
        <w:t>mL.</w:t>
      </w:r>
      <w:proofErr w:type="spellEnd"/>
      <w:r w:rsidR="00300C77" w:rsidRPr="00362C8E">
        <w:rPr>
          <w:bCs/>
        </w:rPr>
        <w:t xml:space="preserve"> </w:t>
      </w:r>
    </w:p>
    <w:p w:rsidR="001434D2" w:rsidRDefault="00300C77" w:rsidP="00362C8E">
      <w:pPr>
        <w:pStyle w:val="Default"/>
        <w:rPr>
          <w:bCs/>
        </w:rPr>
      </w:pPr>
      <w:r w:rsidRPr="00362C8E">
        <w:rPr>
          <w:bCs/>
        </w:rPr>
        <w:t xml:space="preserve">With VIDAS PC, if a result which is &lt; 0.05 </w:t>
      </w:r>
      <w:proofErr w:type="spellStart"/>
      <w:r w:rsidRPr="00362C8E">
        <w:rPr>
          <w:bCs/>
        </w:rPr>
        <w:t>ng</w:t>
      </w:r>
      <w:proofErr w:type="spellEnd"/>
      <w:r w:rsidRPr="00362C8E">
        <w:rPr>
          <w:bCs/>
        </w:rPr>
        <w:t xml:space="preserve">/mL is obtained, the printed report will include the alarm “J2 &gt; J4 &amp; J2 – J0 &lt; RFV threshold” and *** will be indicated for the RFV. This alarm, which is linked with the reading mode of the VIDAS B·R·A·H·M·S PCT (PCT) technique (dual reading), does not call into question the concentration measured. As no international standard is available, VIDAS® B·R·A·H·M·S PCT is calibrated against an internal panel of human sera with known </w:t>
      </w:r>
      <w:proofErr w:type="spellStart"/>
      <w:r w:rsidRPr="00362C8E">
        <w:rPr>
          <w:bCs/>
        </w:rPr>
        <w:t>procalcitonin</w:t>
      </w:r>
      <w:proofErr w:type="spellEnd"/>
      <w:r w:rsidRPr="00362C8E">
        <w:rPr>
          <w:bCs/>
        </w:rPr>
        <w:t xml:space="preserve"> concentrations. In case of patient follow-up, it is recommended to use the same PCT assay technique. Samples with </w:t>
      </w:r>
      <w:proofErr w:type="spellStart"/>
      <w:r w:rsidRPr="00362C8E">
        <w:rPr>
          <w:bCs/>
        </w:rPr>
        <w:t>procalcitonin</w:t>
      </w:r>
      <w:proofErr w:type="spellEnd"/>
      <w:r w:rsidRPr="00362C8E">
        <w:rPr>
          <w:bCs/>
        </w:rPr>
        <w:t xml:space="preserve"> concentrations greater </w:t>
      </w:r>
      <w:proofErr w:type="gramStart"/>
      <w:r w:rsidRPr="00362C8E">
        <w:rPr>
          <w:bCs/>
        </w:rPr>
        <w:t xml:space="preserve">than 200 </w:t>
      </w:r>
      <w:proofErr w:type="spellStart"/>
      <w:r w:rsidRPr="00362C8E">
        <w:rPr>
          <w:bCs/>
        </w:rPr>
        <w:t>ng</w:t>
      </w:r>
      <w:proofErr w:type="spellEnd"/>
      <w:r w:rsidRPr="00362C8E">
        <w:rPr>
          <w:bCs/>
        </w:rPr>
        <w:t>/mL</w:t>
      </w:r>
      <w:proofErr w:type="gramEnd"/>
      <w:r w:rsidRPr="00362C8E">
        <w:rPr>
          <w:bCs/>
        </w:rPr>
        <w:t xml:space="preserve"> should be retested after dilution by 1/10 (1 volume of sample + 9 volumes of PCT negative sample).</w:t>
      </w:r>
    </w:p>
    <w:p w:rsidR="00040C1C" w:rsidRDefault="00040C1C" w:rsidP="00362C8E">
      <w:pPr>
        <w:pStyle w:val="Default"/>
        <w:rPr>
          <w:bCs/>
        </w:rPr>
      </w:pPr>
    </w:p>
    <w:p w:rsidR="00040C1C" w:rsidRDefault="00040C1C" w:rsidP="00040C1C"/>
    <w:p w:rsidR="00040C1C" w:rsidRPr="00040C1C" w:rsidRDefault="00040C1C" w:rsidP="00040C1C">
      <w:pPr>
        <w:rPr>
          <w:b/>
        </w:rPr>
      </w:pPr>
      <w:r w:rsidRPr="00040C1C">
        <w:rPr>
          <w:b/>
        </w:rPr>
        <w:t>Interpretation of PCT values in critically ill ICU Patients.</w:t>
      </w:r>
    </w:p>
    <w:p w:rsidR="00040C1C" w:rsidRDefault="00040C1C" w:rsidP="00040C1C">
      <w:r>
        <w:t xml:space="preserve">SIRS, sepsis, severe sepsis, and septic </w:t>
      </w:r>
      <w:r w:rsidR="00C71022">
        <w:t>shock</w:t>
      </w:r>
      <w:r>
        <w:t xml:space="preserve"> are categorized </w:t>
      </w:r>
      <w:r w:rsidR="00C71022">
        <w:t>according</w:t>
      </w:r>
      <w:r>
        <w:t xml:space="preserve"> to the criteria of the consensus conference of the </w:t>
      </w:r>
      <w:r w:rsidR="00C71022">
        <w:t>American</w:t>
      </w:r>
      <w:r>
        <w:t xml:space="preserve"> College of Chest Physicians/Society of Cri</w:t>
      </w:r>
      <w:r w:rsidR="00C71022">
        <w:t>ti</w:t>
      </w:r>
      <w:r>
        <w:t xml:space="preserve">cal Care Medicine. </w:t>
      </w:r>
    </w:p>
    <w:p w:rsidR="00040C1C" w:rsidRDefault="00040C1C" w:rsidP="00040C1C"/>
    <w:p w:rsidR="00040C1C" w:rsidRDefault="00040C1C" w:rsidP="00040C1C">
      <w:r w:rsidRPr="00040C1C">
        <w:t xml:space="preserve">&lt; 0.5 </w:t>
      </w:r>
      <w:proofErr w:type="spellStart"/>
      <w:r w:rsidRPr="00040C1C">
        <w:t>ng</w:t>
      </w:r>
      <w:proofErr w:type="spellEnd"/>
      <w:r w:rsidRPr="00040C1C">
        <w:t>/mL Systemic infection (sepsis) is not likely.</w:t>
      </w:r>
      <w:r w:rsidR="00C71022">
        <w:t xml:space="preserve"> Local bacterial infection is possible.</w:t>
      </w:r>
    </w:p>
    <w:p w:rsidR="00C71022" w:rsidRPr="00040C1C" w:rsidRDefault="00C71022" w:rsidP="00040C1C"/>
    <w:p w:rsidR="00040C1C" w:rsidRDefault="00040C1C" w:rsidP="00040C1C">
      <w:r w:rsidRPr="00040C1C">
        <w:t xml:space="preserve">≥0.5 and &lt; 2 </w:t>
      </w:r>
      <w:proofErr w:type="spellStart"/>
      <w:r w:rsidRPr="00040C1C">
        <w:t>ng</w:t>
      </w:r>
      <w:proofErr w:type="spellEnd"/>
      <w:r w:rsidRPr="00040C1C">
        <w:t>/mL Moderate risk for progression to severe systemic infection (severe sepsis). The patient should be closely monitored both clinically and by re-assessing PCT within 6-24 hours.</w:t>
      </w:r>
    </w:p>
    <w:p w:rsidR="00C71022" w:rsidRPr="00040C1C" w:rsidRDefault="00C71022" w:rsidP="00040C1C"/>
    <w:p w:rsidR="00040C1C" w:rsidRDefault="00040C1C" w:rsidP="00040C1C">
      <w:r w:rsidRPr="00040C1C">
        <w:t xml:space="preserve">≥ 2 and &lt; 10 </w:t>
      </w:r>
      <w:proofErr w:type="spellStart"/>
      <w:r w:rsidRPr="00040C1C">
        <w:t>ng</w:t>
      </w:r>
      <w:proofErr w:type="spellEnd"/>
      <w:r w:rsidRPr="00040C1C">
        <w:t>/mL High risk for progression to severe systemic infection (severe sepsis).</w:t>
      </w:r>
    </w:p>
    <w:p w:rsidR="00C71022" w:rsidRPr="00040C1C" w:rsidRDefault="00C71022" w:rsidP="00040C1C"/>
    <w:p w:rsidR="00040C1C" w:rsidRDefault="00040C1C" w:rsidP="00040C1C">
      <w:r w:rsidRPr="00040C1C">
        <w:t xml:space="preserve">≥10 </w:t>
      </w:r>
      <w:proofErr w:type="spellStart"/>
      <w:r w:rsidRPr="00040C1C">
        <w:t>ng</w:t>
      </w:r>
      <w:proofErr w:type="spellEnd"/>
      <w:r w:rsidRPr="00040C1C">
        <w:t xml:space="preserve">/mL </w:t>
      </w:r>
      <w:proofErr w:type="gramStart"/>
      <w:r w:rsidRPr="00040C1C">
        <w:t>Important</w:t>
      </w:r>
      <w:proofErr w:type="gramEnd"/>
      <w:r w:rsidRPr="00040C1C">
        <w:t xml:space="preserve"> systemic inflammatory response, almost exclusively due to severe bacterial sepsis or septic shock.  </w:t>
      </w:r>
      <w:proofErr w:type="gramStart"/>
      <w:r w:rsidRPr="00040C1C">
        <w:t>High likelihood of severe sepsis or septic shock.</w:t>
      </w:r>
      <w:proofErr w:type="gramEnd"/>
    </w:p>
    <w:p w:rsidR="00C71022" w:rsidRDefault="00C71022" w:rsidP="00040C1C"/>
    <w:p w:rsidR="00C71022" w:rsidRPr="00040C1C" w:rsidRDefault="00C71022" w:rsidP="00040C1C"/>
    <w:p w:rsidR="00040C1C" w:rsidRDefault="00D34F73" w:rsidP="00362C8E">
      <w:pPr>
        <w:pStyle w:val="Default"/>
        <w:rPr>
          <w:b/>
        </w:rPr>
      </w:pPr>
      <w:r w:rsidRPr="00D34F73">
        <w:rPr>
          <w:b/>
        </w:rPr>
        <w:t>Interpretation of PCT values for differential diagnosis of Lower Respiratory Tract Infections.</w:t>
      </w:r>
    </w:p>
    <w:p w:rsidR="00D34F73" w:rsidRDefault="00D34F73" w:rsidP="00362C8E">
      <w:pPr>
        <w:pStyle w:val="Default"/>
        <w:rPr>
          <w:b/>
        </w:rPr>
      </w:pPr>
    </w:p>
    <w:p w:rsidR="00D34F73" w:rsidRDefault="00D34F73" w:rsidP="00362C8E">
      <w:pPr>
        <w:pStyle w:val="Default"/>
      </w:pPr>
      <w:proofErr w:type="gramStart"/>
      <w:r>
        <w:t xml:space="preserve">&lt;0.1 </w:t>
      </w:r>
      <w:proofErr w:type="spellStart"/>
      <w:r>
        <w:t>ng</w:t>
      </w:r>
      <w:proofErr w:type="spellEnd"/>
      <w:r>
        <w:t>/mL Indicates absence of bacterial infection.</w:t>
      </w:r>
      <w:proofErr w:type="gramEnd"/>
      <w:r>
        <w:t xml:space="preserve"> </w:t>
      </w:r>
    </w:p>
    <w:p w:rsidR="00D34F73" w:rsidRDefault="00D34F73" w:rsidP="00362C8E">
      <w:pPr>
        <w:pStyle w:val="Default"/>
      </w:pPr>
    </w:p>
    <w:p w:rsidR="00D34F73" w:rsidRDefault="00D34F73" w:rsidP="00362C8E">
      <w:pPr>
        <w:pStyle w:val="Default"/>
      </w:pPr>
      <w:r w:rsidRPr="00040C1C">
        <w:t>≥</w:t>
      </w:r>
      <w:r>
        <w:t xml:space="preserve"> 0.1 and &lt;0.25 </w:t>
      </w:r>
      <w:proofErr w:type="spellStart"/>
      <w:r>
        <w:t>ng</w:t>
      </w:r>
      <w:proofErr w:type="spellEnd"/>
      <w:r>
        <w:t>/</w:t>
      </w:r>
      <w:proofErr w:type="gramStart"/>
      <w:r>
        <w:t>mL  Bacterial</w:t>
      </w:r>
      <w:proofErr w:type="gramEnd"/>
      <w:r>
        <w:t xml:space="preserve"> infection unlikely. </w:t>
      </w:r>
    </w:p>
    <w:p w:rsidR="00D34F73" w:rsidRDefault="00D34F73" w:rsidP="00362C8E">
      <w:pPr>
        <w:pStyle w:val="Default"/>
      </w:pPr>
    </w:p>
    <w:p w:rsidR="00D34F73" w:rsidRDefault="00D34F73" w:rsidP="00362C8E">
      <w:pPr>
        <w:pStyle w:val="Default"/>
      </w:pPr>
      <w:r w:rsidRPr="00040C1C">
        <w:t>≥</w:t>
      </w:r>
      <w:r>
        <w:t xml:space="preserve"> 0.25 and &lt;0.5 </w:t>
      </w:r>
      <w:proofErr w:type="spellStart"/>
      <w:r>
        <w:t>ng</w:t>
      </w:r>
      <w:proofErr w:type="spellEnd"/>
      <w:r>
        <w:t>/</w:t>
      </w:r>
      <w:proofErr w:type="gramStart"/>
      <w:r>
        <w:t>mL  Bacterial</w:t>
      </w:r>
      <w:proofErr w:type="gramEnd"/>
      <w:r>
        <w:t xml:space="preserve"> infection is possible.  </w:t>
      </w:r>
    </w:p>
    <w:p w:rsidR="00D34F73" w:rsidRDefault="00D34F73" w:rsidP="00362C8E">
      <w:pPr>
        <w:pStyle w:val="Default"/>
      </w:pPr>
    </w:p>
    <w:p w:rsidR="00D34F73" w:rsidRDefault="00A00891" w:rsidP="00362C8E">
      <w:pPr>
        <w:pStyle w:val="Default"/>
      </w:pPr>
      <w:r w:rsidRPr="00040C1C">
        <w:t>≥</w:t>
      </w:r>
      <w:r>
        <w:t xml:space="preserve">0.5 </w:t>
      </w:r>
      <w:proofErr w:type="spellStart"/>
      <w:r>
        <w:t>ng</w:t>
      </w:r>
      <w:proofErr w:type="spellEnd"/>
      <w:r>
        <w:t xml:space="preserve">/mL </w:t>
      </w:r>
      <w:proofErr w:type="gramStart"/>
      <w:r>
        <w:t>Suggests</w:t>
      </w:r>
      <w:proofErr w:type="gramEnd"/>
      <w:r>
        <w:t xml:space="preserve"> the presence of bacterial infection. </w:t>
      </w:r>
    </w:p>
    <w:p w:rsidR="00D34F73" w:rsidRPr="00D34F73" w:rsidRDefault="00D34F73" w:rsidP="00362C8E">
      <w:pPr>
        <w:pStyle w:val="Default"/>
      </w:pPr>
    </w:p>
    <w:p w:rsidR="005A116D" w:rsidRDefault="002B0F55" w:rsidP="00040C1C">
      <w:r w:rsidRPr="00362C8E">
        <w:t xml:space="preserve"> </w:t>
      </w:r>
    </w:p>
    <w:p w:rsidR="00391021" w:rsidRDefault="00391021" w:rsidP="00040C1C">
      <w:r>
        <w:t xml:space="preserve">Patient results should be recorded on Form </w:t>
      </w:r>
      <w:r w:rsidRPr="00A20EF8">
        <w:rPr>
          <w:b/>
        </w:rPr>
        <w:t>VIDAS01</w:t>
      </w:r>
      <w:r w:rsidR="00A20EF8" w:rsidRPr="00A20EF8">
        <w:rPr>
          <w:b/>
        </w:rPr>
        <w:t>-01 Form A.</w:t>
      </w:r>
      <w:r w:rsidR="00A20EF8">
        <w:t xml:space="preserve"> </w:t>
      </w:r>
    </w:p>
    <w:p w:rsidR="00A20EF8" w:rsidRDefault="00A20EF8" w:rsidP="00040C1C"/>
    <w:p w:rsidR="005A116D" w:rsidRPr="005A116D" w:rsidRDefault="005A116D" w:rsidP="00040C1C">
      <w:pPr>
        <w:rPr>
          <w:b/>
        </w:rPr>
      </w:pPr>
      <w:r w:rsidRPr="005A116D">
        <w:rPr>
          <w:b/>
        </w:rPr>
        <w:t>12.0 MAINTENANCE</w:t>
      </w:r>
    </w:p>
    <w:p w:rsidR="005A116D" w:rsidRDefault="005A116D" w:rsidP="00040C1C"/>
    <w:p w:rsidR="005A116D" w:rsidRDefault="005A116D" w:rsidP="005A116D">
      <w:r>
        <w:t xml:space="preserve">                  12.1 Monthly: Clean the SPR Blocks</w:t>
      </w:r>
    </w:p>
    <w:p w:rsidR="00A047B2" w:rsidRDefault="00A047B2" w:rsidP="005A116D">
      <w:r>
        <w:t xml:space="preserve">                  12.2 Semi-Annually or As Needed</w:t>
      </w:r>
    </w:p>
    <w:p w:rsidR="00A047B2" w:rsidRDefault="00A047B2" w:rsidP="005A116D">
      <w:r>
        <w:t xml:space="preserve">                          </w:t>
      </w:r>
      <w:proofErr w:type="gramStart"/>
      <w:r>
        <w:t>12.2.1  Clean</w:t>
      </w:r>
      <w:proofErr w:type="gramEnd"/>
      <w:r>
        <w:t xml:space="preserve"> Housing and Front Cover</w:t>
      </w:r>
    </w:p>
    <w:p w:rsidR="00A047B2" w:rsidRDefault="00A047B2" w:rsidP="005A116D">
      <w:r>
        <w:t xml:space="preserve">                          </w:t>
      </w:r>
      <w:proofErr w:type="gramStart"/>
      <w:r>
        <w:t>12.2.2</w:t>
      </w:r>
      <w:bookmarkStart w:id="0" w:name="_GoBack"/>
      <w:bookmarkEnd w:id="0"/>
      <w:r>
        <w:t xml:space="preserve">  Clean</w:t>
      </w:r>
      <w:proofErr w:type="gramEnd"/>
      <w:r>
        <w:t xml:space="preserve"> Vials, Tubes &amp; Disposables Rack*</w:t>
      </w:r>
    </w:p>
    <w:p w:rsidR="00A047B2" w:rsidRDefault="00A047B2" w:rsidP="005A116D">
      <w:r>
        <w:t xml:space="preserve">                          </w:t>
      </w:r>
      <w:proofErr w:type="gramStart"/>
      <w:r>
        <w:t>12.2.3  Clean</w:t>
      </w:r>
      <w:proofErr w:type="gramEnd"/>
      <w:r>
        <w:t xml:space="preserve"> Waste Drawer*</w:t>
      </w:r>
    </w:p>
    <w:p w:rsidR="00A047B2" w:rsidRDefault="00A047B2" w:rsidP="005A116D">
      <w:r>
        <w:t xml:space="preserve">                          </w:t>
      </w:r>
      <w:proofErr w:type="gramStart"/>
      <w:r>
        <w:t>12.2.4  Clean</w:t>
      </w:r>
      <w:proofErr w:type="gramEnd"/>
      <w:r>
        <w:t xml:space="preserve"> Reagent Strip Sections*</w:t>
      </w:r>
    </w:p>
    <w:p w:rsidR="00A047B2" w:rsidRDefault="00A047B2" w:rsidP="005A116D">
      <w:r>
        <w:t xml:space="preserve">                          </w:t>
      </w:r>
      <w:proofErr w:type="gramStart"/>
      <w:r>
        <w:t>12.2.5  Clean</w:t>
      </w:r>
      <w:proofErr w:type="gramEnd"/>
      <w:r>
        <w:t xml:space="preserve"> Touch Screen</w:t>
      </w:r>
    </w:p>
    <w:p w:rsidR="00A047B2" w:rsidRDefault="004021FE" w:rsidP="005A116D">
      <w:r>
        <w:t xml:space="preserve">Maintenance should be recorded on </w:t>
      </w:r>
      <w:r w:rsidRPr="004021FE">
        <w:rPr>
          <w:b/>
        </w:rPr>
        <w:t>VIDAS01-001 Form C Maintenance Checklist.</w:t>
      </w:r>
      <w:r>
        <w:t xml:space="preserve"> </w:t>
      </w:r>
    </w:p>
    <w:p w:rsidR="00A047B2" w:rsidRDefault="00A047B2" w:rsidP="005A116D"/>
    <w:p w:rsidR="00E5155B" w:rsidRDefault="00E5155B" w:rsidP="005A116D"/>
    <w:p w:rsidR="00994D6D" w:rsidRPr="00362C8E" w:rsidRDefault="002B0F55" w:rsidP="00040C1C">
      <w:r w:rsidRPr="00362C8E">
        <w:t xml:space="preserve">  </w:t>
      </w:r>
      <w:r w:rsidRPr="00362C8E">
        <w:tab/>
      </w:r>
    </w:p>
    <w:p w:rsidR="001434D2" w:rsidRPr="00A047B2" w:rsidRDefault="001434D2" w:rsidP="00040C1C">
      <w:pPr>
        <w:rPr>
          <w:b/>
        </w:rPr>
      </w:pPr>
      <w:r w:rsidRPr="00A047B2">
        <w:rPr>
          <w:b/>
        </w:rPr>
        <w:t>1</w:t>
      </w:r>
      <w:r w:rsidR="005A116D" w:rsidRPr="00A047B2">
        <w:rPr>
          <w:b/>
        </w:rPr>
        <w:t>3</w:t>
      </w:r>
      <w:r w:rsidRPr="00A047B2">
        <w:rPr>
          <w:b/>
        </w:rPr>
        <w:t>.0 LIMITATIONS OF PROCEDURE:</w:t>
      </w:r>
    </w:p>
    <w:p w:rsidR="007D2399" w:rsidRDefault="007D2399" w:rsidP="00FC0BE6">
      <w:pPr>
        <w:pStyle w:val="Default"/>
        <w:rPr>
          <w:bCs/>
        </w:rPr>
      </w:pPr>
    </w:p>
    <w:p w:rsidR="00737326" w:rsidRPr="00362C8E" w:rsidRDefault="007D2399" w:rsidP="00FC0BE6">
      <w:pPr>
        <w:pStyle w:val="Default"/>
      </w:pPr>
      <w:r>
        <w:rPr>
          <w:bCs/>
        </w:rPr>
        <w:t xml:space="preserve">         </w:t>
      </w:r>
      <w:r w:rsidR="00737326" w:rsidRPr="00362C8E">
        <w:rPr>
          <w:bCs/>
        </w:rPr>
        <w:t xml:space="preserve">Interference may be encountered with certain samples containing antibodies directed against reagent components. For this reason, assay results should be interpreted taking into consideration the patient's </w:t>
      </w:r>
      <w:r w:rsidR="002A7208" w:rsidRPr="00362C8E">
        <w:rPr>
          <w:bCs/>
        </w:rPr>
        <w:t>history</w:t>
      </w:r>
      <w:r w:rsidR="00737326" w:rsidRPr="00362C8E">
        <w:rPr>
          <w:bCs/>
        </w:rPr>
        <w:t xml:space="preserve"> and the results of any other tests performed.</w:t>
      </w:r>
    </w:p>
    <w:p w:rsidR="00362C8E" w:rsidRPr="00362C8E" w:rsidRDefault="00362C8E" w:rsidP="00040C1C"/>
    <w:p w:rsidR="001434D2" w:rsidRPr="00A047B2" w:rsidRDefault="001434D2" w:rsidP="00040C1C">
      <w:pPr>
        <w:rPr>
          <w:b/>
        </w:rPr>
      </w:pPr>
      <w:r w:rsidRPr="00A047B2">
        <w:rPr>
          <w:b/>
        </w:rPr>
        <w:t>1</w:t>
      </w:r>
      <w:r w:rsidR="005A116D" w:rsidRPr="00A047B2">
        <w:rPr>
          <w:b/>
        </w:rPr>
        <w:t>4</w:t>
      </w:r>
      <w:r w:rsidRPr="00A047B2">
        <w:rPr>
          <w:b/>
        </w:rPr>
        <w:t>.0 REFERENCE</w:t>
      </w:r>
      <w:r w:rsidR="00737326" w:rsidRPr="00A047B2">
        <w:rPr>
          <w:b/>
        </w:rPr>
        <w:t>:</w:t>
      </w:r>
    </w:p>
    <w:p w:rsidR="007D2399" w:rsidRDefault="007D2399" w:rsidP="00040C1C"/>
    <w:p w:rsidR="00737326" w:rsidRPr="00362C8E" w:rsidRDefault="007D2399" w:rsidP="00040C1C">
      <w:r>
        <w:t xml:space="preserve">        </w:t>
      </w:r>
      <w:proofErr w:type="gramStart"/>
      <w:r w:rsidR="00737326" w:rsidRPr="00362C8E">
        <w:t>VIDAS® B•R•A•H•M•S PCT (PCT) package insert.</w:t>
      </w:r>
      <w:proofErr w:type="gramEnd"/>
      <w:r w:rsidR="00737326" w:rsidRPr="00362C8E">
        <w:t xml:space="preserve"> Refer to the insert for the complete details of the procedure, references, and performance of the product.</w:t>
      </w:r>
    </w:p>
    <w:p w:rsidR="001434D2" w:rsidRPr="00362C8E" w:rsidRDefault="001434D2" w:rsidP="00040C1C"/>
    <w:p w:rsidR="001434D2" w:rsidRDefault="001434D2" w:rsidP="00040C1C"/>
    <w:p w:rsidR="001434D2" w:rsidRDefault="001434D2" w:rsidP="00040C1C"/>
    <w:p w:rsidR="001434D2" w:rsidRDefault="001434D2" w:rsidP="00040C1C"/>
    <w:p w:rsidR="001434D2" w:rsidRDefault="001434D2" w:rsidP="00040C1C"/>
    <w:p w:rsidR="001434D2" w:rsidRDefault="001434D2" w:rsidP="00040C1C"/>
    <w:p w:rsidR="00E5155B" w:rsidRDefault="00E5155B" w:rsidP="00040C1C"/>
    <w:p w:rsidR="00E5155B" w:rsidRDefault="00E5155B" w:rsidP="00040C1C"/>
    <w:p w:rsidR="00E5155B" w:rsidRDefault="00E5155B" w:rsidP="00040C1C"/>
    <w:p w:rsidR="00E5155B" w:rsidRDefault="00E5155B" w:rsidP="00040C1C"/>
    <w:p w:rsidR="00E5155B" w:rsidRDefault="00E5155B" w:rsidP="00040C1C"/>
    <w:p w:rsidR="00E5155B" w:rsidRDefault="00E5155B" w:rsidP="00040C1C"/>
    <w:p w:rsidR="00E5155B" w:rsidRDefault="00E5155B" w:rsidP="00040C1C"/>
    <w:p w:rsidR="00E5155B" w:rsidRDefault="00E5155B" w:rsidP="00040C1C"/>
    <w:p w:rsidR="00E5155B" w:rsidRDefault="00E5155B" w:rsidP="00040C1C"/>
    <w:p w:rsidR="00E5155B" w:rsidRDefault="00E5155B" w:rsidP="00040C1C"/>
    <w:p w:rsidR="00E5155B" w:rsidRDefault="00E5155B" w:rsidP="00040C1C"/>
    <w:p w:rsidR="00E5155B" w:rsidRDefault="00E5155B" w:rsidP="00040C1C"/>
    <w:p w:rsidR="00E5155B" w:rsidRDefault="00E5155B" w:rsidP="00040C1C"/>
    <w:p w:rsidR="00E5155B" w:rsidRDefault="00E5155B" w:rsidP="00040C1C"/>
    <w:p w:rsidR="00E5155B" w:rsidRDefault="00E5155B" w:rsidP="00040C1C"/>
    <w:p w:rsidR="00E5155B" w:rsidRDefault="00E5155B" w:rsidP="00040C1C"/>
    <w:p w:rsidR="00E5155B" w:rsidRDefault="00E5155B" w:rsidP="00040C1C"/>
    <w:p w:rsidR="00E5155B" w:rsidRDefault="00E5155B" w:rsidP="00040C1C"/>
    <w:p w:rsidR="00E5155B" w:rsidRDefault="00E5155B" w:rsidP="00040C1C"/>
    <w:p w:rsidR="00E5155B" w:rsidRDefault="00E5155B" w:rsidP="00040C1C"/>
    <w:p w:rsidR="00E5155B" w:rsidRDefault="00E5155B" w:rsidP="00040C1C"/>
    <w:p w:rsidR="00E5155B" w:rsidRDefault="00E5155B" w:rsidP="00040C1C"/>
    <w:p w:rsidR="00E5155B" w:rsidRDefault="00E5155B" w:rsidP="00040C1C"/>
    <w:p w:rsidR="00E5155B" w:rsidRDefault="00E5155B" w:rsidP="00040C1C"/>
    <w:p w:rsidR="00E5155B" w:rsidRDefault="00E5155B" w:rsidP="00040C1C"/>
    <w:p w:rsidR="00E5155B" w:rsidRDefault="00E5155B" w:rsidP="00040C1C"/>
    <w:p w:rsidR="00E5155B" w:rsidRDefault="00E5155B" w:rsidP="00040C1C"/>
    <w:p w:rsidR="00E5155B" w:rsidRDefault="00E5155B" w:rsidP="00040C1C"/>
    <w:p w:rsidR="00E5155B" w:rsidRDefault="00E5155B" w:rsidP="00040C1C"/>
    <w:p w:rsidR="00E5155B" w:rsidRDefault="00E5155B" w:rsidP="00040C1C"/>
    <w:p w:rsidR="001434D2" w:rsidRDefault="001434D2" w:rsidP="00040C1C"/>
    <w:p w:rsidR="001434D2" w:rsidRDefault="001434D2" w:rsidP="00040C1C"/>
    <w:p w:rsidR="001434D2" w:rsidRDefault="001434D2" w:rsidP="00040C1C"/>
    <w:p w:rsidR="002B4552" w:rsidRDefault="002B4552" w:rsidP="00040C1C">
      <w:r w:rsidRPr="00E57CAA">
        <w:t>Approval Signature</w:t>
      </w:r>
      <w:r>
        <w:t>s</w:t>
      </w:r>
      <w:r w:rsidRPr="00E57CAA">
        <w:t>:</w:t>
      </w:r>
    </w:p>
    <w:p w:rsidR="002B4552" w:rsidRPr="00E57CAA" w:rsidRDefault="002B4552" w:rsidP="00040C1C"/>
    <w:tbl>
      <w:tblPr>
        <w:tblW w:w="9630" w:type="dxa"/>
        <w:tblInd w:w="120" w:type="dxa"/>
        <w:tblLayout w:type="fixed"/>
        <w:tblCellMar>
          <w:left w:w="120" w:type="dxa"/>
          <w:right w:w="120" w:type="dxa"/>
        </w:tblCellMar>
        <w:tblLook w:val="0000" w:firstRow="0" w:lastRow="0" w:firstColumn="0" w:lastColumn="0" w:noHBand="0" w:noVBand="0"/>
      </w:tblPr>
      <w:tblGrid>
        <w:gridCol w:w="1260"/>
        <w:gridCol w:w="4410"/>
        <w:gridCol w:w="3960"/>
      </w:tblGrid>
      <w:tr w:rsidR="002B4552" w:rsidRPr="00E57CAA" w:rsidTr="00054845">
        <w:tc>
          <w:tcPr>
            <w:tcW w:w="1260" w:type="dxa"/>
            <w:tcBorders>
              <w:top w:val="double" w:sz="7" w:space="0" w:color="000000"/>
              <w:left w:val="double" w:sz="7" w:space="0" w:color="000000"/>
              <w:bottom w:val="double" w:sz="7" w:space="0" w:color="000000"/>
              <w:right w:val="single" w:sz="7" w:space="0" w:color="000000"/>
            </w:tcBorders>
            <w:shd w:val="clear" w:color="auto" w:fill="EEECE1"/>
          </w:tcPr>
          <w:p w:rsidR="002B4552" w:rsidRPr="00E57CAA" w:rsidRDefault="002B4552" w:rsidP="00040C1C"/>
          <w:p w:rsidR="002B4552" w:rsidRPr="00E57CAA" w:rsidRDefault="002B4552" w:rsidP="00040C1C">
            <w:r w:rsidRPr="00E57CAA">
              <w:t>Date</w:t>
            </w:r>
          </w:p>
        </w:tc>
        <w:tc>
          <w:tcPr>
            <w:tcW w:w="4410" w:type="dxa"/>
            <w:tcBorders>
              <w:top w:val="double" w:sz="7" w:space="0" w:color="000000"/>
              <w:left w:val="single" w:sz="7" w:space="0" w:color="000000"/>
              <w:bottom w:val="double" w:sz="7" w:space="0" w:color="000000"/>
              <w:right w:val="single" w:sz="7" w:space="0" w:color="000000"/>
            </w:tcBorders>
            <w:shd w:val="clear" w:color="auto" w:fill="EEECE1"/>
            <w:vAlign w:val="bottom"/>
          </w:tcPr>
          <w:p w:rsidR="002B4552" w:rsidRPr="00E57CAA" w:rsidRDefault="002B4552" w:rsidP="00040C1C"/>
          <w:p w:rsidR="002B4552" w:rsidRPr="00E57CAA" w:rsidRDefault="002B4552" w:rsidP="00040C1C">
            <w:r w:rsidRPr="00E57CAA">
              <w:t>Printed Name</w:t>
            </w:r>
          </w:p>
        </w:tc>
        <w:tc>
          <w:tcPr>
            <w:tcW w:w="3960" w:type="dxa"/>
            <w:tcBorders>
              <w:top w:val="double" w:sz="7" w:space="0" w:color="000000"/>
              <w:left w:val="single" w:sz="7" w:space="0" w:color="000000"/>
              <w:bottom w:val="double" w:sz="7" w:space="0" w:color="000000"/>
              <w:right w:val="double" w:sz="7" w:space="0" w:color="000000"/>
            </w:tcBorders>
            <w:shd w:val="clear" w:color="auto" w:fill="EEECE1"/>
            <w:vAlign w:val="bottom"/>
          </w:tcPr>
          <w:p w:rsidR="002B4552" w:rsidRPr="00E57CAA" w:rsidRDefault="002B4552" w:rsidP="00040C1C"/>
          <w:p w:rsidR="002B4552" w:rsidRPr="00E57CAA" w:rsidRDefault="002B4552" w:rsidP="00040C1C">
            <w:r w:rsidRPr="00E57CAA">
              <w:t>Signature</w:t>
            </w:r>
          </w:p>
        </w:tc>
      </w:tr>
      <w:tr w:rsidR="002B4552" w:rsidRPr="00E57CAA" w:rsidTr="00054845">
        <w:trPr>
          <w:trHeight w:val="576"/>
        </w:trPr>
        <w:tc>
          <w:tcPr>
            <w:tcW w:w="1260" w:type="dxa"/>
            <w:tcBorders>
              <w:top w:val="single" w:sz="7" w:space="0" w:color="000000"/>
              <w:left w:val="double" w:sz="7" w:space="0" w:color="000000"/>
              <w:bottom w:val="single" w:sz="7" w:space="0" w:color="000000"/>
              <w:right w:val="single" w:sz="7" w:space="0" w:color="000000"/>
            </w:tcBorders>
          </w:tcPr>
          <w:p w:rsidR="00E5655F" w:rsidRDefault="00E5655F" w:rsidP="00040C1C"/>
          <w:p w:rsidR="0055700A" w:rsidRDefault="0055700A" w:rsidP="00040C1C"/>
          <w:p w:rsidR="002B4552" w:rsidRPr="00E57CAA" w:rsidRDefault="00E5655F" w:rsidP="00040C1C">
            <w:r>
              <w:t>5/27/2016</w:t>
            </w:r>
          </w:p>
        </w:tc>
        <w:tc>
          <w:tcPr>
            <w:tcW w:w="4410" w:type="dxa"/>
            <w:tcBorders>
              <w:top w:val="single" w:sz="7" w:space="0" w:color="000000"/>
              <w:left w:val="single" w:sz="7" w:space="0" w:color="000000"/>
              <w:bottom w:val="single" w:sz="7" w:space="0" w:color="000000"/>
              <w:right w:val="single" w:sz="7" w:space="0" w:color="000000"/>
            </w:tcBorders>
          </w:tcPr>
          <w:p w:rsidR="002B4552" w:rsidRPr="00B20719" w:rsidRDefault="002B4552" w:rsidP="00040C1C"/>
          <w:p w:rsidR="0055700A" w:rsidRPr="000F72AD" w:rsidRDefault="0055700A" w:rsidP="0055700A">
            <w:pPr>
              <w:spacing w:after="58"/>
              <w:rPr>
                <w:szCs w:val="22"/>
              </w:rPr>
            </w:pPr>
            <w:r w:rsidRPr="000F72AD">
              <w:rPr>
                <w:sz w:val="22"/>
                <w:szCs w:val="22"/>
              </w:rPr>
              <w:t>Jennifer Lore, MFS, MT</w:t>
            </w:r>
          </w:p>
          <w:p w:rsidR="002B4552" w:rsidRPr="00B20719" w:rsidRDefault="0055700A" w:rsidP="0055700A">
            <w:r w:rsidRPr="000F72AD">
              <w:rPr>
                <w:sz w:val="22"/>
                <w:szCs w:val="22"/>
              </w:rPr>
              <w:t>Chemistry Supervisor</w:t>
            </w:r>
          </w:p>
        </w:tc>
        <w:tc>
          <w:tcPr>
            <w:tcW w:w="3960" w:type="dxa"/>
            <w:tcBorders>
              <w:top w:val="single" w:sz="7" w:space="0" w:color="000000"/>
              <w:left w:val="single" w:sz="7" w:space="0" w:color="000000"/>
              <w:bottom w:val="single" w:sz="7" w:space="0" w:color="000000"/>
              <w:right w:val="double" w:sz="7" w:space="0" w:color="000000"/>
            </w:tcBorders>
          </w:tcPr>
          <w:p w:rsidR="002B4552" w:rsidRPr="00E57CAA" w:rsidRDefault="002B4552" w:rsidP="00040C1C"/>
          <w:p w:rsidR="002B4552" w:rsidRPr="00E57CAA" w:rsidRDefault="002B4552" w:rsidP="00040C1C"/>
        </w:tc>
      </w:tr>
      <w:tr w:rsidR="002B4552" w:rsidRPr="00E57CAA" w:rsidTr="00054845">
        <w:trPr>
          <w:trHeight w:val="658"/>
        </w:trPr>
        <w:tc>
          <w:tcPr>
            <w:tcW w:w="1260" w:type="dxa"/>
            <w:tcBorders>
              <w:top w:val="single" w:sz="7" w:space="0" w:color="000000"/>
              <w:left w:val="double" w:sz="7" w:space="0" w:color="000000"/>
              <w:bottom w:val="double" w:sz="7" w:space="0" w:color="000000"/>
              <w:right w:val="single" w:sz="7" w:space="0" w:color="000000"/>
            </w:tcBorders>
          </w:tcPr>
          <w:p w:rsidR="002B4552" w:rsidRPr="00E57CAA" w:rsidRDefault="002B4552" w:rsidP="00040C1C"/>
          <w:p w:rsidR="0055700A" w:rsidRDefault="0055700A" w:rsidP="00040C1C"/>
          <w:p w:rsidR="002B4552" w:rsidRPr="00E57CAA" w:rsidRDefault="00E5655F" w:rsidP="00040C1C">
            <w:r>
              <w:t>5/27/2016</w:t>
            </w:r>
          </w:p>
        </w:tc>
        <w:tc>
          <w:tcPr>
            <w:tcW w:w="4410" w:type="dxa"/>
            <w:tcBorders>
              <w:top w:val="single" w:sz="7" w:space="0" w:color="000000"/>
              <w:left w:val="single" w:sz="7" w:space="0" w:color="000000"/>
              <w:bottom w:val="double" w:sz="7" w:space="0" w:color="000000"/>
              <w:right w:val="single" w:sz="7" w:space="0" w:color="000000"/>
            </w:tcBorders>
          </w:tcPr>
          <w:p w:rsidR="002B4552" w:rsidRPr="00B20719" w:rsidRDefault="002B4552" w:rsidP="00040C1C"/>
          <w:p w:rsidR="0055700A" w:rsidRPr="000F72AD" w:rsidRDefault="0055700A" w:rsidP="0055700A">
            <w:pPr>
              <w:rPr>
                <w:szCs w:val="22"/>
              </w:rPr>
            </w:pPr>
            <w:r w:rsidRPr="000F72AD">
              <w:rPr>
                <w:sz w:val="22"/>
                <w:szCs w:val="22"/>
              </w:rPr>
              <w:t>Nancy A. Young, M.D., FCAP</w:t>
            </w:r>
          </w:p>
          <w:p w:rsidR="002B4552" w:rsidRPr="004B376F" w:rsidRDefault="0055700A" w:rsidP="0055700A">
            <w:r w:rsidRPr="000F72AD">
              <w:rPr>
                <w:sz w:val="22"/>
                <w:szCs w:val="22"/>
              </w:rPr>
              <w:t>Medical Director</w:t>
            </w:r>
          </w:p>
        </w:tc>
        <w:tc>
          <w:tcPr>
            <w:tcW w:w="3960" w:type="dxa"/>
            <w:tcBorders>
              <w:top w:val="single" w:sz="7" w:space="0" w:color="000000"/>
              <w:left w:val="single" w:sz="7" w:space="0" w:color="000000"/>
              <w:bottom w:val="double" w:sz="7" w:space="0" w:color="000000"/>
              <w:right w:val="double" w:sz="7" w:space="0" w:color="000000"/>
            </w:tcBorders>
          </w:tcPr>
          <w:p w:rsidR="002B4552" w:rsidRPr="00E57CAA" w:rsidRDefault="002B4552" w:rsidP="00040C1C"/>
          <w:p w:rsidR="002B4552" w:rsidRPr="00E57CAA" w:rsidRDefault="002B4552" w:rsidP="00040C1C"/>
        </w:tc>
      </w:tr>
    </w:tbl>
    <w:p w:rsidR="007D2399" w:rsidRDefault="007D2399" w:rsidP="00040C1C"/>
    <w:p w:rsidR="007D2399" w:rsidRDefault="007D2399" w:rsidP="00040C1C"/>
    <w:p w:rsidR="007D2399" w:rsidRDefault="007D2399" w:rsidP="00040C1C"/>
    <w:p w:rsidR="007D2399" w:rsidRDefault="007D2399" w:rsidP="00040C1C"/>
    <w:p w:rsidR="007D2399" w:rsidRDefault="007D2399" w:rsidP="00040C1C"/>
    <w:p w:rsidR="007D2399" w:rsidRDefault="007D2399" w:rsidP="00040C1C"/>
    <w:p w:rsidR="007D2399" w:rsidRDefault="007D2399" w:rsidP="00040C1C"/>
    <w:p w:rsidR="007D2399" w:rsidRDefault="007D2399" w:rsidP="00040C1C"/>
    <w:p w:rsidR="00A234D6" w:rsidRDefault="00A234D6" w:rsidP="00040C1C"/>
    <w:p w:rsidR="00A234D6" w:rsidRDefault="00A234D6" w:rsidP="00040C1C"/>
    <w:p w:rsidR="00A234D6" w:rsidRDefault="00A234D6" w:rsidP="00040C1C"/>
    <w:p w:rsidR="00A234D6" w:rsidRDefault="00A234D6" w:rsidP="00040C1C"/>
    <w:p w:rsidR="00A234D6" w:rsidRDefault="00A234D6" w:rsidP="00040C1C"/>
    <w:p w:rsidR="00A234D6" w:rsidRDefault="00A234D6" w:rsidP="00040C1C"/>
    <w:p w:rsidR="00A234D6" w:rsidRDefault="00A234D6" w:rsidP="00040C1C"/>
    <w:p w:rsidR="00A234D6" w:rsidRDefault="00A234D6" w:rsidP="00040C1C"/>
    <w:p w:rsidR="00A234D6" w:rsidRDefault="00A234D6" w:rsidP="00040C1C"/>
    <w:p w:rsidR="00A234D6" w:rsidRDefault="00A234D6" w:rsidP="00040C1C"/>
    <w:p w:rsidR="00A234D6" w:rsidRDefault="00A234D6" w:rsidP="00040C1C"/>
    <w:p w:rsidR="00A234D6" w:rsidRDefault="00A234D6" w:rsidP="00040C1C"/>
    <w:p w:rsidR="00A234D6" w:rsidRDefault="00A234D6" w:rsidP="00040C1C"/>
    <w:p w:rsidR="00A234D6" w:rsidRDefault="00A234D6" w:rsidP="00040C1C"/>
    <w:p w:rsidR="00A234D6" w:rsidRDefault="00A234D6" w:rsidP="00040C1C"/>
    <w:p w:rsidR="00A234D6" w:rsidRDefault="00A234D6" w:rsidP="00040C1C"/>
    <w:p w:rsidR="00A234D6" w:rsidRDefault="00A234D6" w:rsidP="00040C1C"/>
    <w:p w:rsidR="00A234D6" w:rsidRDefault="00A234D6" w:rsidP="00040C1C"/>
    <w:p w:rsidR="00A234D6" w:rsidRDefault="00A234D6" w:rsidP="00040C1C"/>
    <w:p w:rsidR="00A234D6" w:rsidRDefault="00A234D6" w:rsidP="00040C1C"/>
    <w:p w:rsidR="00A234D6" w:rsidRDefault="00A234D6" w:rsidP="00040C1C"/>
    <w:p w:rsidR="00A234D6" w:rsidRDefault="00A234D6" w:rsidP="00040C1C"/>
    <w:p w:rsidR="00A234D6" w:rsidRDefault="00A234D6" w:rsidP="00040C1C"/>
    <w:p w:rsidR="00A234D6" w:rsidRDefault="00A234D6" w:rsidP="00040C1C"/>
    <w:p w:rsidR="00A234D6" w:rsidRDefault="00A234D6" w:rsidP="00040C1C"/>
    <w:p w:rsidR="00A234D6" w:rsidRDefault="00A234D6" w:rsidP="00040C1C"/>
    <w:p w:rsidR="004B376F" w:rsidRPr="0055700A" w:rsidRDefault="005A116D" w:rsidP="0055700A">
      <w:pPr>
        <w:jc w:val="center"/>
        <w:rPr>
          <w:b/>
          <w:u w:val="single"/>
        </w:rPr>
      </w:pPr>
      <w:r w:rsidRPr="0055700A">
        <w:rPr>
          <w:b/>
          <w:u w:val="single"/>
        </w:rPr>
        <w:t>R</w:t>
      </w:r>
      <w:r w:rsidR="004B376F" w:rsidRPr="0055700A">
        <w:rPr>
          <w:b/>
          <w:u w:val="single"/>
        </w:rPr>
        <w:t>eview History</w:t>
      </w:r>
    </w:p>
    <w:p w:rsidR="004B376F" w:rsidRPr="00E57CAA" w:rsidRDefault="004B376F" w:rsidP="00040C1C"/>
    <w:tbl>
      <w:tblPr>
        <w:tblW w:w="9630" w:type="dxa"/>
        <w:tblInd w:w="120" w:type="dxa"/>
        <w:tblLayout w:type="fixed"/>
        <w:tblCellMar>
          <w:left w:w="120" w:type="dxa"/>
          <w:right w:w="120" w:type="dxa"/>
        </w:tblCellMar>
        <w:tblLook w:val="0000" w:firstRow="0" w:lastRow="0" w:firstColumn="0" w:lastColumn="0" w:noHBand="0" w:noVBand="0"/>
      </w:tblPr>
      <w:tblGrid>
        <w:gridCol w:w="1260"/>
        <w:gridCol w:w="1620"/>
        <w:gridCol w:w="6750"/>
      </w:tblGrid>
      <w:tr w:rsidR="004B376F" w:rsidRPr="00E57CAA" w:rsidTr="00054845">
        <w:tc>
          <w:tcPr>
            <w:tcW w:w="1260" w:type="dxa"/>
            <w:tcBorders>
              <w:top w:val="double" w:sz="7" w:space="0" w:color="000000"/>
              <w:left w:val="double" w:sz="7" w:space="0" w:color="000000"/>
              <w:bottom w:val="double" w:sz="7" w:space="0" w:color="000000"/>
              <w:right w:val="single" w:sz="7" w:space="0" w:color="000000"/>
            </w:tcBorders>
            <w:shd w:val="clear" w:color="auto" w:fill="EEECE1"/>
          </w:tcPr>
          <w:p w:rsidR="004B376F" w:rsidRPr="0055700A" w:rsidRDefault="004B376F" w:rsidP="0055700A">
            <w:pPr>
              <w:jc w:val="center"/>
              <w:rPr>
                <w:b/>
              </w:rPr>
            </w:pPr>
          </w:p>
          <w:p w:rsidR="004B376F" w:rsidRPr="0055700A" w:rsidRDefault="004B376F" w:rsidP="0055700A">
            <w:pPr>
              <w:jc w:val="center"/>
              <w:rPr>
                <w:b/>
              </w:rPr>
            </w:pPr>
            <w:r w:rsidRPr="0055700A">
              <w:rPr>
                <w:b/>
              </w:rPr>
              <w:t>Date Reviewed</w:t>
            </w:r>
          </w:p>
        </w:tc>
        <w:tc>
          <w:tcPr>
            <w:tcW w:w="1620" w:type="dxa"/>
            <w:tcBorders>
              <w:top w:val="double" w:sz="7" w:space="0" w:color="000000"/>
              <w:left w:val="single" w:sz="7" w:space="0" w:color="000000"/>
              <w:bottom w:val="double" w:sz="7" w:space="0" w:color="000000"/>
              <w:right w:val="single" w:sz="7" w:space="0" w:color="000000"/>
            </w:tcBorders>
            <w:shd w:val="clear" w:color="auto" w:fill="EEECE1"/>
          </w:tcPr>
          <w:p w:rsidR="004B376F" w:rsidRPr="0055700A" w:rsidRDefault="004B376F" w:rsidP="00040C1C">
            <w:pPr>
              <w:rPr>
                <w:b/>
              </w:rPr>
            </w:pPr>
          </w:p>
          <w:p w:rsidR="0055700A" w:rsidRPr="0055700A" w:rsidRDefault="0055700A" w:rsidP="00040C1C">
            <w:pPr>
              <w:rPr>
                <w:b/>
              </w:rPr>
            </w:pPr>
          </w:p>
          <w:p w:rsidR="004B376F" w:rsidRPr="0055700A" w:rsidRDefault="004B376F" w:rsidP="00040C1C">
            <w:pPr>
              <w:rPr>
                <w:b/>
              </w:rPr>
            </w:pPr>
            <w:r w:rsidRPr="0055700A">
              <w:rPr>
                <w:b/>
              </w:rPr>
              <w:t>Reviewed By</w:t>
            </w:r>
          </w:p>
        </w:tc>
        <w:tc>
          <w:tcPr>
            <w:tcW w:w="6750" w:type="dxa"/>
            <w:tcBorders>
              <w:top w:val="double" w:sz="7" w:space="0" w:color="000000"/>
              <w:left w:val="single" w:sz="7" w:space="0" w:color="000000"/>
              <w:bottom w:val="double" w:sz="7" w:space="0" w:color="000000"/>
              <w:right w:val="double" w:sz="7" w:space="0" w:color="000000"/>
            </w:tcBorders>
            <w:shd w:val="clear" w:color="auto" w:fill="EEECE1"/>
            <w:vAlign w:val="bottom"/>
          </w:tcPr>
          <w:p w:rsidR="004B376F" w:rsidRPr="00E57CAA" w:rsidRDefault="004B376F" w:rsidP="00040C1C"/>
          <w:p w:rsidR="004B376F" w:rsidRPr="0055700A" w:rsidRDefault="004B376F" w:rsidP="0055700A">
            <w:pPr>
              <w:jc w:val="center"/>
              <w:rPr>
                <w:b/>
              </w:rPr>
            </w:pPr>
            <w:r w:rsidRPr="0055700A">
              <w:rPr>
                <w:b/>
              </w:rPr>
              <w:t>Revisions</w:t>
            </w:r>
          </w:p>
        </w:tc>
      </w:tr>
      <w:tr w:rsidR="004B376F" w:rsidRPr="00E57CAA" w:rsidTr="00054845">
        <w:tc>
          <w:tcPr>
            <w:tcW w:w="1260" w:type="dxa"/>
            <w:tcBorders>
              <w:top w:val="single" w:sz="7" w:space="0" w:color="000000"/>
              <w:left w:val="double" w:sz="7" w:space="0" w:color="000000"/>
              <w:bottom w:val="single" w:sz="7" w:space="0" w:color="000000"/>
              <w:right w:val="single" w:sz="7" w:space="0" w:color="000000"/>
            </w:tcBorders>
          </w:tcPr>
          <w:p w:rsidR="004B376F" w:rsidRPr="00E57CAA" w:rsidRDefault="004B376F" w:rsidP="00040C1C"/>
          <w:p w:rsidR="004B376F" w:rsidRPr="00E57CAA" w:rsidRDefault="004B376F" w:rsidP="00040C1C"/>
        </w:tc>
        <w:tc>
          <w:tcPr>
            <w:tcW w:w="1620" w:type="dxa"/>
            <w:tcBorders>
              <w:top w:val="single" w:sz="7" w:space="0" w:color="000000"/>
              <w:left w:val="single" w:sz="7" w:space="0" w:color="000000"/>
              <w:bottom w:val="single" w:sz="7" w:space="0" w:color="000000"/>
              <w:right w:val="single" w:sz="7" w:space="0" w:color="000000"/>
            </w:tcBorders>
          </w:tcPr>
          <w:p w:rsidR="004B376F" w:rsidRPr="00E57CAA" w:rsidRDefault="004B376F" w:rsidP="00040C1C"/>
          <w:p w:rsidR="004B376F" w:rsidRPr="00E57CAA" w:rsidRDefault="004B376F" w:rsidP="00040C1C"/>
        </w:tc>
        <w:tc>
          <w:tcPr>
            <w:tcW w:w="6750" w:type="dxa"/>
            <w:tcBorders>
              <w:top w:val="single" w:sz="7" w:space="0" w:color="000000"/>
              <w:left w:val="single" w:sz="7" w:space="0" w:color="000000"/>
              <w:bottom w:val="single" w:sz="7" w:space="0" w:color="000000"/>
              <w:right w:val="double" w:sz="7" w:space="0" w:color="000000"/>
            </w:tcBorders>
          </w:tcPr>
          <w:p w:rsidR="004B376F" w:rsidRPr="00E57CAA" w:rsidRDefault="004B376F" w:rsidP="00040C1C"/>
          <w:p w:rsidR="004B376F" w:rsidRPr="00E57CAA" w:rsidRDefault="004B376F" w:rsidP="00040C1C"/>
        </w:tc>
      </w:tr>
      <w:tr w:rsidR="002710BD" w:rsidRPr="00E57CAA" w:rsidTr="00054845">
        <w:tc>
          <w:tcPr>
            <w:tcW w:w="1260" w:type="dxa"/>
            <w:tcBorders>
              <w:top w:val="single" w:sz="7" w:space="0" w:color="000000"/>
              <w:left w:val="double" w:sz="7" w:space="0" w:color="000000"/>
              <w:bottom w:val="single" w:sz="7" w:space="0" w:color="000000"/>
              <w:right w:val="single" w:sz="7" w:space="0" w:color="000000"/>
            </w:tcBorders>
          </w:tcPr>
          <w:p w:rsidR="002710BD" w:rsidRPr="00E57CAA" w:rsidRDefault="002710BD" w:rsidP="00040C1C"/>
          <w:p w:rsidR="002710BD" w:rsidRPr="00E57CAA" w:rsidRDefault="002710BD" w:rsidP="00040C1C"/>
        </w:tc>
        <w:tc>
          <w:tcPr>
            <w:tcW w:w="1620" w:type="dxa"/>
            <w:tcBorders>
              <w:top w:val="single" w:sz="7" w:space="0" w:color="000000"/>
              <w:left w:val="single" w:sz="7" w:space="0" w:color="000000"/>
              <w:bottom w:val="single" w:sz="7" w:space="0" w:color="000000"/>
              <w:right w:val="single" w:sz="7" w:space="0" w:color="000000"/>
            </w:tcBorders>
          </w:tcPr>
          <w:p w:rsidR="002710BD" w:rsidRPr="00E57CAA" w:rsidRDefault="002710BD" w:rsidP="00040C1C"/>
          <w:p w:rsidR="002710BD" w:rsidRPr="00E57CAA" w:rsidRDefault="002710BD" w:rsidP="00040C1C"/>
        </w:tc>
        <w:tc>
          <w:tcPr>
            <w:tcW w:w="6750" w:type="dxa"/>
            <w:tcBorders>
              <w:top w:val="single" w:sz="7" w:space="0" w:color="000000"/>
              <w:left w:val="single" w:sz="7" w:space="0" w:color="000000"/>
              <w:bottom w:val="single" w:sz="7" w:space="0" w:color="000000"/>
              <w:right w:val="double" w:sz="7" w:space="0" w:color="000000"/>
            </w:tcBorders>
          </w:tcPr>
          <w:p w:rsidR="002710BD" w:rsidRPr="00E57CAA" w:rsidRDefault="002710BD" w:rsidP="00040C1C"/>
          <w:p w:rsidR="002710BD" w:rsidRPr="00E57CAA" w:rsidRDefault="002710BD" w:rsidP="00040C1C"/>
        </w:tc>
      </w:tr>
      <w:tr w:rsidR="004B376F" w:rsidRPr="00E57CAA" w:rsidTr="00054845">
        <w:trPr>
          <w:trHeight w:val="415"/>
        </w:trPr>
        <w:tc>
          <w:tcPr>
            <w:tcW w:w="1260" w:type="dxa"/>
            <w:tcBorders>
              <w:top w:val="single" w:sz="7" w:space="0" w:color="000000"/>
              <w:left w:val="double" w:sz="7" w:space="0" w:color="000000"/>
              <w:bottom w:val="single" w:sz="7" w:space="0" w:color="000000"/>
              <w:right w:val="single" w:sz="7" w:space="0" w:color="000000"/>
            </w:tcBorders>
          </w:tcPr>
          <w:p w:rsidR="004B376F" w:rsidRPr="00E57CAA" w:rsidRDefault="004B376F" w:rsidP="00040C1C"/>
          <w:p w:rsidR="004B376F" w:rsidRPr="00E57CAA" w:rsidRDefault="004B376F" w:rsidP="00040C1C"/>
        </w:tc>
        <w:tc>
          <w:tcPr>
            <w:tcW w:w="1620" w:type="dxa"/>
            <w:tcBorders>
              <w:top w:val="single" w:sz="7" w:space="0" w:color="000000"/>
              <w:left w:val="single" w:sz="7" w:space="0" w:color="000000"/>
              <w:bottom w:val="single" w:sz="7" w:space="0" w:color="000000"/>
              <w:right w:val="single" w:sz="7" w:space="0" w:color="000000"/>
            </w:tcBorders>
          </w:tcPr>
          <w:p w:rsidR="004B376F" w:rsidRPr="00E57CAA" w:rsidRDefault="004B376F" w:rsidP="00040C1C"/>
        </w:tc>
        <w:tc>
          <w:tcPr>
            <w:tcW w:w="6750" w:type="dxa"/>
            <w:tcBorders>
              <w:top w:val="single" w:sz="7" w:space="0" w:color="000000"/>
              <w:left w:val="single" w:sz="7" w:space="0" w:color="000000"/>
              <w:bottom w:val="single" w:sz="7" w:space="0" w:color="000000"/>
              <w:right w:val="double" w:sz="7" w:space="0" w:color="000000"/>
            </w:tcBorders>
          </w:tcPr>
          <w:p w:rsidR="004B376F" w:rsidRPr="00E57CAA" w:rsidRDefault="004B376F" w:rsidP="00040C1C"/>
          <w:p w:rsidR="004B376F" w:rsidRPr="00E57CAA" w:rsidRDefault="004B376F" w:rsidP="00040C1C"/>
        </w:tc>
      </w:tr>
      <w:tr w:rsidR="004B376F" w:rsidRPr="00E57CAA" w:rsidTr="00054845">
        <w:tc>
          <w:tcPr>
            <w:tcW w:w="1260" w:type="dxa"/>
            <w:tcBorders>
              <w:top w:val="single" w:sz="7" w:space="0" w:color="000000"/>
              <w:left w:val="double" w:sz="7" w:space="0" w:color="000000"/>
              <w:bottom w:val="single" w:sz="7" w:space="0" w:color="000000"/>
              <w:right w:val="single" w:sz="7" w:space="0" w:color="000000"/>
            </w:tcBorders>
          </w:tcPr>
          <w:p w:rsidR="004B376F" w:rsidRPr="00E57CAA" w:rsidRDefault="004B376F" w:rsidP="00040C1C"/>
          <w:p w:rsidR="004B376F" w:rsidRPr="00E57CAA" w:rsidRDefault="004B376F" w:rsidP="00040C1C"/>
        </w:tc>
        <w:tc>
          <w:tcPr>
            <w:tcW w:w="1620" w:type="dxa"/>
            <w:tcBorders>
              <w:top w:val="single" w:sz="7" w:space="0" w:color="000000"/>
              <w:left w:val="single" w:sz="7" w:space="0" w:color="000000"/>
              <w:bottom w:val="single" w:sz="7" w:space="0" w:color="000000"/>
              <w:right w:val="single" w:sz="7" w:space="0" w:color="000000"/>
            </w:tcBorders>
          </w:tcPr>
          <w:p w:rsidR="004B376F" w:rsidRPr="00E57CAA" w:rsidRDefault="004B376F" w:rsidP="00040C1C"/>
          <w:p w:rsidR="004B376F" w:rsidRPr="00E57CAA" w:rsidRDefault="004B376F" w:rsidP="00040C1C"/>
        </w:tc>
        <w:tc>
          <w:tcPr>
            <w:tcW w:w="6750" w:type="dxa"/>
            <w:tcBorders>
              <w:top w:val="single" w:sz="7" w:space="0" w:color="000000"/>
              <w:left w:val="single" w:sz="7" w:space="0" w:color="000000"/>
              <w:bottom w:val="single" w:sz="7" w:space="0" w:color="000000"/>
              <w:right w:val="double" w:sz="7" w:space="0" w:color="000000"/>
            </w:tcBorders>
          </w:tcPr>
          <w:p w:rsidR="004B376F" w:rsidRPr="00E57CAA" w:rsidRDefault="004B376F" w:rsidP="00040C1C"/>
          <w:p w:rsidR="004B376F" w:rsidRPr="00E57CAA" w:rsidRDefault="004B376F" w:rsidP="00040C1C"/>
        </w:tc>
      </w:tr>
      <w:tr w:rsidR="004B376F" w:rsidRPr="00E57CAA" w:rsidTr="00054845">
        <w:tc>
          <w:tcPr>
            <w:tcW w:w="1260" w:type="dxa"/>
            <w:tcBorders>
              <w:top w:val="single" w:sz="7" w:space="0" w:color="000000"/>
              <w:left w:val="double" w:sz="7" w:space="0" w:color="000000"/>
              <w:bottom w:val="single" w:sz="7" w:space="0" w:color="000000"/>
              <w:right w:val="single" w:sz="7" w:space="0" w:color="000000"/>
            </w:tcBorders>
          </w:tcPr>
          <w:p w:rsidR="004B376F" w:rsidRPr="00E57CAA" w:rsidRDefault="004B376F" w:rsidP="00040C1C"/>
          <w:p w:rsidR="004B376F" w:rsidRPr="00E57CAA" w:rsidRDefault="004B376F" w:rsidP="00040C1C"/>
        </w:tc>
        <w:tc>
          <w:tcPr>
            <w:tcW w:w="1620" w:type="dxa"/>
            <w:tcBorders>
              <w:top w:val="single" w:sz="7" w:space="0" w:color="000000"/>
              <w:left w:val="single" w:sz="7" w:space="0" w:color="000000"/>
              <w:bottom w:val="single" w:sz="7" w:space="0" w:color="000000"/>
              <w:right w:val="single" w:sz="7" w:space="0" w:color="000000"/>
            </w:tcBorders>
          </w:tcPr>
          <w:p w:rsidR="004B376F" w:rsidRPr="00E57CAA" w:rsidRDefault="004B376F" w:rsidP="00040C1C"/>
          <w:p w:rsidR="004B376F" w:rsidRPr="00E57CAA" w:rsidRDefault="004B376F" w:rsidP="00040C1C"/>
        </w:tc>
        <w:tc>
          <w:tcPr>
            <w:tcW w:w="6750" w:type="dxa"/>
            <w:tcBorders>
              <w:top w:val="single" w:sz="7" w:space="0" w:color="000000"/>
              <w:left w:val="single" w:sz="7" w:space="0" w:color="000000"/>
              <w:bottom w:val="single" w:sz="7" w:space="0" w:color="000000"/>
              <w:right w:val="double" w:sz="7" w:space="0" w:color="000000"/>
            </w:tcBorders>
          </w:tcPr>
          <w:p w:rsidR="004B376F" w:rsidRPr="00E57CAA" w:rsidRDefault="004B376F" w:rsidP="00040C1C"/>
          <w:p w:rsidR="004B376F" w:rsidRPr="00E57CAA" w:rsidRDefault="004B376F" w:rsidP="00040C1C"/>
        </w:tc>
      </w:tr>
      <w:tr w:rsidR="004B376F" w:rsidRPr="00E57CAA" w:rsidTr="00054845">
        <w:tc>
          <w:tcPr>
            <w:tcW w:w="1260" w:type="dxa"/>
            <w:tcBorders>
              <w:top w:val="single" w:sz="7" w:space="0" w:color="000000"/>
              <w:left w:val="double" w:sz="7" w:space="0" w:color="000000"/>
              <w:bottom w:val="single" w:sz="7" w:space="0" w:color="000000"/>
              <w:right w:val="single" w:sz="7" w:space="0" w:color="000000"/>
            </w:tcBorders>
          </w:tcPr>
          <w:p w:rsidR="004B376F" w:rsidRPr="00E57CAA" w:rsidRDefault="004B376F" w:rsidP="00040C1C"/>
          <w:p w:rsidR="004B376F" w:rsidRPr="00E57CAA" w:rsidRDefault="004B376F" w:rsidP="00040C1C"/>
        </w:tc>
        <w:tc>
          <w:tcPr>
            <w:tcW w:w="1620" w:type="dxa"/>
            <w:tcBorders>
              <w:top w:val="single" w:sz="7" w:space="0" w:color="000000"/>
              <w:left w:val="single" w:sz="7" w:space="0" w:color="000000"/>
              <w:bottom w:val="single" w:sz="7" w:space="0" w:color="000000"/>
              <w:right w:val="single" w:sz="7" w:space="0" w:color="000000"/>
            </w:tcBorders>
          </w:tcPr>
          <w:p w:rsidR="004B376F" w:rsidRPr="00E57CAA" w:rsidRDefault="004B376F" w:rsidP="00040C1C"/>
          <w:p w:rsidR="004B376F" w:rsidRPr="00E57CAA" w:rsidRDefault="004B376F" w:rsidP="00040C1C"/>
        </w:tc>
        <w:tc>
          <w:tcPr>
            <w:tcW w:w="6750" w:type="dxa"/>
            <w:tcBorders>
              <w:top w:val="single" w:sz="7" w:space="0" w:color="000000"/>
              <w:left w:val="single" w:sz="7" w:space="0" w:color="000000"/>
              <w:bottom w:val="single" w:sz="7" w:space="0" w:color="000000"/>
              <w:right w:val="double" w:sz="7" w:space="0" w:color="000000"/>
            </w:tcBorders>
          </w:tcPr>
          <w:p w:rsidR="004B376F" w:rsidRPr="00E57CAA" w:rsidRDefault="004B376F" w:rsidP="00040C1C"/>
          <w:p w:rsidR="004B376F" w:rsidRPr="00E57CAA" w:rsidRDefault="004B376F" w:rsidP="00040C1C"/>
        </w:tc>
      </w:tr>
      <w:tr w:rsidR="004B376F" w:rsidRPr="00E57CAA" w:rsidTr="00054845">
        <w:tc>
          <w:tcPr>
            <w:tcW w:w="1260" w:type="dxa"/>
            <w:tcBorders>
              <w:top w:val="single" w:sz="7" w:space="0" w:color="000000"/>
              <w:left w:val="double" w:sz="7" w:space="0" w:color="000000"/>
              <w:bottom w:val="single" w:sz="7" w:space="0" w:color="000000"/>
              <w:right w:val="single" w:sz="7" w:space="0" w:color="000000"/>
            </w:tcBorders>
          </w:tcPr>
          <w:p w:rsidR="004B376F" w:rsidRPr="00E57CAA" w:rsidRDefault="004B376F" w:rsidP="00040C1C"/>
          <w:p w:rsidR="004B376F" w:rsidRPr="00E57CAA" w:rsidRDefault="004B376F" w:rsidP="00040C1C"/>
        </w:tc>
        <w:tc>
          <w:tcPr>
            <w:tcW w:w="1620" w:type="dxa"/>
            <w:tcBorders>
              <w:top w:val="single" w:sz="7" w:space="0" w:color="000000"/>
              <w:left w:val="single" w:sz="7" w:space="0" w:color="000000"/>
              <w:bottom w:val="single" w:sz="7" w:space="0" w:color="000000"/>
              <w:right w:val="single" w:sz="7" w:space="0" w:color="000000"/>
            </w:tcBorders>
          </w:tcPr>
          <w:p w:rsidR="004B376F" w:rsidRPr="00E57CAA" w:rsidRDefault="004B376F" w:rsidP="00040C1C"/>
          <w:p w:rsidR="004B376F" w:rsidRPr="00E57CAA" w:rsidRDefault="004B376F" w:rsidP="00040C1C"/>
        </w:tc>
        <w:tc>
          <w:tcPr>
            <w:tcW w:w="6750" w:type="dxa"/>
            <w:tcBorders>
              <w:top w:val="single" w:sz="7" w:space="0" w:color="000000"/>
              <w:left w:val="single" w:sz="7" w:space="0" w:color="000000"/>
              <w:bottom w:val="single" w:sz="7" w:space="0" w:color="000000"/>
              <w:right w:val="double" w:sz="7" w:space="0" w:color="000000"/>
            </w:tcBorders>
          </w:tcPr>
          <w:p w:rsidR="004B376F" w:rsidRPr="00E57CAA" w:rsidRDefault="004B376F" w:rsidP="00040C1C"/>
          <w:p w:rsidR="004B376F" w:rsidRPr="00E57CAA" w:rsidRDefault="004B376F" w:rsidP="00040C1C"/>
        </w:tc>
      </w:tr>
      <w:tr w:rsidR="004B376F" w:rsidRPr="00E57CAA" w:rsidTr="00054845">
        <w:tc>
          <w:tcPr>
            <w:tcW w:w="1260" w:type="dxa"/>
            <w:tcBorders>
              <w:top w:val="single" w:sz="7" w:space="0" w:color="000000"/>
              <w:left w:val="double" w:sz="7" w:space="0" w:color="000000"/>
              <w:bottom w:val="single" w:sz="7" w:space="0" w:color="000000"/>
              <w:right w:val="single" w:sz="7" w:space="0" w:color="000000"/>
            </w:tcBorders>
          </w:tcPr>
          <w:p w:rsidR="004B376F" w:rsidRPr="00E57CAA" w:rsidRDefault="004B376F" w:rsidP="00040C1C"/>
          <w:p w:rsidR="004B376F" w:rsidRPr="00E57CAA" w:rsidRDefault="004B376F" w:rsidP="00040C1C"/>
        </w:tc>
        <w:tc>
          <w:tcPr>
            <w:tcW w:w="1620" w:type="dxa"/>
            <w:tcBorders>
              <w:top w:val="single" w:sz="7" w:space="0" w:color="000000"/>
              <w:left w:val="single" w:sz="7" w:space="0" w:color="000000"/>
              <w:bottom w:val="single" w:sz="7" w:space="0" w:color="000000"/>
              <w:right w:val="single" w:sz="7" w:space="0" w:color="000000"/>
            </w:tcBorders>
          </w:tcPr>
          <w:p w:rsidR="004B376F" w:rsidRPr="00E57CAA" w:rsidRDefault="004B376F" w:rsidP="00040C1C"/>
          <w:p w:rsidR="004B376F" w:rsidRPr="00E57CAA" w:rsidRDefault="004B376F" w:rsidP="00040C1C"/>
        </w:tc>
        <w:tc>
          <w:tcPr>
            <w:tcW w:w="6750" w:type="dxa"/>
            <w:tcBorders>
              <w:top w:val="single" w:sz="7" w:space="0" w:color="000000"/>
              <w:left w:val="single" w:sz="7" w:space="0" w:color="000000"/>
              <w:bottom w:val="single" w:sz="7" w:space="0" w:color="000000"/>
              <w:right w:val="double" w:sz="7" w:space="0" w:color="000000"/>
            </w:tcBorders>
          </w:tcPr>
          <w:p w:rsidR="004B376F" w:rsidRPr="00E57CAA" w:rsidRDefault="004B376F" w:rsidP="00040C1C"/>
          <w:p w:rsidR="004B376F" w:rsidRPr="00E57CAA" w:rsidRDefault="004B376F" w:rsidP="00040C1C"/>
        </w:tc>
      </w:tr>
      <w:tr w:rsidR="004B376F" w:rsidRPr="00E57CAA" w:rsidTr="00054845">
        <w:tc>
          <w:tcPr>
            <w:tcW w:w="1260" w:type="dxa"/>
            <w:tcBorders>
              <w:top w:val="single" w:sz="7" w:space="0" w:color="000000"/>
              <w:left w:val="double" w:sz="7" w:space="0" w:color="000000"/>
              <w:bottom w:val="single" w:sz="7" w:space="0" w:color="000000"/>
              <w:right w:val="single" w:sz="7" w:space="0" w:color="000000"/>
            </w:tcBorders>
          </w:tcPr>
          <w:p w:rsidR="004B376F" w:rsidRPr="00E57CAA" w:rsidRDefault="004B376F" w:rsidP="00040C1C"/>
          <w:p w:rsidR="004B376F" w:rsidRPr="00E57CAA" w:rsidRDefault="004B376F" w:rsidP="00040C1C"/>
        </w:tc>
        <w:tc>
          <w:tcPr>
            <w:tcW w:w="1620" w:type="dxa"/>
            <w:tcBorders>
              <w:top w:val="single" w:sz="7" w:space="0" w:color="000000"/>
              <w:left w:val="single" w:sz="7" w:space="0" w:color="000000"/>
              <w:bottom w:val="single" w:sz="7" w:space="0" w:color="000000"/>
              <w:right w:val="single" w:sz="7" w:space="0" w:color="000000"/>
            </w:tcBorders>
          </w:tcPr>
          <w:p w:rsidR="004B376F" w:rsidRPr="00E57CAA" w:rsidRDefault="004B376F" w:rsidP="00040C1C"/>
          <w:p w:rsidR="004B376F" w:rsidRPr="00E57CAA" w:rsidRDefault="004B376F" w:rsidP="00040C1C"/>
        </w:tc>
        <w:tc>
          <w:tcPr>
            <w:tcW w:w="6750" w:type="dxa"/>
            <w:tcBorders>
              <w:top w:val="single" w:sz="7" w:space="0" w:color="000000"/>
              <w:left w:val="single" w:sz="7" w:space="0" w:color="000000"/>
              <w:bottom w:val="single" w:sz="7" w:space="0" w:color="000000"/>
              <w:right w:val="double" w:sz="7" w:space="0" w:color="000000"/>
            </w:tcBorders>
          </w:tcPr>
          <w:p w:rsidR="004B376F" w:rsidRPr="00E57CAA" w:rsidRDefault="004B376F" w:rsidP="00040C1C"/>
          <w:p w:rsidR="004B376F" w:rsidRPr="00E57CAA" w:rsidRDefault="004B376F" w:rsidP="00040C1C"/>
        </w:tc>
      </w:tr>
      <w:tr w:rsidR="004B376F" w:rsidRPr="00E57CAA" w:rsidTr="00054845">
        <w:tc>
          <w:tcPr>
            <w:tcW w:w="1260" w:type="dxa"/>
            <w:tcBorders>
              <w:top w:val="single" w:sz="7" w:space="0" w:color="000000"/>
              <w:left w:val="double" w:sz="7" w:space="0" w:color="000000"/>
              <w:bottom w:val="single" w:sz="7" w:space="0" w:color="000000"/>
              <w:right w:val="single" w:sz="7" w:space="0" w:color="000000"/>
            </w:tcBorders>
          </w:tcPr>
          <w:p w:rsidR="004B376F" w:rsidRPr="00E57CAA" w:rsidRDefault="004B376F" w:rsidP="00040C1C"/>
          <w:p w:rsidR="004B376F" w:rsidRPr="00E57CAA" w:rsidRDefault="004B376F" w:rsidP="00040C1C"/>
        </w:tc>
        <w:tc>
          <w:tcPr>
            <w:tcW w:w="1620" w:type="dxa"/>
            <w:tcBorders>
              <w:top w:val="single" w:sz="7" w:space="0" w:color="000000"/>
              <w:left w:val="single" w:sz="7" w:space="0" w:color="000000"/>
              <w:bottom w:val="single" w:sz="7" w:space="0" w:color="000000"/>
              <w:right w:val="single" w:sz="7" w:space="0" w:color="000000"/>
            </w:tcBorders>
          </w:tcPr>
          <w:p w:rsidR="004B376F" w:rsidRPr="00E57CAA" w:rsidRDefault="004B376F" w:rsidP="00040C1C"/>
          <w:p w:rsidR="004B376F" w:rsidRPr="00E57CAA" w:rsidRDefault="004B376F" w:rsidP="00040C1C"/>
        </w:tc>
        <w:tc>
          <w:tcPr>
            <w:tcW w:w="6750" w:type="dxa"/>
            <w:tcBorders>
              <w:top w:val="single" w:sz="7" w:space="0" w:color="000000"/>
              <w:left w:val="single" w:sz="7" w:space="0" w:color="000000"/>
              <w:bottom w:val="single" w:sz="7" w:space="0" w:color="000000"/>
              <w:right w:val="double" w:sz="7" w:space="0" w:color="000000"/>
            </w:tcBorders>
          </w:tcPr>
          <w:p w:rsidR="004B376F" w:rsidRPr="00E57CAA" w:rsidRDefault="004B376F" w:rsidP="00040C1C"/>
          <w:p w:rsidR="004B376F" w:rsidRPr="00E57CAA" w:rsidRDefault="004B376F" w:rsidP="00040C1C"/>
        </w:tc>
      </w:tr>
      <w:tr w:rsidR="004B376F" w:rsidRPr="00E57CAA" w:rsidTr="00054845">
        <w:tc>
          <w:tcPr>
            <w:tcW w:w="1260" w:type="dxa"/>
            <w:tcBorders>
              <w:top w:val="single" w:sz="7" w:space="0" w:color="000000"/>
              <w:left w:val="double" w:sz="7" w:space="0" w:color="000000"/>
              <w:bottom w:val="single" w:sz="7" w:space="0" w:color="000000"/>
              <w:right w:val="single" w:sz="7" w:space="0" w:color="000000"/>
            </w:tcBorders>
          </w:tcPr>
          <w:p w:rsidR="004B376F" w:rsidRPr="00E57CAA" w:rsidRDefault="004B376F" w:rsidP="00040C1C"/>
          <w:p w:rsidR="004B376F" w:rsidRPr="00E57CAA" w:rsidRDefault="004B376F" w:rsidP="00040C1C"/>
        </w:tc>
        <w:tc>
          <w:tcPr>
            <w:tcW w:w="1620" w:type="dxa"/>
            <w:tcBorders>
              <w:top w:val="single" w:sz="7" w:space="0" w:color="000000"/>
              <w:left w:val="single" w:sz="7" w:space="0" w:color="000000"/>
              <w:bottom w:val="single" w:sz="7" w:space="0" w:color="000000"/>
              <w:right w:val="single" w:sz="7" w:space="0" w:color="000000"/>
            </w:tcBorders>
          </w:tcPr>
          <w:p w:rsidR="004B376F" w:rsidRPr="00E57CAA" w:rsidRDefault="004B376F" w:rsidP="00040C1C"/>
          <w:p w:rsidR="004B376F" w:rsidRPr="00E57CAA" w:rsidRDefault="004B376F" w:rsidP="00040C1C"/>
        </w:tc>
        <w:tc>
          <w:tcPr>
            <w:tcW w:w="6750" w:type="dxa"/>
            <w:tcBorders>
              <w:top w:val="single" w:sz="7" w:space="0" w:color="000000"/>
              <w:left w:val="single" w:sz="7" w:space="0" w:color="000000"/>
              <w:bottom w:val="single" w:sz="7" w:space="0" w:color="000000"/>
              <w:right w:val="double" w:sz="7" w:space="0" w:color="000000"/>
            </w:tcBorders>
          </w:tcPr>
          <w:p w:rsidR="004B376F" w:rsidRPr="00E57CAA" w:rsidRDefault="004B376F" w:rsidP="00040C1C"/>
          <w:p w:rsidR="004B376F" w:rsidRPr="00E57CAA" w:rsidRDefault="004B376F" w:rsidP="00040C1C"/>
        </w:tc>
      </w:tr>
      <w:tr w:rsidR="004B376F" w:rsidRPr="00E57CAA" w:rsidTr="00054845">
        <w:tc>
          <w:tcPr>
            <w:tcW w:w="1260" w:type="dxa"/>
            <w:tcBorders>
              <w:top w:val="single" w:sz="7" w:space="0" w:color="000000"/>
              <w:left w:val="double" w:sz="7" w:space="0" w:color="000000"/>
              <w:bottom w:val="single" w:sz="7" w:space="0" w:color="000000"/>
              <w:right w:val="single" w:sz="7" w:space="0" w:color="000000"/>
            </w:tcBorders>
          </w:tcPr>
          <w:p w:rsidR="004B376F" w:rsidRPr="00E57CAA" w:rsidRDefault="004B376F" w:rsidP="00040C1C"/>
          <w:p w:rsidR="004B376F" w:rsidRPr="00E57CAA" w:rsidRDefault="004B376F" w:rsidP="00040C1C"/>
        </w:tc>
        <w:tc>
          <w:tcPr>
            <w:tcW w:w="1620" w:type="dxa"/>
            <w:tcBorders>
              <w:top w:val="single" w:sz="7" w:space="0" w:color="000000"/>
              <w:left w:val="single" w:sz="7" w:space="0" w:color="000000"/>
              <w:bottom w:val="single" w:sz="7" w:space="0" w:color="000000"/>
              <w:right w:val="single" w:sz="7" w:space="0" w:color="000000"/>
            </w:tcBorders>
          </w:tcPr>
          <w:p w:rsidR="004B376F" w:rsidRPr="00E57CAA" w:rsidRDefault="004B376F" w:rsidP="00040C1C"/>
          <w:p w:rsidR="004B376F" w:rsidRPr="00E57CAA" w:rsidRDefault="004B376F" w:rsidP="00040C1C"/>
        </w:tc>
        <w:tc>
          <w:tcPr>
            <w:tcW w:w="6750" w:type="dxa"/>
            <w:tcBorders>
              <w:top w:val="single" w:sz="7" w:space="0" w:color="000000"/>
              <w:left w:val="single" w:sz="7" w:space="0" w:color="000000"/>
              <w:bottom w:val="single" w:sz="7" w:space="0" w:color="000000"/>
              <w:right w:val="double" w:sz="7" w:space="0" w:color="000000"/>
            </w:tcBorders>
          </w:tcPr>
          <w:p w:rsidR="004B376F" w:rsidRPr="00E57CAA" w:rsidRDefault="004B376F" w:rsidP="00040C1C"/>
          <w:p w:rsidR="004B376F" w:rsidRPr="00E57CAA" w:rsidRDefault="004B376F" w:rsidP="00040C1C"/>
        </w:tc>
      </w:tr>
    </w:tbl>
    <w:p w:rsidR="001434D2" w:rsidRPr="00F16C67" w:rsidRDefault="001434D2" w:rsidP="00040C1C"/>
    <w:p w:rsidR="001434D2" w:rsidRDefault="001434D2" w:rsidP="00040C1C"/>
    <w:sectPr w:rsidR="001434D2" w:rsidSect="002B4552">
      <w:headerReference w:type="default" r:id="rId8"/>
      <w:headerReference w:type="first" r:id="rId9"/>
      <w:pgSz w:w="12240" w:h="15840"/>
      <w:pgMar w:top="1440" w:right="1080"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26F" w:rsidRDefault="007F226F" w:rsidP="00040C1C">
      <w:r>
        <w:separator/>
      </w:r>
    </w:p>
  </w:endnote>
  <w:endnote w:type="continuationSeparator" w:id="0">
    <w:p w:rsidR="007F226F" w:rsidRDefault="007F226F" w:rsidP="0004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Helen Pro Cond">
    <w:altName w:val="Arial"/>
    <w:panose1 w:val="00000000000000000000"/>
    <w:charset w:val="00"/>
    <w:family w:val="modern"/>
    <w:notTrueType/>
    <w:pitch w:val="variable"/>
    <w:sig w:usb0="00000003" w:usb1="00000000" w:usb2="00000000" w:usb3="00000000" w:csb0="00000001" w:csb1="00000000"/>
  </w:font>
  <w:font w:name="HelenPro-Cond">
    <w:altName w:val="Helen Pro Con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26F" w:rsidRDefault="007F226F" w:rsidP="00040C1C">
      <w:r>
        <w:separator/>
      </w:r>
    </w:p>
  </w:footnote>
  <w:footnote w:type="continuationSeparator" w:id="0">
    <w:p w:rsidR="007F226F" w:rsidRDefault="007F226F" w:rsidP="00040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0" w:type="dxa"/>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579"/>
      <w:gridCol w:w="4774"/>
      <w:gridCol w:w="2277"/>
    </w:tblGrid>
    <w:tr w:rsidR="007F226F" w:rsidRPr="00E5655F" w:rsidTr="00E5655F">
      <w:tc>
        <w:tcPr>
          <w:tcW w:w="2579" w:type="dxa"/>
          <w:hideMark/>
        </w:tcPr>
        <w:p w:rsidR="007F226F" w:rsidRPr="00E5655F" w:rsidRDefault="007F226F" w:rsidP="00E5655F">
          <w:pPr>
            <w:widowControl w:val="0"/>
            <w:tabs>
              <w:tab w:val="center" w:pos="1197"/>
              <w:tab w:val="center" w:pos="4320"/>
              <w:tab w:val="right" w:pos="9360"/>
            </w:tabs>
            <w:jc w:val="center"/>
            <w:rPr>
              <w:b/>
              <w:snapToGrid w:val="0"/>
              <w:sz w:val="16"/>
              <w:szCs w:val="16"/>
            </w:rPr>
          </w:pPr>
          <w:r w:rsidRPr="00E5655F">
            <w:rPr>
              <w:b/>
              <w:snapToGrid w:val="0"/>
              <w:sz w:val="16"/>
              <w:szCs w:val="16"/>
            </w:rPr>
            <w:t>EINSTEIN MEDICAL CENTER</w:t>
          </w:r>
        </w:p>
        <w:p w:rsidR="007F226F" w:rsidRPr="00E5655F" w:rsidRDefault="007F226F" w:rsidP="00E5655F">
          <w:pPr>
            <w:widowControl w:val="0"/>
            <w:tabs>
              <w:tab w:val="left" w:pos="495"/>
              <w:tab w:val="center" w:pos="1149"/>
              <w:tab w:val="center" w:pos="4320"/>
              <w:tab w:val="right" w:pos="8640"/>
            </w:tabs>
            <w:jc w:val="center"/>
            <w:rPr>
              <w:b/>
              <w:snapToGrid w:val="0"/>
              <w:sz w:val="16"/>
              <w:szCs w:val="16"/>
            </w:rPr>
          </w:pPr>
          <w:r w:rsidRPr="00E5655F">
            <w:rPr>
              <w:b/>
              <w:snapToGrid w:val="0"/>
              <w:sz w:val="16"/>
              <w:szCs w:val="16"/>
            </w:rPr>
            <w:t>CHEMISTRY POLICY &amp;</w:t>
          </w:r>
        </w:p>
        <w:p w:rsidR="007F226F" w:rsidRPr="00E5655F" w:rsidRDefault="007F226F" w:rsidP="00E5655F">
          <w:pPr>
            <w:tabs>
              <w:tab w:val="center" w:pos="4680"/>
              <w:tab w:val="right" w:pos="9360"/>
            </w:tabs>
            <w:spacing w:before="40"/>
            <w:jc w:val="center"/>
            <w:rPr>
              <w:rFonts w:eastAsia="Calibri"/>
              <w:b/>
              <w:sz w:val="16"/>
              <w:szCs w:val="16"/>
            </w:rPr>
          </w:pPr>
          <w:r w:rsidRPr="00E5655F">
            <w:rPr>
              <w:rFonts w:eastAsia="Calibri"/>
              <w:b/>
              <w:sz w:val="16"/>
              <w:szCs w:val="16"/>
            </w:rPr>
            <w:t>PROCEDURE MANUAL</w:t>
          </w:r>
        </w:p>
      </w:tc>
      <w:tc>
        <w:tcPr>
          <w:tcW w:w="4774" w:type="dxa"/>
          <w:vAlign w:val="center"/>
          <w:hideMark/>
        </w:tcPr>
        <w:p w:rsidR="007F226F" w:rsidRPr="00E5655F" w:rsidRDefault="007F226F" w:rsidP="00E5655F">
          <w:pPr>
            <w:tabs>
              <w:tab w:val="center" w:pos="4680"/>
              <w:tab w:val="right" w:pos="9360"/>
            </w:tabs>
            <w:spacing w:before="40"/>
            <w:jc w:val="center"/>
            <w:rPr>
              <w:rFonts w:ascii="Calibri" w:eastAsia="Calibri" w:hAnsi="Calibri"/>
              <w:b/>
              <w:sz w:val="16"/>
              <w:szCs w:val="16"/>
            </w:rPr>
          </w:pPr>
          <w:proofErr w:type="spellStart"/>
          <w:r>
            <w:rPr>
              <w:rFonts w:ascii="Calibri" w:eastAsia="Calibri" w:hAnsi="Calibri"/>
              <w:b/>
              <w:sz w:val="22"/>
              <w:szCs w:val="22"/>
            </w:rPr>
            <w:t>Procalcitonin</w:t>
          </w:r>
          <w:proofErr w:type="spellEnd"/>
        </w:p>
      </w:tc>
      <w:tc>
        <w:tcPr>
          <w:tcW w:w="2277" w:type="dxa"/>
          <w:hideMark/>
        </w:tcPr>
        <w:p w:rsidR="007F226F" w:rsidRPr="00E5655F" w:rsidRDefault="007F226F" w:rsidP="00E5655F">
          <w:pPr>
            <w:tabs>
              <w:tab w:val="center" w:pos="4680"/>
              <w:tab w:val="right" w:pos="9360"/>
            </w:tabs>
            <w:spacing w:before="40"/>
            <w:rPr>
              <w:rFonts w:ascii="Calibri" w:eastAsia="Calibri" w:hAnsi="Calibri"/>
              <w:b/>
              <w:sz w:val="16"/>
              <w:szCs w:val="16"/>
            </w:rPr>
          </w:pPr>
          <w:r w:rsidRPr="00E5655F">
            <w:rPr>
              <w:rFonts w:ascii="Calibri" w:eastAsia="Calibri" w:hAnsi="Calibri"/>
              <w:b/>
              <w:sz w:val="16"/>
              <w:szCs w:val="16"/>
            </w:rPr>
            <w:t>DOCUMENT NUMBER</w:t>
          </w:r>
        </w:p>
        <w:p w:rsidR="007F226F" w:rsidRPr="00E5655F" w:rsidRDefault="007F226F" w:rsidP="00E5655F">
          <w:pPr>
            <w:tabs>
              <w:tab w:val="center" w:pos="4680"/>
              <w:tab w:val="right" w:pos="9360"/>
            </w:tabs>
            <w:spacing w:before="40"/>
            <w:rPr>
              <w:rFonts w:ascii="Calibri" w:eastAsia="Calibri" w:hAnsi="Calibri"/>
              <w:b/>
              <w:sz w:val="20"/>
              <w:szCs w:val="22"/>
            </w:rPr>
          </w:pPr>
          <w:r>
            <w:rPr>
              <w:rFonts w:ascii="Calibri" w:eastAsia="Calibri" w:hAnsi="Calibri"/>
              <w:b/>
              <w:sz w:val="22"/>
              <w:szCs w:val="22"/>
            </w:rPr>
            <w:t>VIDAS01-001.01</w:t>
          </w:r>
        </w:p>
      </w:tc>
    </w:tr>
  </w:tbl>
  <w:p w:rsidR="007F226F" w:rsidRPr="002B4552" w:rsidRDefault="007F226F" w:rsidP="00040C1C">
    <w:r>
      <w:tab/>
    </w:r>
    <w:r>
      <w:tab/>
    </w:r>
    <w:r>
      <w:tab/>
    </w:r>
    <w:r w:rsidRPr="00076C18">
      <w:t xml:space="preserve">Page </w:t>
    </w:r>
    <w:r w:rsidRPr="00076C18">
      <w:fldChar w:fldCharType="begin"/>
    </w:r>
    <w:r w:rsidRPr="00076C18">
      <w:instrText xml:space="preserve"> PAGE </w:instrText>
    </w:r>
    <w:r w:rsidRPr="00076C18">
      <w:fldChar w:fldCharType="separate"/>
    </w:r>
    <w:r w:rsidR="003B397C">
      <w:rPr>
        <w:noProof/>
      </w:rPr>
      <w:t>7</w:t>
    </w:r>
    <w:r w:rsidRPr="00076C18">
      <w:fldChar w:fldCharType="end"/>
    </w:r>
    <w:r w:rsidRPr="00076C18">
      <w:t xml:space="preserve"> of </w:t>
    </w:r>
    <w:fldSimple w:instr=" NUMPAGES  ">
      <w:r w:rsidR="003B397C">
        <w:rPr>
          <w:noProof/>
        </w:rPr>
        <w:t>9</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5130"/>
      <w:gridCol w:w="2250"/>
    </w:tblGrid>
    <w:tr w:rsidR="007F226F" w:rsidRPr="00E5655F" w:rsidTr="00E5655F">
      <w:tc>
        <w:tcPr>
          <w:tcW w:w="2520" w:type="dxa"/>
          <w:tcBorders>
            <w:top w:val="double" w:sz="4" w:space="0" w:color="auto"/>
            <w:left w:val="double" w:sz="4" w:space="0" w:color="auto"/>
            <w:bottom w:val="single" w:sz="4" w:space="0" w:color="000000"/>
            <w:right w:val="single" w:sz="4" w:space="0" w:color="000000"/>
          </w:tcBorders>
        </w:tcPr>
        <w:p w:rsidR="007F226F" w:rsidRPr="00E5655F" w:rsidRDefault="007F226F" w:rsidP="00E5655F">
          <w:pPr>
            <w:widowControl w:val="0"/>
            <w:tabs>
              <w:tab w:val="center" w:pos="1197"/>
              <w:tab w:val="center" w:pos="4320"/>
              <w:tab w:val="right" w:pos="9360"/>
            </w:tabs>
            <w:jc w:val="center"/>
            <w:rPr>
              <w:b/>
              <w:snapToGrid w:val="0"/>
              <w:sz w:val="16"/>
              <w:szCs w:val="16"/>
            </w:rPr>
          </w:pPr>
          <w:r w:rsidRPr="00E5655F">
            <w:rPr>
              <w:b/>
              <w:snapToGrid w:val="0"/>
              <w:sz w:val="16"/>
              <w:szCs w:val="16"/>
            </w:rPr>
            <w:t>EINSTEIN MEDICAL CENTER</w:t>
          </w:r>
        </w:p>
        <w:p w:rsidR="007F226F" w:rsidRPr="00E5655F" w:rsidRDefault="007F226F" w:rsidP="00E5655F">
          <w:pPr>
            <w:widowControl w:val="0"/>
            <w:tabs>
              <w:tab w:val="left" w:pos="495"/>
              <w:tab w:val="center" w:pos="1149"/>
              <w:tab w:val="center" w:pos="4320"/>
              <w:tab w:val="right" w:pos="8640"/>
            </w:tabs>
            <w:jc w:val="center"/>
            <w:rPr>
              <w:b/>
              <w:snapToGrid w:val="0"/>
              <w:sz w:val="16"/>
              <w:szCs w:val="16"/>
            </w:rPr>
          </w:pPr>
          <w:r w:rsidRPr="00E5655F">
            <w:rPr>
              <w:b/>
              <w:snapToGrid w:val="0"/>
              <w:sz w:val="16"/>
              <w:szCs w:val="16"/>
            </w:rPr>
            <w:t>CHEMISTRY POLICY &amp;</w:t>
          </w:r>
        </w:p>
        <w:p w:rsidR="007F226F" w:rsidRPr="00E5655F" w:rsidRDefault="007F226F" w:rsidP="00E5655F">
          <w:pPr>
            <w:widowControl w:val="0"/>
            <w:tabs>
              <w:tab w:val="center" w:pos="4320"/>
              <w:tab w:val="right" w:pos="8640"/>
            </w:tabs>
            <w:jc w:val="center"/>
            <w:rPr>
              <w:b/>
              <w:snapToGrid w:val="0"/>
              <w:sz w:val="16"/>
              <w:szCs w:val="16"/>
            </w:rPr>
          </w:pPr>
          <w:r w:rsidRPr="00E5655F">
            <w:rPr>
              <w:b/>
              <w:snapToGrid w:val="0"/>
              <w:sz w:val="16"/>
              <w:szCs w:val="16"/>
            </w:rPr>
            <w:t>PROCEDURE MANUAL</w:t>
          </w:r>
        </w:p>
      </w:tc>
      <w:tc>
        <w:tcPr>
          <w:tcW w:w="5130" w:type="dxa"/>
          <w:tcBorders>
            <w:top w:val="double" w:sz="4" w:space="0" w:color="auto"/>
            <w:left w:val="single" w:sz="4" w:space="0" w:color="000000"/>
            <w:bottom w:val="single" w:sz="4" w:space="0" w:color="000000"/>
            <w:right w:val="single" w:sz="4" w:space="0" w:color="000000"/>
          </w:tcBorders>
          <w:vAlign w:val="center"/>
        </w:tcPr>
        <w:p w:rsidR="007F226F" w:rsidRPr="00E5655F" w:rsidRDefault="007F226F" w:rsidP="00E5655F">
          <w:pPr>
            <w:widowControl w:val="0"/>
            <w:tabs>
              <w:tab w:val="center" w:pos="4320"/>
              <w:tab w:val="right" w:pos="8640"/>
            </w:tabs>
            <w:jc w:val="center"/>
            <w:rPr>
              <w:b/>
              <w:snapToGrid w:val="0"/>
              <w:sz w:val="16"/>
              <w:szCs w:val="16"/>
            </w:rPr>
          </w:pPr>
          <w:r w:rsidRPr="00E5655F">
            <w:rPr>
              <w:b/>
              <w:snapToGrid w:val="0"/>
              <w:sz w:val="16"/>
              <w:szCs w:val="16"/>
            </w:rPr>
            <w:t>DEPARTMENT OF PATHOLOGY &amp; LABORATORY</w:t>
          </w:r>
        </w:p>
        <w:p w:rsidR="007F226F" w:rsidRPr="00E5655F" w:rsidRDefault="007F226F" w:rsidP="00E5655F">
          <w:pPr>
            <w:widowControl w:val="0"/>
            <w:tabs>
              <w:tab w:val="center" w:pos="4320"/>
              <w:tab w:val="right" w:pos="8640"/>
            </w:tabs>
            <w:jc w:val="center"/>
            <w:rPr>
              <w:b/>
              <w:snapToGrid w:val="0"/>
              <w:sz w:val="16"/>
              <w:szCs w:val="16"/>
            </w:rPr>
          </w:pPr>
          <w:r w:rsidRPr="00E5655F">
            <w:rPr>
              <w:b/>
              <w:snapToGrid w:val="0"/>
              <w:sz w:val="16"/>
              <w:szCs w:val="16"/>
            </w:rPr>
            <w:t>MEDICINE</w:t>
          </w:r>
        </w:p>
      </w:tc>
      <w:tc>
        <w:tcPr>
          <w:tcW w:w="2250" w:type="dxa"/>
          <w:tcBorders>
            <w:top w:val="double" w:sz="4" w:space="0" w:color="auto"/>
            <w:left w:val="single" w:sz="4" w:space="0" w:color="000000"/>
            <w:bottom w:val="single" w:sz="4" w:space="0" w:color="000000"/>
            <w:right w:val="double" w:sz="4" w:space="0" w:color="auto"/>
          </w:tcBorders>
        </w:tcPr>
        <w:p w:rsidR="007F226F" w:rsidRPr="00E5655F" w:rsidRDefault="007F226F" w:rsidP="00E5655F">
          <w:pPr>
            <w:widowControl w:val="0"/>
            <w:tabs>
              <w:tab w:val="center" w:pos="4320"/>
              <w:tab w:val="right" w:pos="8640"/>
            </w:tabs>
            <w:rPr>
              <w:b/>
              <w:snapToGrid w:val="0"/>
              <w:sz w:val="16"/>
              <w:szCs w:val="16"/>
            </w:rPr>
          </w:pPr>
          <w:r w:rsidRPr="00E5655F">
            <w:rPr>
              <w:b/>
              <w:snapToGrid w:val="0"/>
              <w:sz w:val="16"/>
              <w:szCs w:val="16"/>
            </w:rPr>
            <w:t>DOCUMENT NUMBER</w:t>
          </w:r>
        </w:p>
        <w:p w:rsidR="007F226F" w:rsidRPr="00E5655F" w:rsidRDefault="007F226F" w:rsidP="00E5655F">
          <w:pPr>
            <w:widowControl w:val="0"/>
            <w:tabs>
              <w:tab w:val="center" w:pos="4320"/>
              <w:tab w:val="right" w:pos="8640"/>
            </w:tabs>
            <w:rPr>
              <w:b/>
              <w:snapToGrid w:val="0"/>
              <w:szCs w:val="20"/>
            </w:rPr>
          </w:pPr>
          <w:r>
            <w:rPr>
              <w:b/>
              <w:snapToGrid w:val="0"/>
              <w:szCs w:val="20"/>
            </w:rPr>
            <w:t>VIDAS01-001.01</w:t>
          </w:r>
        </w:p>
      </w:tc>
    </w:tr>
    <w:tr w:rsidR="007F226F" w:rsidRPr="00E5655F" w:rsidTr="00E5655F">
      <w:trPr>
        <w:trHeight w:val="447"/>
      </w:trPr>
      <w:tc>
        <w:tcPr>
          <w:tcW w:w="7650" w:type="dxa"/>
          <w:gridSpan w:val="2"/>
          <w:tcBorders>
            <w:top w:val="single" w:sz="4" w:space="0" w:color="000000"/>
            <w:left w:val="double" w:sz="4" w:space="0" w:color="auto"/>
            <w:bottom w:val="single" w:sz="4" w:space="0" w:color="000000"/>
            <w:right w:val="single" w:sz="4" w:space="0" w:color="000000"/>
          </w:tcBorders>
        </w:tcPr>
        <w:p w:rsidR="007F226F" w:rsidRPr="00E5655F" w:rsidRDefault="007F226F" w:rsidP="00E5655F">
          <w:pPr>
            <w:widowControl w:val="0"/>
            <w:tabs>
              <w:tab w:val="center" w:pos="4320"/>
              <w:tab w:val="right" w:pos="8640"/>
            </w:tabs>
            <w:jc w:val="center"/>
            <w:rPr>
              <w:b/>
              <w:snapToGrid w:val="0"/>
              <w:sz w:val="16"/>
              <w:szCs w:val="16"/>
            </w:rPr>
          </w:pPr>
        </w:p>
        <w:p w:rsidR="007F226F" w:rsidRPr="00E5655F" w:rsidRDefault="007F226F" w:rsidP="00E5655F">
          <w:pPr>
            <w:widowControl w:val="0"/>
            <w:tabs>
              <w:tab w:val="center" w:pos="4320"/>
              <w:tab w:val="right" w:pos="8640"/>
            </w:tabs>
            <w:jc w:val="center"/>
            <w:rPr>
              <w:b/>
              <w:caps/>
              <w:snapToGrid w:val="0"/>
              <w:color w:val="FF0000"/>
              <w:szCs w:val="22"/>
            </w:rPr>
          </w:pPr>
          <w:proofErr w:type="spellStart"/>
          <w:r>
            <w:rPr>
              <w:b/>
              <w:snapToGrid w:val="0"/>
              <w:sz w:val="22"/>
              <w:szCs w:val="22"/>
            </w:rPr>
            <w:t>Procalcitonin</w:t>
          </w:r>
          <w:proofErr w:type="spellEnd"/>
        </w:p>
        <w:p w:rsidR="007F226F" w:rsidRPr="00E5655F" w:rsidRDefault="007F226F" w:rsidP="00E5655F">
          <w:pPr>
            <w:widowControl w:val="0"/>
            <w:tabs>
              <w:tab w:val="center" w:pos="4320"/>
              <w:tab w:val="right" w:pos="8640"/>
            </w:tabs>
            <w:jc w:val="center"/>
            <w:rPr>
              <w:b/>
              <w:caps/>
              <w:snapToGrid w:val="0"/>
              <w:szCs w:val="22"/>
            </w:rPr>
          </w:pPr>
        </w:p>
      </w:tc>
      <w:tc>
        <w:tcPr>
          <w:tcW w:w="2250" w:type="dxa"/>
          <w:vMerge w:val="restart"/>
          <w:tcBorders>
            <w:top w:val="single" w:sz="4" w:space="0" w:color="000000"/>
            <w:left w:val="single" w:sz="4" w:space="0" w:color="000000"/>
            <w:bottom w:val="single" w:sz="4" w:space="0" w:color="000000"/>
            <w:right w:val="double" w:sz="4" w:space="0" w:color="auto"/>
          </w:tcBorders>
        </w:tcPr>
        <w:p w:rsidR="007F226F" w:rsidRPr="00E5655F" w:rsidRDefault="007F226F" w:rsidP="00E5655F">
          <w:pPr>
            <w:widowControl w:val="0"/>
            <w:tabs>
              <w:tab w:val="center" w:pos="4320"/>
              <w:tab w:val="right" w:pos="8640"/>
            </w:tabs>
            <w:rPr>
              <w:snapToGrid w:val="0"/>
              <w:sz w:val="16"/>
              <w:szCs w:val="16"/>
            </w:rPr>
          </w:pPr>
        </w:p>
        <w:p w:rsidR="007F226F" w:rsidRPr="00E5655F" w:rsidRDefault="007F226F" w:rsidP="00E5655F">
          <w:pPr>
            <w:widowControl w:val="0"/>
            <w:tabs>
              <w:tab w:val="center" w:pos="4320"/>
              <w:tab w:val="right" w:pos="8640"/>
            </w:tabs>
            <w:rPr>
              <w:snapToGrid w:val="0"/>
              <w:sz w:val="16"/>
              <w:szCs w:val="16"/>
            </w:rPr>
          </w:pPr>
          <w:r w:rsidRPr="00E5655F">
            <w:rPr>
              <w:snapToGrid w:val="0"/>
              <w:sz w:val="16"/>
              <w:szCs w:val="16"/>
            </w:rPr>
            <w:t>DATE OF ISSUE:</w:t>
          </w:r>
        </w:p>
        <w:p w:rsidR="007F226F" w:rsidRPr="00E5655F" w:rsidRDefault="007F226F" w:rsidP="00E5655F">
          <w:pPr>
            <w:widowControl w:val="0"/>
            <w:tabs>
              <w:tab w:val="center" w:pos="4320"/>
              <w:tab w:val="right" w:pos="8640"/>
            </w:tabs>
            <w:rPr>
              <w:snapToGrid w:val="0"/>
              <w:sz w:val="16"/>
              <w:szCs w:val="16"/>
            </w:rPr>
          </w:pPr>
          <w:r>
            <w:rPr>
              <w:snapToGrid w:val="0"/>
              <w:sz w:val="16"/>
              <w:szCs w:val="16"/>
            </w:rPr>
            <w:t>5/27/2016</w:t>
          </w:r>
        </w:p>
      </w:tc>
    </w:tr>
    <w:tr w:rsidR="007F226F" w:rsidRPr="00E5655F" w:rsidTr="00E5655F">
      <w:tc>
        <w:tcPr>
          <w:tcW w:w="7650" w:type="dxa"/>
          <w:gridSpan w:val="2"/>
          <w:tcBorders>
            <w:top w:val="single" w:sz="4" w:space="0" w:color="000000"/>
            <w:left w:val="double" w:sz="4" w:space="0" w:color="auto"/>
            <w:bottom w:val="double" w:sz="4" w:space="0" w:color="auto"/>
            <w:right w:val="single" w:sz="4" w:space="0" w:color="000000"/>
          </w:tcBorders>
          <w:vAlign w:val="center"/>
        </w:tcPr>
        <w:p w:rsidR="007F226F" w:rsidRPr="00E5655F" w:rsidRDefault="007F226F" w:rsidP="00E5655F">
          <w:pPr>
            <w:widowControl w:val="0"/>
            <w:tabs>
              <w:tab w:val="center" w:pos="4320"/>
              <w:tab w:val="right" w:pos="8640"/>
            </w:tabs>
            <w:rPr>
              <w:snapToGrid w:val="0"/>
              <w:sz w:val="20"/>
              <w:szCs w:val="20"/>
            </w:rPr>
          </w:pPr>
          <w:r w:rsidRPr="00E5655F">
            <w:rPr>
              <w:b/>
              <w:snapToGrid w:val="0"/>
              <w:sz w:val="20"/>
              <w:szCs w:val="20"/>
            </w:rPr>
            <w:t>POLICY OWNER: CHEMISTRY SUPERVISOR</w:t>
          </w:r>
        </w:p>
      </w:tc>
      <w:tc>
        <w:tcPr>
          <w:tcW w:w="2250" w:type="dxa"/>
          <w:vMerge/>
          <w:tcBorders>
            <w:left w:val="single" w:sz="4" w:space="0" w:color="000000"/>
            <w:bottom w:val="double" w:sz="4" w:space="0" w:color="auto"/>
            <w:right w:val="double" w:sz="4" w:space="0" w:color="auto"/>
          </w:tcBorders>
        </w:tcPr>
        <w:p w:rsidR="007F226F" w:rsidRPr="00E5655F" w:rsidRDefault="007F226F" w:rsidP="00E5655F">
          <w:pPr>
            <w:widowControl w:val="0"/>
            <w:tabs>
              <w:tab w:val="center" w:pos="4320"/>
              <w:tab w:val="right" w:pos="8640"/>
            </w:tabs>
            <w:rPr>
              <w:snapToGrid w:val="0"/>
              <w:sz w:val="16"/>
              <w:szCs w:val="16"/>
            </w:rPr>
          </w:pPr>
        </w:p>
      </w:tc>
    </w:tr>
  </w:tbl>
  <w:p w:rsidR="007F226F" w:rsidRDefault="007F226F" w:rsidP="00040C1C">
    <w:r>
      <w:tab/>
    </w:r>
    <w:r>
      <w:tab/>
    </w:r>
    <w:r>
      <w:tab/>
    </w:r>
    <w:r w:rsidRPr="00AA4C11">
      <w:t xml:space="preserve">Page </w:t>
    </w:r>
    <w:r w:rsidRPr="00AA4C11">
      <w:fldChar w:fldCharType="begin"/>
    </w:r>
    <w:r w:rsidRPr="00AA4C11">
      <w:instrText xml:space="preserve"> PAGE </w:instrText>
    </w:r>
    <w:r w:rsidRPr="00AA4C11">
      <w:fldChar w:fldCharType="separate"/>
    </w:r>
    <w:r w:rsidR="003B397C">
      <w:rPr>
        <w:noProof/>
      </w:rPr>
      <w:t>1</w:t>
    </w:r>
    <w:r w:rsidRPr="00AA4C11">
      <w:fldChar w:fldCharType="end"/>
    </w:r>
    <w:r w:rsidRPr="00AA4C11">
      <w:t xml:space="preserve"> of </w:t>
    </w:r>
    <w:fldSimple w:instr=" NUMPAGES  ">
      <w:r w:rsidR="003B397C">
        <w:rPr>
          <w:noProof/>
        </w:rPr>
        <w:t>9</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8105E"/>
    <w:multiLevelType w:val="multilevel"/>
    <w:tmpl w:val="DA661798"/>
    <w:lvl w:ilvl="0">
      <w:start w:val="1"/>
      <w:numFmt w:val="decimal"/>
      <w:lvlText w:val="%1.0"/>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nsid w:val="49B73A2D"/>
    <w:multiLevelType w:val="multilevel"/>
    <w:tmpl w:val="07BE4DC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736"/>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0D6"/>
    <w:rsid w:val="0000425D"/>
    <w:rsid w:val="000048D0"/>
    <w:rsid w:val="00007C1B"/>
    <w:rsid w:val="00024125"/>
    <w:rsid w:val="00040C1C"/>
    <w:rsid w:val="00041400"/>
    <w:rsid w:val="00054845"/>
    <w:rsid w:val="00070ACD"/>
    <w:rsid w:val="0008656E"/>
    <w:rsid w:val="000A3EC9"/>
    <w:rsid w:val="000A3F77"/>
    <w:rsid w:val="000B182A"/>
    <w:rsid w:val="000E2C58"/>
    <w:rsid w:val="00124B8C"/>
    <w:rsid w:val="001434D2"/>
    <w:rsid w:val="00152F36"/>
    <w:rsid w:val="00153394"/>
    <w:rsid w:val="001640D4"/>
    <w:rsid w:val="001703CE"/>
    <w:rsid w:val="0017339E"/>
    <w:rsid w:val="001B3387"/>
    <w:rsid w:val="001C2873"/>
    <w:rsid w:val="001C3F93"/>
    <w:rsid w:val="001C6847"/>
    <w:rsid w:val="001C6EBE"/>
    <w:rsid w:val="001D473B"/>
    <w:rsid w:val="001F3515"/>
    <w:rsid w:val="002166E0"/>
    <w:rsid w:val="002263A6"/>
    <w:rsid w:val="00242DBC"/>
    <w:rsid w:val="00252966"/>
    <w:rsid w:val="00265628"/>
    <w:rsid w:val="002710BD"/>
    <w:rsid w:val="002854A3"/>
    <w:rsid w:val="002A3528"/>
    <w:rsid w:val="002A7208"/>
    <w:rsid w:val="002B0F55"/>
    <w:rsid w:val="002B4552"/>
    <w:rsid w:val="002C2307"/>
    <w:rsid w:val="002D7BF7"/>
    <w:rsid w:val="002E0F5A"/>
    <w:rsid w:val="00300C77"/>
    <w:rsid w:val="003055E6"/>
    <w:rsid w:val="00344A3C"/>
    <w:rsid w:val="0035733C"/>
    <w:rsid w:val="00362C8E"/>
    <w:rsid w:val="00381A16"/>
    <w:rsid w:val="00391021"/>
    <w:rsid w:val="00397196"/>
    <w:rsid w:val="003A2629"/>
    <w:rsid w:val="003B397C"/>
    <w:rsid w:val="003C3073"/>
    <w:rsid w:val="003C551B"/>
    <w:rsid w:val="003E4C95"/>
    <w:rsid w:val="003F30BD"/>
    <w:rsid w:val="004021FE"/>
    <w:rsid w:val="00412105"/>
    <w:rsid w:val="004142DA"/>
    <w:rsid w:val="0047403A"/>
    <w:rsid w:val="00484740"/>
    <w:rsid w:val="00491D3F"/>
    <w:rsid w:val="004970F2"/>
    <w:rsid w:val="004B376F"/>
    <w:rsid w:val="004C3CC7"/>
    <w:rsid w:val="004C475F"/>
    <w:rsid w:val="004C793A"/>
    <w:rsid w:val="004E21F5"/>
    <w:rsid w:val="004F7A83"/>
    <w:rsid w:val="00515975"/>
    <w:rsid w:val="00544AA3"/>
    <w:rsid w:val="00551E17"/>
    <w:rsid w:val="0055700A"/>
    <w:rsid w:val="00560347"/>
    <w:rsid w:val="005861CD"/>
    <w:rsid w:val="005A116D"/>
    <w:rsid w:val="005A54BC"/>
    <w:rsid w:val="005E7DC0"/>
    <w:rsid w:val="005F0D1B"/>
    <w:rsid w:val="00614E92"/>
    <w:rsid w:val="0065305F"/>
    <w:rsid w:val="0065348E"/>
    <w:rsid w:val="006641A2"/>
    <w:rsid w:val="00682046"/>
    <w:rsid w:val="00685CEF"/>
    <w:rsid w:val="006A3342"/>
    <w:rsid w:val="006B6E11"/>
    <w:rsid w:val="006C175E"/>
    <w:rsid w:val="006C4037"/>
    <w:rsid w:val="0071286B"/>
    <w:rsid w:val="00712C70"/>
    <w:rsid w:val="00722F08"/>
    <w:rsid w:val="00737326"/>
    <w:rsid w:val="007621E3"/>
    <w:rsid w:val="0076248B"/>
    <w:rsid w:val="00770908"/>
    <w:rsid w:val="00772A9C"/>
    <w:rsid w:val="0078300B"/>
    <w:rsid w:val="007831F2"/>
    <w:rsid w:val="007878DF"/>
    <w:rsid w:val="007A3B3B"/>
    <w:rsid w:val="007B16FD"/>
    <w:rsid w:val="007C2773"/>
    <w:rsid w:val="007D2399"/>
    <w:rsid w:val="007D2C4B"/>
    <w:rsid w:val="007E2006"/>
    <w:rsid w:val="007E4A59"/>
    <w:rsid w:val="007F226F"/>
    <w:rsid w:val="007F5515"/>
    <w:rsid w:val="008376F7"/>
    <w:rsid w:val="008449E9"/>
    <w:rsid w:val="00873460"/>
    <w:rsid w:val="00877318"/>
    <w:rsid w:val="00885A40"/>
    <w:rsid w:val="00895358"/>
    <w:rsid w:val="008A1F64"/>
    <w:rsid w:val="008C4004"/>
    <w:rsid w:val="008C57DF"/>
    <w:rsid w:val="008F24AE"/>
    <w:rsid w:val="0090066E"/>
    <w:rsid w:val="00905C37"/>
    <w:rsid w:val="00910D93"/>
    <w:rsid w:val="00994D6D"/>
    <w:rsid w:val="009A6F26"/>
    <w:rsid w:val="009C21B6"/>
    <w:rsid w:val="009C2303"/>
    <w:rsid w:val="009C66CB"/>
    <w:rsid w:val="009E559F"/>
    <w:rsid w:val="00A00891"/>
    <w:rsid w:val="00A00904"/>
    <w:rsid w:val="00A02B2F"/>
    <w:rsid w:val="00A047B2"/>
    <w:rsid w:val="00A20EF8"/>
    <w:rsid w:val="00A234D6"/>
    <w:rsid w:val="00A32C56"/>
    <w:rsid w:val="00A32E25"/>
    <w:rsid w:val="00A47D3C"/>
    <w:rsid w:val="00AA205C"/>
    <w:rsid w:val="00AA7017"/>
    <w:rsid w:val="00AA7D88"/>
    <w:rsid w:val="00AB5065"/>
    <w:rsid w:val="00AC4760"/>
    <w:rsid w:val="00AE2265"/>
    <w:rsid w:val="00AE63B0"/>
    <w:rsid w:val="00B11908"/>
    <w:rsid w:val="00B478E4"/>
    <w:rsid w:val="00B72B01"/>
    <w:rsid w:val="00B72B9D"/>
    <w:rsid w:val="00B9031E"/>
    <w:rsid w:val="00B973FD"/>
    <w:rsid w:val="00BA67A2"/>
    <w:rsid w:val="00BC14DC"/>
    <w:rsid w:val="00BF1855"/>
    <w:rsid w:val="00C14EB4"/>
    <w:rsid w:val="00C37D27"/>
    <w:rsid w:val="00C403F2"/>
    <w:rsid w:val="00C5492C"/>
    <w:rsid w:val="00C668DA"/>
    <w:rsid w:val="00C71022"/>
    <w:rsid w:val="00CD0E71"/>
    <w:rsid w:val="00CE0895"/>
    <w:rsid w:val="00CE0DDA"/>
    <w:rsid w:val="00D22DC0"/>
    <w:rsid w:val="00D34F73"/>
    <w:rsid w:val="00D3668A"/>
    <w:rsid w:val="00D4038E"/>
    <w:rsid w:val="00D62988"/>
    <w:rsid w:val="00D6772B"/>
    <w:rsid w:val="00D9699C"/>
    <w:rsid w:val="00DA1219"/>
    <w:rsid w:val="00DB4143"/>
    <w:rsid w:val="00DC555E"/>
    <w:rsid w:val="00DE6AFD"/>
    <w:rsid w:val="00E01494"/>
    <w:rsid w:val="00E016DB"/>
    <w:rsid w:val="00E07081"/>
    <w:rsid w:val="00E32306"/>
    <w:rsid w:val="00E5155B"/>
    <w:rsid w:val="00E5655F"/>
    <w:rsid w:val="00E662FB"/>
    <w:rsid w:val="00E71E44"/>
    <w:rsid w:val="00E7436E"/>
    <w:rsid w:val="00ED4EC1"/>
    <w:rsid w:val="00F150D6"/>
    <w:rsid w:val="00F16C67"/>
    <w:rsid w:val="00F35603"/>
    <w:rsid w:val="00F462F6"/>
    <w:rsid w:val="00F56946"/>
    <w:rsid w:val="00F758CF"/>
    <w:rsid w:val="00F76BEA"/>
    <w:rsid w:val="00F810AB"/>
    <w:rsid w:val="00F9230C"/>
    <w:rsid w:val="00F93DB2"/>
    <w:rsid w:val="00FB2AAC"/>
    <w:rsid w:val="00FB38D7"/>
    <w:rsid w:val="00FC0BE6"/>
    <w:rsid w:val="00FD1BE3"/>
    <w:rsid w:val="00FD2606"/>
    <w:rsid w:val="00FD6C6C"/>
    <w:rsid w:val="00FF4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40C1C"/>
    <w:rPr>
      <w:rFonts w:ascii="Times New Roman" w:eastAsia="Times New Roman" w:hAnsi="Times New Roman"/>
      <w:sz w:val="24"/>
      <w:szCs w:val="24"/>
    </w:rPr>
  </w:style>
  <w:style w:type="paragraph" w:styleId="Heading1">
    <w:name w:val="heading 1"/>
    <w:basedOn w:val="Normal"/>
    <w:next w:val="Normal"/>
    <w:link w:val="Heading1Char"/>
    <w:uiPriority w:val="99"/>
    <w:qFormat/>
    <w:rsid w:val="0035733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F150D6"/>
    <w:pPr>
      <w:keepNext/>
      <w:spacing w:before="240" w:after="60" w:line="160" w:lineRule="atLeast"/>
      <w:outlineLvl w:val="1"/>
    </w:pPr>
    <w:rPr>
      <w:rFonts w:ascii="Cambria" w:hAnsi="Cambria"/>
      <w:b/>
      <w:bCs/>
      <w:i/>
      <w:iCs/>
      <w:sz w:val="28"/>
      <w:szCs w:val="28"/>
    </w:rPr>
  </w:style>
  <w:style w:type="paragraph" w:styleId="Heading3">
    <w:name w:val="heading 3"/>
    <w:basedOn w:val="Normal"/>
    <w:next w:val="Normal"/>
    <w:link w:val="Heading3Char"/>
    <w:uiPriority w:val="99"/>
    <w:qFormat/>
    <w:rsid w:val="0035733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5733C"/>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35733C"/>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35733C"/>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733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50D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5733C"/>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5733C"/>
    <w:rPr>
      <w:rFonts w:eastAsia="Times New Roman" w:cs="Times New Roman"/>
      <w:b/>
      <w:bCs/>
      <w:sz w:val="28"/>
      <w:szCs w:val="28"/>
    </w:rPr>
  </w:style>
  <w:style w:type="character" w:customStyle="1" w:styleId="Heading5Char">
    <w:name w:val="Heading 5 Char"/>
    <w:basedOn w:val="DefaultParagraphFont"/>
    <w:link w:val="Heading5"/>
    <w:uiPriority w:val="99"/>
    <w:semiHidden/>
    <w:locked/>
    <w:rsid w:val="0035733C"/>
    <w:rPr>
      <w:rFonts w:eastAsia="Times New Roman" w:cs="Times New Roman"/>
      <w:b/>
      <w:bCs/>
      <w:i/>
      <w:iCs/>
      <w:sz w:val="26"/>
      <w:szCs w:val="26"/>
    </w:rPr>
  </w:style>
  <w:style w:type="character" w:customStyle="1" w:styleId="Heading6Char">
    <w:name w:val="Heading 6 Char"/>
    <w:basedOn w:val="DefaultParagraphFont"/>
    <w:link w:val="Heading6"/>
    <w:uiPriority w:val="99"/>
    <w:semiHidden/>
    <w:locked/>
    <w:rsid w:val="0035733C"/>
    <w:rPr>
      <w:rFonts w:eastAsia="Times New Roman" w:cs="Times New Roman"/>
      <w:b/>
      <w:bCs/>
    </w:rPr>
  </w:style>
  <w:style w:type="paragraph" w:styleId="Header">
    <w:name w:val="header"/>
    <w:basedOn w:val="Normal"/>
    <w:link w:val="HeaderChar"/>
    <w:rsid w:val="00F150D6"/>
    <w:pPr>
      <w:tabs>
        <w:tab w:val="center" w:pos="4680"/>
        <w:tab w:val="right" w:pos="9360"/>
      </w:tabs>
      <w:spacing w:after="200" w:line="276" w:lineRule="auto"/>
    </w:pPr>
    <w:rPr>
      <w:rFonts w:ascii="Calibri" w:eastAsia="Calibri" w:hAnsi="Calibri"/>
      <w:sz w:val="22"/>
      <w:szCs w:val="22"/>
    </w:rPr>
  </w:style>
  <w:style w:type="character" w:customStyle="1" w:styleId="HeaderChar">
    <w:name w:val="Header Char"/>
    <w:basedOn w:val="DefaultParagraphFont"/>
    <w:link w:val="Header"/>
    <w:locked/>
    <w:rsid w:val="00F150D6"/>
    <w:rPr>
      <w:rFonts w:cs="Times New Roman"/>
    </w:rPr>
  </w:style>
  <w:style w:type="paragraph" w:styleId="Footer">
    <w:name w:val="footer"/>
    <w:basedOn w:val="Normal"/>
    <w:link w:val="FooterChar"/>
    <w:uiPriority w:val="99"/>
    <w:rsid w:val="00F150D6"/>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basedOn w:val="DefaultParagraphFont"/>
    <w:link w:val="Footer"/>
    <w:uiPriority w:val="99"/>
    <w:semiHidden/>
    <w:locked/>
    <w:rsid w:val="00F150D6"/>
    <w:rPr>
      <w:rFonts w:cs="Times New Roman"/>
    </w:rPr>
  </w:style>
  <w:style w:type="paragraph" w:styleId="Bibliography">
    <w:name w:val="Bibliography"/>
    <w:basedOn w:val="Normal"/>
    <w:next w:val="Normal"/>
    <w:uiPriority w:val="99"/>
    <w:semiHidden/>
    <w:rsid w:val="00AA7017"/>
  </w:style>
  <w:style w:type="paragraph" w:customStyle="1" w:styleId="NoParagraphStyle">
    <w:name w:val="[No Paragraph Style]"/>
    <w:uiPriority w:val="99"/>
    <w:rsid w:val="00AA7017"/>
    <w:pPr>
      <w:autoSpaceDE w:val="0"/>
      <w:autoSpaceDN w:val="0"/>
      <w:adjustRightInd w:val="0"/>
      <w:spacing w:line="288" w:lineRule="auto"/>
      <w:textAlignment w:val="center"/>
    </w:pPr>
    <w:rPr>
      <w:rFonts w:ascii="Times" w:eastAsia="Times New Roman" w:hAnsi="Times" w:cs="Times"/>
      <w:color w:val="000000"/>
      <w:sz w:val="24"/>
      <w:szCs w:val="24"/>
    </w:rPr>
  </w:style>
  <w:style w:type="paragraph" w:customStyle="1" w:styleId="BodyText1">
    <w:name w:val="Body Text1"/>
    <w:basedOn w:val="NoParagraphStyle"/>
    <w:uiPriority w:val="99"/>
    <w:rsid w:val="00AA7017"/>
    <w:pPr>
      <w:suppressAutoHyphens/>
      <w:spacing w:after="58" w:line="150" w:lineRule="atLeast"/>
    </w:pPr>
    <w:rPr>
      <w:rFonts w:ascii="Helen Pro Cond" w:hAnsi="Helen Pro Cond" w:cs="Helen Pro Cond"/>
      <w:sz w:val="15"/>
      <w:szCs w:val="15"/>
    </w:rPr>
  </w:style>
  <w:style w:type="paragraph" w:customStyle="1" w:styleId="Subhead1">
    <w:name w:val="Subhead 1"/>
    <w:basedOn w:val="NoParagraphStyle"/>
    <w:uiPriority w:val="99"/>
    <w:rsid w:val="00AA7017"/>
    <w:pPr>
      <w:suppressAutoHyphens/>
      <w:spacing w:before="72" w:line="150" w:lineRule="atLeast"/>
    </w:pPr>
    <w:rPr>
      <w:rFonts w:ascii="Helen Pro Cond" w:hAnsi="Helen Pro Cond" w:cs="Helen Pro Cond"/>
      <w:b/>
      <w:bCs/>
      <w:sz w:val="15"/>
      <w:szCs w:val="15"/>
    </w:rPr>
  </w:style>
  <w:style w:type="paragraph" w:customStyle="1" w:styleId="TableHead1">
    <w:name w:val="Table Head 1"/>
    <w:basedOn w:val="NoParagraphStyle"/>
    <w:uiPriority w:val="99"/>
    <w:rsid w:val="00AA7017"/>
    <w:pPr>
      <w:tabs>
        <w:tab w:val="center" w:pos="675"/>
        <w:tab w:val="left" w:pos="1125"/>
        <w:tab w:val="center" w:pos="2295"/>
        <w:tab w:val="center" w:pos="3105"/>
      </w:tabs>
      <w:spacing w:after="43" w:line="140" w:lineRule="atLeast"/>
    </w:pPr>
    <w:rPr>
      <w:rFonts w:ascii="Helen Pro Cond" w:hAnsi="Helen Pro Cond" w:cs="Helen Pro Cond"/>
      <w:b/>
      <w:bCs/>
      <w:sz w:val="14"/>
      <w:szCs w:val="14"/>
    </w:rPr>
  </w:style>
  <w:style w:type="paragraph" w:customStyle="1" w:styleId="Footnotes">
    <w:name w:val="Footnotes"/>
    <w:basedOn w:val="NoParagraphStyle"/>
    <w:uiPriority w:val="99"/>
    <w:rsid w:val="00AA7017"/>
    <w:pPr>
      <w:tabs>
        <w:tab w:val="left" w:pos="180"/>
      </w:tabs>
      <w:suppressAutoHyphens/>
      <w:spacing w:after="14" w:line="140" w:lineRule="atLeast"/>
      <w:ind w:left="180" w:hanging="180"/>
    </w:pPr>
    <w:rPr>
      <w:rFonts w:ascii="Helen Pro Cond" w:hAnsi="Helen Pro Cond" w:cs="Helen Pro Cond"/>
      <w:sz w:val="14"/>
      <w:szCs w:val="14"/>
    </w:rPr>
  </w:style>
  <w:style w:type="paragraph" w:customStyle="1" w:styleId="Subhead2">
    <w:name w:val="Subhead 2"/>
    <w:basedOn w:val="NoParagraphStyle"/>
    <w:uiPriority w:val="99"/>
    <w:rsid w:val="00AA7017"/>
    <w:pPr>
      <w:suppressAutoHyphens/>
      <w:spacing w:before="72" w:after="29" w:line="150" w:lineRule="atLeast"/>
      <w:jc w:val="center"/>
    </w:pPr>
    <w:rPr>
      <w:rFonts w:ascii="Helen Pro Cond" w:hAnsi="Helen Pro Cond" w:cs="Helen Pro Cond"/>
      <w:b/>
      <w:bCs/>
      <w:sz w:val="15"/>
      <w:szCs w:val="15"/>
    </w:rPr>
  </w:style>
  <w:style w:type="paragraph" w:styleId="BodyText">
    <w:name w:val="Body Text"/>
    <w:basedOn w:val="NoParagraphStyle"/>
    <w:link w:val="BodyTextChar"/>
    <w:uiPriority w:val="99"/>
    <w:rsid w:val="00AA7017"/>
    <w:pPr>
      <w:suppressAutoHyphens/>
      <w:spacing w:after="72" w:line="150" w:lineRule="atLeast"/>
    </w:pPr>
    <w:rPr>
      <w:rFonts w:ascii="Helen Pro Cond" w:hAnsi="Helen Pro Cond" w:cs="Helen Pro Cond"/>
      <w:sz w:val="15"/>
      <w:szCs w:val="15"/>
    </w:rPr>
  </w:style>
  <w:style w:type="character" w:customStyle="1" w:styleId="BodyTextChar">
    <w:name w:val="Body Text Char"/>
    <w:basedOn w:val="DefaultParagraphFont"/>
    <w:link w:val="BodyText"/>
    <w:uiPriority w:val="99"/>
    <w:locked/>
    <w:rsid w:val="00AA7017"/>
    <w:rPr>
      <w:rFonts w:ascii="Helen Pro Cond" w:hAnsi="Helen Pro Cond" w:cs="Helen Pro Cond"/>
      <w:color w:val="000000"/>
      <w:sz w:val="15"/>
      <w:szCs w:val="15"/>
    </w:rPr>
  </w:style>
  <w:style w:type="paragraph" w:customStyle="1" w:styleId="TestConditions">
    <w:name w:val="Test Conditions"/>
    <w:basedOn w:val="NoParagraphStyle"/>
    <w:uiPriority w:val="99"/>
    <w:rsid w:val="00AA7017"/>
    <w:pPr>
      <w:tabs>
        <w:tab w:val="left" w:pos="180"/>
        <w:tab w:val="left" w:pos="2340"/>
      </w:tabs>
      <w:spacing w:after="14" w:line="150" w:lineRule="atLeast"/>
      <w:ind w:left="180" w:hanging="180"/>
    </w:pPr>
    <w:rPr>
      <w:rFonts w:ascii="Helen Pro Cond" w:hAnsi="Helen Pro Cond" w:cs="Helen Pro Cond"/>
      <w:sz w:val="15"/>
      <w:szCs w:val="15"/>
    </w:rPr>
  </w:style>
  <w:style w:type="paragraph" w:customStyle="1" w:styleId="ArrowPara">
    <w:name w:val="Arrow Para"/>
    <w:basedOn w:val="NoParagraphStyle"/>
    <w:uiPriority w:val="99"/>
    <w:rsid w:val="00AA7017"/>
    <w:pPr>
      <w:tabs>
        <w:tab w:val="center" w:pos="720"/>
      </w:tabs>
      <w:spacing w:after="58" w:line="130" w:lineRule="atLeast"/>
    </w:pPr>
    <w:rPr>
      <w:rFonts w:ascii="Helen Pro Cond" w:hAnsi="Helen Pro Cond" w:cs="Helen Pro Cond"/>
      <w:sz w:val="13"/>
      <w:szCs w:val="13"/>
    </w:rPr>
  </w:style>
  <w:style w:type="paragraph" w:customStyle="1" w:styleId="TableText1">
    <w:name w:val="Table Text 1"/>
    <w:basedOn w:val="NoParagraphStyle"/>
    <w:uiPriority w:val="99"/>
    <w:rsid w:val="00AA7017"/>
    <w:pPr>
      <w:tabs>
        <w:tab w:val="center" w:pos="675"/>
        <w:tab w:val="left" w:pos="1125"/>
        <w:tab w:val="center" w:pos="2295"/>
        <w:tab w:val="center" w:pos="3105"/>
      </w:tabs>
      <w:spacing w:line="140" w:lineRule="atLeast"/>
    </w:pPr>
    <w:rPr>
      <w:rFonts w:ascii="Helen Pro Cond" w:hAnsi="Helen Pro Cond" w:cs="Helen Pro Cond"/>
      <w:sz w:val="14"/>
      <w:szCs w:val="14"/>
    </w:rPr>
  </w:style>
  <w:style w:type="character" w:customStyle="1" w:styleId="BoldBodyText">
    <w:name w:val="Bold Body Text"/>
    <w:uiPriority w:val="99"/>
    <w:rsid w:val="00AA7017"/>
    <w:rPr>
      <w:rFonts w:ascii="Helen Pro Cond" w:hAnsi="Helen Pro Cond"/>
      <w:b/>
      <w:color w:val="000000"/>
      <w:spacing w:val="0"/>
      <w:w w:val="100"/>
      <w:position w:val="0"/>
      <w:sz w:val="15"/>
      <w:u w:val="none"/>
      <w:vertAlign w:val="baseline"/>
    </w:rPr>
  </w:style>
  <w:style w:type="character" w:customStyle="1" w:styleId="Body">
    <w:name w:val="Body"/>
    <w:uiPriority w:val="99"/>
    <w:rsid w:val="00AA7017"/>
    <w:rPr>
      <w:rFonts w:ascii="Helen Pro Cond" w:hAnsi="Helen Pro Cond"/>
      <w:color w:val="000000"/>
      <w:spacing w:val="0"/>
      <w:w w:val="100"/>
      <w:position w:val="0"/>
      <w:sz w:val="14"/>
      <w:u w:val="none"/>
      <w:vertAlign w:val="baseline"/>
    </w:rPr>
  </w:style>
  <w:style w:type="character" w:customStyle="1" w:styleId="ItalicBodyText">
    <w:name w:val="Italic Body Text"/>
    <w:uiPriority w:val="99"/>
    <w:rsid w:val="00AA7017"/>
    <w:rPr>
      <w:rFonts w:ascii="Helen Pro Cond" w:hAnsi="Helen Pro Cond"/>
      <w:i/>
      <w:sz w:val="15"/>
    </w:rPr>
  </w:style>
  <w:style w:type="character" w:customStyle="1" w:styleId="Superscript">
    <w:name w:val="Superscript"/>
    <w:uiPriority w:val="99"/>
    <w:rsid w:val="00AA7017"/>
    <w:rPr>
      <w:rFonts w:ascii="Helen Pro Cond" w:hAnsi="Helen Pro Cond"/>
      <w:spacing w:val="0"/>
      <w:sz w:val="15"/>
      <w:u w:val="none"/>
      <w:vertAlign w:val="superscript"/>
    </w:rPr>
  </w:style>
  <w:style w:type="character" w:customStyle="1" w:styleId="ShadeBodyTextCondensed">
    <w:name w:val="Shade Body Text (Condensed)"/>
    <w:uiPriority w:val="99"/>
    <w:rsid w:val="00AA7017"/>
    <w:rPr>
      <w:rFonts w:ascii="Helen Pro Cond" w:hAnsi="Helen Pro Cond"/>
      <w:u w:val="thick" w:color="000000"/>
    </w:rPr>
  </w:style>
  <w:style w:type="character" w:customStyle="1" w:styleId="ShadeBodyTextBoldCondensed">
    <w:name w:val="Shade Body Text (Bold Condensed)"/>
    <w:uiPriority w:val="99"/>
    <w:rsid w:val="00AA7017"/>
    <w:rPr>
      <w:rFonts w:ascii="Helen Pro Cond" w:hAnsi="Helen Pro Cond"/>
      <w:b/>
      <w:u w:val="thick" w:color="000000"/>
    </w:rPr>
  </w:style>
  <w:style w:type="character" w:customStyle="1" w:styleId="UnderlineBodyText">
    <w:name w:val="Underline Body Text"/>
    <w:uiPriority w:val="99"/>
    <w:rsid w:val="00AA7017"/>
    <w:rPr>
      <w:rFonts w:ascii="Helen Pro Cond" w:hAnsi="Helen Pro Cond"/>
      <w:position w:val="0"/>
      <w:sz w:val="15"/>
      <w:u w:val="thick"/>
    </w:rPr>
  </w:style>
  <w:style w:type="character" w:customStyle="1" w:styleId="Subscript">
    <w:name w:val="Subscript"/>
    <w:uiPriority w:val="99"/>
    <w:rsid w:val="00AA7017"/>
    <w:rPr>
      <w:rFonts w:ascii="Helen Pro Cond" w:hAnsi="Helen Pro Cond"/>
      <w:spacing w:val="0"/>
      <w:sz w:val="15"/>
      <w:u w:val="none"/>
      <w:vertAlign w:val="subscript"/>
    </w:rPr>
  </w:style>
  <w:style w:type="paragraph" w:customStyle="1" w:styleId="Heading">
    <w:name w:val="Heading"/>
    <w:basedOn w:val="Normal"/>
    <w:uiPriority w:val="99"/>
    <w:rsid w:val="00AA7017"/>
    <w:pPr>
      <w:spacing w:after="40" w:line="160" w:lineRule="atLeast"/>
    </w:pPr>
    <w:rPr>
      <w:b/>
      <w:sz w:val="20"/>
      <w:szCs w:val="20"/>
    </w:rPr>
  </w:style>
  <w:style w:type="paragraph" w:customStyle="1" w:styleId="RevDates">
    <w:name w:val="RevDates"/>
    <w:basedOn w:val="Normal"/>
    <w:uiPriority w:val="99"/>
    <w:rsid w:val="00AA7017"/>
    <w:pPr>
      <w:tabs>
        <w:tab w:val="left" w:pos="5760"/>
      </w:tabs>
      <w:spacing w:after="160" w:line="160" w:lineRule="atLeast"/>
      <w:ind w:left="720"/>
    </w:pPr>
    <w:rPr>
      <w:sz w:val="20"/>
      <w:szCs w:val="20"/>
    </w:rPr>
  </w:style>
  <w:style w:type="paragraph" w:styleId="BodyTextIndent">
    <w:name w:val="Body Text Indent"/>
    <w:basedOn w:val="Normal"/>
    <w:link w:val="BodyTextIndentChar"/>
    <w:uiPriority w:val="99"/>
    <w:semiHidden/>
    <w:rsid w:val="0035733C"/>
    <w:pPr>
      <w:spacing w:after="120"/>
      <w:ind w:left="360"/>
    </w:pPr>
  </w:style>
  <w:style w:type="character" w:customStyle="1" w:styleId="BodyTextIndentChar">
    <w:name w:val="Body Text Indent Char"/>
    <w:basedOn w:val="DefaultParagraphFont"/>
    <w:link w:val="BodyTextIndent"/>
    <w:uiPriority w:val="99"/>
    <w:semiHidden/>
    <w:locked/>
    <w:rsid w:val="0035733C"/>
    <w:rPr>
      <w:rFonts w:ascii="Times New Roman" w:hAnsi="Times New Roman" w:cs="Times New Roman"/>
      <w:sz w:val="24"/>
      <w:szCs w:val="24"/>
    </w:rPr>
  </w:style>
  <w:style w:type="paragraph" w:customStyle="1" w:styleId="ConcSD">
    <w:name w:val="Conc/SD"/>
    <w:basedOn w:val="BodyText"/>
    <w:uiPriority w:val="99"/>
    <w:rsid w:val="0035733C"/>
    <w:pPr>
      <w:tabs>
        <w:tab w:val="center" w:pos="1800"/>
        <w:tab w:val="center" w:pos="4320"/>
      </w:tabs>
      <w:suppressAutoHyphens w:val="0"/>
      <w:autoSpaceDE/>
      <w:autoSpaceDN/>
      <w:adjustRightInd/>
      <w:spacing w:after="40" w:line="160" w:lineRule="atLeast"/>
      <w:textAlignment w:val="auto"/>
    </w:pPr>
    <w:rPr>
      <w:rFonts w:ascii="Times New Roman" w:hAnsi="Times New Roman" w:cs="Times New Roman"/>
      <w:b/>
      <w:color w:val="auto"/>
      <w:sz w:val="20"/>
      <w:szCs w:val="20"/>
    </w:rPr>
  </w:style>
  <w:style w:type="character" w:customStyle="1" w:styleId="TableBodyText">
    <w:name w:val="Table Body Text"/>
    <w:uiPriority w:val="99"/>
    <w:rsid w:val="0035733C"/>
    <w:rPr>
      <w:rFonts w:ascii="HelenPro-Cond" w:hAnsi="HelenPro-Cond"/>
      <w:position w:val="0"/>
      <w:sz w:val="14"/>
    </w:rPr>
  </w:style>
  <w:style w:type="paragraph" w:styleId="Caption">
    <w:name w:val="caption"/>
    <w:basedOn w:val="Normal"/>
    <w:next w:val="Normal"/>
    <w:uiPriority w:val="99"/>
    <w:qFormat/>
    <w:rsid w:val="0035733C"/>
    <w:pPr>
      <w:spacing w:before="144" w:after="43" w:line="160" w:lineRule="atLeast"/>
    </w:pPr>
    <w:rPr>
      <w:bCs/>
      <w:sz w:val="20"/>
      <w:szCs w:val="20"/>
    </w:rPr>
  </w:style>
  <w:style w:type="paragraph" w:styleId="Title">
    <w:name w:val="Title"/>
    <w:basedOn w:val="NoParagraphStyle"/>
    <w:link w:val="TitleChar"/>
    <w:uiPriority w:val="99"/>
    <w:qFormat/>
    <w:rsid w:val="00252966"/>
    <w:pPr>
      <w:suppressAutoHyphens/>
      <w:spacing w:after="58" w:line="150" w:lineRule="atLeast"/>
    </w:pPr>
    <w:rPr>
      <w:rFonts w:ascii="Helen Pro Cond" w:hAnsi="Helen Pro Cond" w:cs="Helen Pro Cond"/>
      <w:b/>
      <w:bCs/>
      <w:sz w:val="20"/>
      <w:szCs w:val="20"/>
    </w:rPr>
  </w:style>
  <w:style w:type="character" w:customStyle="1" w:styleId="TitleChar">
    <w:name w:val="Title Char"/>
    <w:basedOn w:val="DefaultParagraphFont"/>
    <w:link w:val="Title"/>
    <w:uiPriority w:val="99"/>
    <w:locked/>
    <w:rsid w:val="00252966"/>
    <w:rPr>
      <w:rFonts w:ascii="Helen Pro Cond" w:hAnsi="Helen Pro Cond" w:cs="Helen Pro Cond"/>
      <w:b/>
      <w:bCs/>
      <w:color w:val="000000"/>
      <w:sz w:val="20"/>
      <w:szCs w:val="20"/>
    </w:rPr>
  </w:style>
  <w:style w:type="paragraph" w:customStyle="1" w:styleId="BodyTextRiskandSafety">
    <w:name w:val="Body Text (Risk and Safety)"/>
    <w:basedOn w:val="NoParagraphStyle"/>
    <w:uiPriority w:val="99"/>
    <w:rsid w:val="00252966"/>
    <w:pPr>
      <w:tabs>
        <w:tab w:val="left" w:pos="1780"/>
      </w:tabs>
      <w:suppressAutoHyphens/>
      <w:spacing w:line="150" w:lineRule="atLeast"/>
      <w:ind w:left="900"/>
    </w:pPr>
    <w:rPr>
      <w:rFonts w:ascii="Helen Pro Cond" w:hAnsi="Helen Pro Cond" w:cs="Helen Pro Cond"/>
      <w:sz w:val="15"/>
      <w:szCs w:val="15"/>
    </w:rPr>
  </w:style>
  <w:style w:type="paragraph" w:styleId="ListParagraph">
    <w:name w:val="List Paragraph"/>
    <w:basedOn w:val="Normal"/>
    <w:uiPriority w:val="99"/>
    <w:qFormat/>
    <w:rsid w:val="004970F2"/>
    <w:pPr>
      <w:ind w:left="720"/>
    </w:pPr>
    <w:rPr>
      <w:rFonts w:eastAsia="Calibri"/>
    </w:rPr>
  </w:style>
  <w:style w:type="character" w:styleId="Hyperlink">
    <w:name w:val="Hyperlink"/>
    <w:basedOn w:val="DefaultParagraphFont"/>
    <w:uiPriority w:val="99"/>
    <w:unhideWhenUsed/>
    <w:rsid w:val="00C668DA"/>
    <w:rPr>
      <w:color w:val="0000FF" w:themeColor="hyperlink"/>
      <w:u w:val="single"/>
    </w:rPr>
  </w:style>
  <w:style w:type="paragraph" w:customStyle="1" w:styleId="Default">
    <w:name w:val="Default"/>
    <w:rsid w:val="000E2C58"/>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A234D6"/>
    <w:rPr>
      <w:rFonts w:ascii="Tahoma" w:hAnsi="Tahoma" w:cs="Tahoma"/>
      <w:sz w:val="16"/>
      <w:szCs w:val="16"/>
    </w:rPr>
  </w:style>
  <w:style w:type="character" w:customStyle="1" w:styleId="BalloonTextChar">
    <w:name w:val="Balloon Text Char"/>
    <w:basedOn w:val="DefaultParagraphFont"/>
    <w:link w:val="BalloonText"/>
    <w:uiPriority w:val="99"/>
    <w:semiHidden/>
    <w:rsid w:val="00A234D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9</Pages>
  <Words>2104</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RAPID  FETAL FIBRONECTIN fFN</vt:lpstr>
    </vt:vector>
  </TitlesOfParts>
  <Company>AEHN</Company>
  <LinksUpToDate>false</LinksUpToDate>
  <CharactersWithSpaces>14075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RAPID  FETAL FIBRONECTIN fFN</dc:title>
  <dc:creator>espositol</dc:creator>
  <cp:lastModifiedBy>Jennifer M Lore</cp:lastModifiedBy>
  <cp:revision>29</cp:revision>
  <cp:lastPrinted>2016-05-31T17:00:00Z</cp:lastPrinted>
  <dcterms:created xsi:type="dcterms:W3CDTF">2016-03-22T14:38:00Z</dcterms:created>
  <dcterms:modified xsi:type="dcterms:W3CDTF">2016-05-31T17:03:00Z</dcterms:modified>
</cp:coreProperties>
</file>